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-675640</wp:posOffset>
            </wp:positionV>
            <wp:extent cx="125730" cy="1257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60" w:type="dxa"/>
            <w:vAlign w:val="bottom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5296535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4023360</wp:posOffset>
            </wp:positionH>
            <wp:positionV relativeFrom="paragraph">
              <wp:posOffset>-640080</wp:posOffset>
            </wp:positionV>
            <wp:extent cx="59055" cy="653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-1621155</wp:posOffset>
            </wp:positionH>
            <wp:positionV relativeFrom="paragraph">
              <wp:posOffset>763270</wp:posOffset>
            </wp:positionV>
            <wp:extent cx="7011035" cy="53695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1035" cy="536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18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40" w:space="200"/>
            <w:col w:w="8560"/>
          </w:cols>
          <w:pgMar w:left="460" w:top="213" w:right="358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Townson Sharon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5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Monte Rosa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GLUE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MONTE ROSA THERAPEUTICS, INC.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HARRISON AVENUE, SUITE 900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-7" w:right="560" w:firstLine="7"/>
        <w:spacing w:after="0" w:line="264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13"/>
        <w:spacing w:after="0"/>
        <w:tabs>
          <w:tab w:leader="none" w:pos="207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7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412" w:lineRule="exact"/>
        <w:rPr>
          <w:sz w:val="20"/>
          <w:szCs w:val="20"/>
          <w:color w:val="auto"/>
        </w:rPr>
      </w:pPr>
    </w:p>
    <w:p>
      <w:pPr>
        <w:sectPr>
          <w:pgSz w:w="11920" w:h="16838" w:orient="portrait"/>
          <w:cols w:equalWidth="0" w:num="2">
            <w:col w:w="7700" w:space="67"/>
            <w:col w:w="3333"/>
          </w:cols>
          <w:pgMar w:left="460" w:top="213" w:right="358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1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70,845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67,845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jc w:val="right"/>
              <w:ind w:right="1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04/12/2031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203,290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6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transactions were effected pursuant to a Rule 10b5-1 trading plan adopted by the Reporting Person on February 27, 2026.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The shares underlying this option are fully vested and exercisable.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Phil Nickson, Attorney-in-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7018020</wp:posOffset>
            </wp:positionH>
            <wp:positionV relativeFrom="paragraph">
              <wp:posOffset>-3305175</wp:posOffset>
            </wp:positionV>
            <wp:extent cx="30480" cy="22364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" cy="223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40" w:right="3440" w:firstLine="5"/>
        <w:spacing w:after="0" w:line="316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100"/>
      </w:cols>
      <w:pgMar w:left="460" w:top="213" w:right="35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5689" TargetMode="External"/><Relationship Id="rId14" Type="http://schemas.openxmlformats.org/officeDocument/2006/relationships/hyperlink" Target="http://www.sec.gov/cgi-bin/browse-edgar?action=getcompany&amp;CIK=0001826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2026-06-25T15:36:59Z</dcterms:created>
  <dcterms:modified xsi:type="dcterms:W3CDTF">2026-06-25T15:36:59Z</dcterms:modified>
</cp:coreProperties>
</file>