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4, 2021</w:t>
      </w:r>
    </w:p>
    <w:p>
      <w:pPr>
        <w:spacing w:after="0" w:line="14" w:lineRule="exact"/>
        <w:rPr>
          <w:sz w:val="24"/>
          <w:szCs w:val="24"/>
          <w:color w:val="auto"/>
        </w:rPr>
      </w:pPr>
    </w:p>
    <w:p>
      <w:pPr>
        <w:ind w:left="95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105410</wp:posOffset>
            </wp:positionV>
            <wp:extent cx="1494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21"/>
          <w:szCs w:val="21"/>
          <w:i w:val="1"/>
          <w:iCs w:val="1"/>
          <w:color w:val="auto"/>
        </w:rPr>
        <w:t>UNDER</w:t>
      </w:r>
    </w:p>
    <w:p>
      <w:pPr>
        <w:jc w:val="center"/>
        <w:spacing w:after="0"/>
        <w:rPr>
          <w:sz w:val="20"/>
          <w:szCs w:val="20"/>
          <w:color w:val="auto"/>
        </w:rPr>
      </w:pPr>
      <w:r>
        <w:rPr>
          <w:rFonts w:ascii="Arial" w:cs="Arial" w:eastAsia="Arial" w:hAnsi="Arial"/>
          <w:sz w:val="21"/>
          <w:szCs w:val="2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97155</wp:posOffset>
            </wp:positionV>
            <wp:extent cx="1494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Monte Rosa Therapeutics,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94615</wp:posOffset>
            </wp:positionV>
            <wp:extent cx="1494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17" w:lineRule="exact"/>
        <w:rPr>
          <w:sz w:val="24"/>
          <w:szCs w:val="24"/>
          <w:color w:val="auto"/>
        </w:rPr>
      </w:pPr>
    </w:p>
    <w:tbl>
      <w:tblPr>
        <w:tblLayout w:type="fixed"/>
        <w:tblInd w:w="960" w:type="dxa"/>
        <w:tblCellMar>
          <w:top w:w="0" w:type="dxa"/>
          <w:left w:w="0" w:type="dxa"/>
          <w:bottom w:w="0" w:type="dxa"/>
          <w:right w:w="0" w:type="dxa"/>
        </w:tblCellMar>
      </w:tblPr>
      <w:tr>
        <w:trPr>
          <w:trHeight w:val="203"/>
        </w:trPr>
        <w:tc>
          <w:tcPr>
            <w:tcW w:w="2900" w:type="dxa"/>
            <w:vAlign w:val="bottom"/>
          </w:tcPr>
          <w:p>
            <w:pPr>
              <w:jc w:val="center"/>
              <w:ind w:right="906"/>
              <w:spacing w:after="0"/>
              <w:rPr>
                <w:sz w:val="20"/>
                <w:szCs w:val="20"/>
                <w:color w:val="auto"/>
              </w:rPr>
            </w:pPr>
            <w:r>
              <w:rPr>
                <w:rFonts w:ascii="Arial" w:cs="Arial" w:eastAsia="Arial" w:hAnsi="Arial"/>
                <w:sz w:val="17"/>
                <w:szCs w:val="17"/>
                <w:b w:val="1"/>
                <w:bCs w:val="1"/>
                <w:color w:val="auto"/>
              </w:rPr>
              <w:t>Delaware</w:t>
            </w:r>
          </w:p>
        </w:tc>
        <w:tc>
          <w:tcPr>
            <w:tcW w:w="3920" w:type="dxa"/>
            <w:vAlign w:val="bottom"/>
          </w:tcPr>
          <w:p>
            <w:pPr>
              <w:jc w:val="center"/>
              <w:ind w:right="46"/>
              <w:spacing w:after="0"/>
              <w:rPr>
                <w:sz w:val="20"/>
                <w:szCs w:val="20"/>
                <w:color w:val="auto"/>
              </w:rPr>
            </w:pPr>
            <w:r>
              <w:rPr>
                <w:rFonts w:ascii="Arial" w:cs="Arial" w:eastAsia="Arial" w:hAnsi="Arial"/>
                <w:sz w:val="17"/>
                <w:szCs w:val="17"/>
                <w:b w:val="1"/>
                <w:bCs w:val="1"/>
                <w:color w:val="auto"/>
              </w:rPr>
              <w:t>2836</w:t>
            </w:r>
          </w:p>
        </w:tc>
        <w:tc>
          <w:tcPr>
            <w:tcW w:w="2240" w:type="dxa"/>
            <w:vAlign w:val="bottom"/>
          </w:tcPr>
          <w:p>
            <w:pPr>
              <w:jc w:val="center"/>
              <w:ind w:left="1026"/>
              <w:spacing w:after="0"/>
              <w:rPr>
                <w:sz w:val="20"/>
                <w:szCs w:val="20"/>
                <w:color w:val="auto"/>
              </w:rPr>
            </w:pPr>
            <w:r>
              <w:rPr>
                <w:rFonts w:ascii="Arial" w:cs="Arial" w:eastAsia="Arial" w:hAnsi="Arial"/>
                <w:sz w:val="17"/>
                <w:szCs w:val="17"/>
                <w:b w:val="1"/>
                <w:bCs w:val="1"/>
                <w:color w:val="auto"/>
              </w:rPr>
              <w:t>84-3766197</w:t>
            </w:r>
          </w:p>
        </w:tc>
      </w:tr>
      <w:tr>
        <w:trPr>
          <w:trHeight w:val="147"/>
        </w:trPr>
        <w:tc>
          <w:tcPr>
            <w:tcW w:w="2900" w:type="dxa"/>
            <w:vAlign w:val="bottom"/>
          </w:tcPr>
          <w:p>
            <w:pPr>
              <w:jc w:val="center"/>
              <w:ind w:right="906"/>
              <w:spacing w:after="0" w:line="148" w:lineRule="exact"/>
              <w:rPr>
                <w:sz w:val="20"/>
                <w:szCs w:val="20"/>
                <w:color w:val="auto"/>
              </w:rPr>
            </w:pPr>
            <w:r>
              <w:rPr>
                <w:rFonts w:ascii="Arial" w:cs="Arial" w:eastAsia="Arial" w:hAnsi="Arial"/>
                <w:sz w:val="13"/>
                <w:szCs w:val="13"/>
                <w:b w:val="1"/>
                <w:bCs w:val="1"/>
                <w:color w:val="auto"/>
              </w:rPr>
              <w:t>(State or other jurisdiction of</w:t>
            </w:r>
          </w:p>
        </w:tc>
        <w:tc>
          <w:tcPr>
            <w:tcW w:w="3920" w:type="dxa"/>
            <w:vAlign w:val="bottom"/>
          </w:tcPr>
          <w:p>
            <w:pPr>
              <w:jc w:val="center"/>
              <w:ind w:right="46"/>
              <w:spacing w:after="0" w:line="148" w:lineRule="exact"/>
              <w:rPr>
                <w:sz w:val="20"/>
                <w:szCs w:val="20"/>
                <w:color w:val="auto"/>
              </w:rPr>
            </w:pPr>
            <w:r>
              <w:rPr>
                <w:rFonts w:ascii="Arial" w:cs="Arial" w:eastAsia="Arial" w:hAnsi="Arial"/>
                <w:sz w:val="13"/>
                <w:szCs w:val="13"/>
                <w:b w:val="1"/>
                <w:bCs w:val="1"/>
                <w:color w:val="auto"/>
              </w:rPr>
              <w:t>(Primary Standard Industrial</w:t>
            </w:r>
          </w:p>
        </w:tc>
        <w:tc>
          <w:tcPr>
            <w:tcW w:w="2240" w:type="dxa"/>
            <w:vAlign w:val="bottom"/>
          </w:tcPr>
          <w:p>
            <w:pPr>
              <w:jc w:val="center"/>
              <w:ind w:left="1026"/>
              <w:spacing w:after="0" w:line="148" w:lineRule="exact"/>
              <w:rPr>
                <w:sz w:val="20"/>
                <w:szCs w:val="20"/>
                <w:color w:val="auto"/>
              </w:rPr>
            </w:pPr>
            <w:r>
              <w:rPr>
                <w:rFonts w:ascii="Arial" w:cs="Arial" w:eastAsia="Arial" w:hAnsi="Arial"/>
                <w:sz w:val="13"/>
                <w:szCs w:val="13"/>
                <w:b w:val="1"/>
                <w:bCs w:val="1"/>
                <w:color w:val="auto"/>
              </w:rPr>
              <w:t>(I.R.S. Employer</w:t>
            </w:r>
          </w:p>
        </w:tc>
      </w:tr>
      <w:tr>
        <w:trPr>
          <w:trHeight w:val="177"/>
        </w:trPr>
        <w:tc>
          <w:tcPr>
            <w:tcW w:w="2900" w:type="dxa"/>
            <w:vAlign w:val="bottom"/>
          </w:tcPr>
          <w:p>
            <w:pPr>
              <w:jc w:val="center"/>
              <w:ind w:right="926"/>
              <w:spacing w:after="0"/>
              <w:rPr>
                <w:sz w:val="20"/>
                <w:szCs w:val="20"/>
                <w:color w:val="auto"/>
              </w:rPr>
            </w:pPr>
            <w:r>
              <w:rPr>
                <w:rFonts w:ascii="Arial" w:cs="Arial" w:eastAsia="Arial" w:hAnsi="Arial"/>
                <w:sz w:val="13"/>
                <w:szCs w:val="13"/>
                <w:b w:val="1"/>
                <w:bCs w:val="1"/>
                <w:color w:val="auto"/>
              </w:rPr>
              <w:t>incorporation or organization)</w:t>
            </w:r>
          </w:p>
        </w:tc>
        <w:tc>
          <w:tcPr>
            <w:tcW w:w="3920" w:type="dxa"/>
            <w:vAlign w:val="bottom"/>
          </w:tcPr>
          <w:p>
            <w:pPr>
              <w:jc w:val="center"/>
              <w:ind w:right="46"/>
              <w:spacing w:after="0"/>
              <w:rPr>
                <w:sz w:val="20"/>
                <w:szCs w:val="20"/>
                <w:color w:val="auto"/>
              </w:rPr>
            </w:pPr>
            <w:r>
              <w:rPr>
                <w:rFonts w:ascii="Arial" w:cs="Arial" w:eastAsia="Arial" w:hAnsi="Arial"/>
                <w:sz w:val="13"/>
                <w:szCs w:val="13"/>
                <w:b w:val="1"/>
                <w:bCs w:val="1"/>
                <w:color w:val="auto"/>
              </w:rPr>
              <w:t>Classification Code Number)</w:t>
            </w:r>
          </w:p>
        </w:tc>
        <w:tc>
          <w:tcPr>
            <w:tcW w:w="2240" w:type="dxa"/>
            <w:vAlign w:val="bottom"/>
          </w:tcPr>
          <w:p>
            <w:pPr>
              <w:jc w:val="center"/>
              <w:ind w:left="1026"/>
              <w:spacing w:after="0"/>
              <w:rPr>
                <w:sz w:val="20"/>
                <w:szCs w:val="20"/>
                <w:color w:val="auto"/>
              </w:rPr>
            </w:pPr>
            <w:r>
              <w:rPr>
                <w:rFonts w:ascii="Arial" w:cs="Arial" w:eastAsia="Arial" w:hAnsi="Arial"/>
                <w:sz w:val="13"/>
                <w:szCs w:val="13"/>
                <w:b w:val="1"/>
                <w:bCs w:val="1"/>
                <w:color w:val="auto"/>
              </w:rPr>
              <w:t>Identification No.)</w:t>
            </w:r>
          </w:p>
        </w:tc>
      </w:tr>
    </w:tbl>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Monte Rosa Therapeutics,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645 Summer Street, Suite 102</w:t>
      </w:r>
    </w:p>
    <w:p>
      <w:pPr>
        <w:jc w:val="center"/>
        <w:spacing w:after="0" w:line="236" w:lineRule="auto"/>
        <w:rPr>
          <w:sz w:val="20"/>
          <w:szCs w:val="20"/>
          <w:color w:val="auto"/>
        </w:rPr>
      </w:pPr>
      <w:r>
        <w:rPr>
          <w:rFonts w:ascii="Arial" w:cs="Arial" w:eastAsia="Arial" w:hAnsi="Arial"/>
          <w:sz w:val="13"/>
          <w:szCs w:val="13"/>
          <w:b w:val="1"/>
          <w:bCs w:val="1"/>
          <w:color w:val="auto"/>
        </w:rPr>
        <w:t>Boston, MA 02210</w:t>
      </w:r>
    </w:p>
    <w:p>
      <w:pPr>
        <w:jc w:val="center"/>
        <w:spacing w:after="0" w:line="236" w:lineRule="auto"/>
        <w:rPr>
          <w:sz w:val="20"/>
          <w:szCs w:val="20"/>
          <w:color w:val="auto"/>
        </w:rPr>
      </w:pPr>
      <w:r>
        <w:rPr>
          <w:rFonts w:ascii="Arial" w:cs="Arial" w:eastAsia="Arial" w:hAnsi="Arial"/>
          <w:sz w:val="13"/>
          <w:szCs w:val="13"/>
          <w:b w:val="1"/>
          <w:bCs w:val="1"/>
          <w:color w:val="auto"/>
        </w:rPr>
        <w:t>(617) 949-2643</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100965</wp:posOffset>
            </wp:positionV>
            <wp:extent cx="1494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Markus Warmuth, M.D.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6" w:lineRule="auto"/>
        <w:rPr>
          <w:sz w:val="20"/>
          <w:szCs w:val="20"/>
          <w:color w:val="auto"/>
        </w:rPr>
      </w:pPr>
      <w:r>
        <w:rPr>
          <w:rFonts w:ascii="Arial" w:cs="Arial" w:eastAsia="Arial" w:hAnsi="Arial"/>
          <w:sz w:val="13"/>
          <w:szCs w:val="13"/>
          <w:b w:val="1"/>
          <w:bCs w:val="1"/>
          <w:color w:val="auto"/>
        </w:rPr>
        <w:t>Monte Rosa Therapeutics, Inc.</w:t>
      </w:r>
    </w:p>
    <w:p>
      <w:pPr>
        <w:jc w:val="center"/>
        <w:spacing w:after="0" w:line="236" w:lineRule="auto"/>
        <w:rPr>
          <w:sz w:val="20"/>
          <w:szCs w:val="20"/>
          <w:color w:val="auto"/>
        </w:rPr>
      </w:pPr>
      <w:r>
        <w:rPr>
          <w:rFonts w:ascii="Arial" w:cs="Arial" w:eastAsia="Arial" w:hAnsi="Arial"/>
          <w:sz w:val="13"/>
          <w:szCs w:val="13"/>
          <w:b w:val="1"/>
          <w:bCs w:val="1"/>
          <w:color w:val="auto"/>
        </w:rPr>
        <w:t>645 Summer Street, Suite 102</w:t>
      </w:r>
    </w:p>
    <w:p>
      <w:pPr>
        <w:jc w:val="center"/>
        <w:spacing w:after="0" w:line="236" w:lineRule="auto"/>
        <w:rPr>
          <w:sz w:val="20"/>
          <w:szCs w:val="20"/>
          <w:color w:val="auto"/>
        </w:rPr>
      </w:pPr>
      <w:r>
        <w:rPr>
          <w:rFonts w:ascii="Arial" w:cs="Arial" w:eastAsia="Arial" w:hAnsi="Arial"/>
          <w:sz w:val="13"/>
          <w:szCs w:val="13"/>
          <w:b w:val="1"/>
          <w:bCs w:val="1"/>
          <w:color w:val="auto"/>
        </w:rPr>
        <w:t>Boston, MA 02210</w:t>
      </w:r>
    </w:p>
    <w:p>
      <w:pPr>
        <w:jc w:val="center"/>
        <w:spacing w:after="0" w:line="236" w:lineRule="auto"/>
        <w:rPr>
          <w:sz w:val="20"/>
          <w:szCs w:val="20"/>
          <w:color w:val="auto"/>
        </w:rPr>
      </w:pPr>
      <w:r>
        <w:rPr>
          <w:rFonts w:ascii="Arial" w:cs="Arial" w:eastAsia="Arial" w:hAnsi="Arial"/>
          <w:sz w:val="13"/>
          <w:szCs w:val="13"/>
          <w:b w:val="1"/>
          <w:bCs w:val="1"/>
          <w:color w:val="auto"/>
        </w:rPr>
        <w:t>(617) 949-2643</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92075</wp:posOffset>
            </wp:positionV>
            <wp:extent cx="1494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76" w:lineRule="exact"/>
        <w:rPr>
          <w:sz w:val="24"/>
          <w:szCs w:val="24"/>
          <w:color w:val="auto"/>
        </w:rPr>
      </w:pPr>
    </w:p>
    <w:tbl>
      <w:tblPr>
        <w:tblLayout w:type="fixed"/>
        <w:tblInd w:w="1900" w:type="dxa"/>
        <w:tblCellMar>
          <w:top w:w="0" w:type="dxa"/>
          <w:left w:w="0" w:type="dxa"/>
          <w:bottom w:w="0" w:type="dxa"/>
          <w:right w:w="0" w:type="dxa"/>
        </w:tblCellMar>
      </w:tblPr>
      <w:tr>
        <w:trPr>
          <w:trHeight w:val="177"/>
        </w:trPr>
        <w:tc>
          <w:tcPr>
            <w:tcW w:w="2660" w:type="dxa"/>
            <w:vAlign w:val="bottom"/>
          </w:tcPr>
          <w:p>
            <w:pPr>
              <w:spacing w:after="0"/>
              <w:rPr>
                <w:sz w:val="15"/>
                <w:szCs w:val="15"/>
                <w:color w:val="auto"/>
              </w:rPr>
            </w:pPr>
          </w:p>
        </w:tc>
        <w:tc>
          <w:tcPr>
            <w:tcW w:w="4800" w:type="dxa"/>
            <w:vAlign w:val="bottom"/>
          </w:tcPr>
          <w:p>
            <w:pPr>
              <w:ind w:left="760"/>
              <w:spacing w:after="0"/>
              <w:rPr>
                <w:sz w:val="20"/>
                <w:szCs w:val="20"/>
                <w:color w:val="auto"/>
              </w:rPr>
            </w:pPr>
            <w:r>
              <w:rPr>
                <w:rFonts w:ascii="Arial" w:cs="Arial" w:eastAsia="Arial" w:hAnsi="Arial"/>
                <w:sz w:val="13"/>
                <w:szCs w:val="13"/>
                <w:i w:val="1"/>
                <w:iCs w:val="1"/>
                <w:color w:val="auto"/>
              </w:rPr>
              <w:t>Copies to</w:t>
            </w:r>
            <w:r>
              <w:rPr>
                <w:rFonts w:ascii="Arial" w:cs="Arial" w:eastAsia="Arial" w:hAnsi="Arial"/>
                <w:sz w:val="13"/>
                <w:szCs w:val="13"/>
                <w:b w:val="1"/>
                <w:bCs w:val="1"/>
                <w:i w:val="1"/>
                <w:iCs w:val="1"/>
                <w:color w:val="auto"/>
              </w:rPr>
              <w:t>:</w:t>
            </w:r>
          </w:p>
        </w:tc>
      </w:tr>
      <w:tr>
        <w:trPr>
          <w:trHeight w:val="184"/>
        </w:trPr>
        <w:tc>
          <w:tcPr>
            <w:tcW w:w="2660" w:type="dxa"/>
            <w:vAlign w:val="bottom"/>
          </w:tcPr>
          <w:p>
            <w:pPr>
              <w:jc w:val="center"/>
              <w:ind w:right="713"/>
              <w:spacing w:after="0"/>
              <w:rPr>
                <w:sz w:val="20"/>
                <w:szCs w:val="20"/>
                <w:color w:val="auto"/>
              </w:rPr>
            </w:pPr>
            <w:r>
              <w:rPr>
                <w:rFonts w:ascii="Arial" w:cs="Arial" w:eastAsia="Arial" w:hAnsi="Arial"/>
                <w:sz w:val="13"/>
                <w:szCs w:val="13"/>
                <w:b w:val="1"/>
                <w:bCs w:val="1"/>
                <w:color w:val="auto"/>
              </w:rPr>
              <w:t>Robert E. Puopolo</w:t>
            </w:r>
          </w:p>
        </w:tc>
        <w:tc>
          <w:tcPr>
            <w:tcW w:w="4800" w:type="dxa"/>
            <w:vAlign w:val="bottom"/>
          </w:tcPr>
          <w:p>
            <w:pPr>
              <w:jc w:val="center"/>
              <w:ind w:left="3053"/>
              <w:spacing w:after="0"/>
              <w:rPr>
                <w:sz w:val="20"/>
                <w:szCs w:val="20"/>
                <w:color w:val="auto"/>
              </w:rPr>
            </w:pPr>
            <w:r>
              <w:rPr>
                <w:rFonts w:ascii="Arial" w:cs="Arial" w:eastAsia="Arial" w:hAnsi="Arial"/>
                <w:sz w:val="13"/>
                <w:szCs w:val="13"/>
                <w:b w:val="1"/>
                <w:bCs w:val="1"/>
                <w:color w:val="auto"/>
              </w:rPr>
              <w:t>Nathan Ajiashvili</w:t>
            </w:r>
          </w:p>
        </w:tc>
      </w:tr>
      <w:tr>
        <w:trPr>
          <w:trHeight w:val="147"/>
        </w:trPr>
        <w:tc>
          <w:tcPr>
            <w:tcW w:w="2660" w:type="dxa"/>
            <w:vAlign w:val="bottom"/>
          </w:tcPr>
          <w:p>
            <w:pPr>
              <w:jc w:val="center"/>
              <w:ind w:right="693"/>
              <w:spacing w:after="0" w:line="148" w:lineRule="exact"/>
              <w:rPr>
                <w:sz w:val="20"/>
                <w:szCs w:val="20"/>
                <w:color w:val="auto"/>
              </w:rPr>
            </w:pPr>
            <w:r>
              <w:rPr>
                <w:rFonts w:ascii="Arial" w:cs="Arial" w:eastAsia="Arial" w:hAnsi="Arial"/>
                <w:sz w:val="13"/>
                <w:szCs w:val="13"/>
                <w:b w:val="1"/>
                <w:bCs w:val="1"/>
                <w:color w:val="auto"/>
              </w:rPr>
              <w:t>Marishka DeToy</w:t>
            </w:r>
          </w:p>
        </w:tc>
        <w:tc>
          <w:tcPr>
            <w:tcW w:w="4800" w:type="dxa"/>
            <w:vAlign w:val="bottom"/>
          </w:tcPr>
          <w:p>
            <w:pPr>
              <w:jc w:val="center"/>
              <w:ind w:left="3033"/>
              <w:spacing w:after="0" w:line="148" w:lineRule="exact"/>
              <w:rPr>
                <w:sz w:val="20"/>
                <w:szCs w:val="20"/>
                <w:color w:val="auto"/>
              </w:rPr>
            </w:pPr>
            <w:r>
              <w:rPr>
                <w:rFonts w:ascii="Arial" w:cs="Arial" w:eastAsia="Arial" w:hAnsi="Arial"/>
                <w:sz w:val="13"/>
                <w:szCs w:val="13"/>
                <w:b w:val="1"/>
                <w:bCs w:val="1"/>
                <w:color w:val="auto"/>
              </w:rPr>
              <w:t>Alison Haggerty</w:t>
            </w:r>
          </w:p>
        </w:tc>
      </w:tr>
      <w:tr>
        <w:trPr>
          <w:trHeight w:val="147"/>
        </w:trPr>
        <w:tc>
          <w:tcPr>
            <w:tcW w:w="2660" w:type="dxa"/>
            <w:vAlign w:val="bottom"/>
          </w:tcPr>
          <w:p>
            <w:pPr>
              <w:jc w:val="center"/>
              <w:ind w:right="713"/>
              <w:spacing w:after="0" w:line="148" w:lineRule="exact"/>
              <w:rPr>
                <w:sz w:val="20"/>
                <w:szCs w:val="20"/>
                <w:color w:val="auto"/>
              </w:rPr>
            </w:pPr>
            <w:r>
              <w:rPr>
                <w:rFonts w:ascii="Arial" w:cs="Arial" w:eastAsia="Arial" w:hAnsi="Arial"/>
                <w:sz w:val="13"/>
                <w:szCs w:val="13"/>
                <w:b w:val="1"/>
                <w:bCs w:val="1"/>
                <w:color w:val="auto"/>
              </w:rPr>
              <w:t>Goodwin Procter LLP</w:t>
            </w:r>
          </w:p>
        </w:tc>
        <w:tc>
          <w:tcPr>
            <w:tcW w:w="4800" w:type="dxa"/>
            <w:vAlign w:val="bottom"/>
          </w:tcPr>
          <w:p>
            <w:pPr>
              <w:jc w:val="center"/>
              <w:ind w:left="3053"/>
              <w:spacing w:after="0" w:line="148" w:lineRule="exact"/>
              <w:rPr>
                <w:sz w:val="20"/>
                <w:szCs w:val="20"/>
                <w:color w:val="auto"/>
              </w:rPr>
            </w:pPr>
            <w:r>
              <w:rPr>
                <w:rFonts w:ascii="Arial" w:cs="Arial" w:eastAsia="Arial" w:hAnsi="Arial"/>
                <w:sz w:val="13"/>
                <w:szCs w:val="13"/>
                <w:b w:val="1"/>
                <w:bCs w:val="1"/>
                <w:color w:val="auto"/>
              </w:rPr>
              <w:t>Latham &amp; Watkins LLP</w:t>
            </w:r>
          </w:p>
        </w:tc>
      </w:tr>
      <w:tr>
        <w:trPr>
          <w:trHeight w:val="147"/>
        </w:trPr>
        <w:tc>
          <w:tcPr>
            <w:tcW w:w="2660" w:type="dxa"/>
            <w:vAlign w:val="bottom"/>
          </w:tcPr>
          <w:p>
            <w:pPr>
              <w:jc w:val="center"/>
              <w:ind w:right="693"/>
              <w:spacing w:after="0" w:line="148" w:lineRule="exact"/>
              <w:rPr>
                <w:sz w:val="20"/>
                <w:szCs w:val="20"/>
                <w:color w:val="auto"/>
              </w:rPr>
            </w:pPr>
            <w:r>
              <w:rPr>
                <w:rFonts w:ascii="Arial" w:cs="Arial" w:eastAsia="Arial" w:hAnsi="Arial"/>
                <w:sz w:val="13"/>
                <w:szCs w:val="13"/>
                <w:b w:val="1"/>
                <w:bCs w:val="1"/>
                <w:color w:val="auto"/>
              </w:rPr>
              <w:t>100 Northern Avenue</w:t>
            </w:r>
          </w:p>
        </w:tc>
        <w:tc>
          <w:tcPr>
            <w:tcW w:w="4800" w:type="dxa"/>
            <w:vAlign w:val="bottom"/>
          </w:tcPr>
          <w:p>
            <w:pPr>
              <w:jc w:val="center"/>
              <w:ind w:left="3033"/>
              <w:spacing w:after="0" w:line="148" w:lineRule="exact"/>
              <w:rPr>
                <w:sz w:val="20"/>
                <w:szCs w:val="20"/>
                <w:color w:val="auto"/>
              </w:rPr>
            </w:pPr>
            <w:r>
              <w:rPr>
                <w:rFonts w:ascii="Arial" w:cs="Arial" w:eastAsia="Arial" w:hAnsi="Arial"/>
                <w:sz w:val="13"/>
                <w:szCs w:val="13"/>
                <w:b w:val="1"/>
                <w:bCs w:val="1"/>
                <w:color w:val="auto"/>
              </w:rPr>
              <w:t>1271 Avenue of Americas</w:t>
            </w:r>
          </w:p>
        </w:tc>
      </w:tr>
      <w:tr>
        <w:trPr>
          <w:trHeight w:val="147"/>
        </w:trPr>
        <w:tc>
          <w:tcPr>
            <w:tcW w:w="2660" w:type="dxa"/>
            <w:vAlign w:val="bottom"/>
          </w:tcPr>
          <w:p>
            <w:pPr>
              <w:jc w:val="center"/>
              <w:ind w:right="693"/>
              <w:spacing w:after="0" w:line="148" w:lineRule="exact"/>
              <w:rPr>
                <w:sz w:val="20"/>
                <w:szCs w:val="20"/>
                <w:color w:val="auto"/>
              </w:rPr>
            </w:pPr>
            <w:r>
              <w:rPr>
                <w:rFonts w:ascii="Arial" w:cs="Arial" w:eastAsia="Arial" w:hAnsi="Arial"/>
                <w:sz w:val="13"/>
                <w:szCs w:val="13"/>
                <w:b w:val="1"/>
                <w:bCs w:val="1"/>
                <w:color w:val="auto"/>
              </w:rPr>
              <w:t>Boston, Massachusetts 02210</w:t>
            </w:r>
          </w:p>
        </w:tc>
        <w:tc>
          <w:tcPr>
            <w:tcW w:w="4800" w:type="dxa"/>
            <w:vAlign w:val="bottom"/>
          </w:tcPr>
          <w:p>
            <w:pPr>
              <w:jc w:val="center"/>
              <w:ind w:left="3053"/>
              <w:spacing w:after="0" w:line="148" w:lineRule="exact"/>
              <w:rPr>
                <w:sz w:val="20"/>
                <w:szCs w:val="20"/>
                <w:color w:val="auto"/>
              </w:rPr>
            </w:pPr>
            <w:r>
              <w:rPr>
                <w:rFonts w:ascii="Arial" w:cs="Arial" w:eastAsia="Arial" w:hAnsi="Arial"/>
                <w:sz w:val="13"/>
                <w:szCs w:val="13"/>
                <w:b w:val="1"/>
                <w:bCs w:val="1"/>
                <w:color w:val="auto"/>
              </w:rPr>
              <w:t>New York, New York 10020</w:t>
            </w:r>
          </w:p>
        </w:tc>
      </w:tr>
      <w:tr>
        <w:trPr>
          <w:trHeight w:val="177"/>
        </w:trPr>
        <w:tc>
          <w:tcPr>
            <w:tcW w:w="2660" w:type="dxa"/>
            <w:vAlign w:val="bottom"/>
          </w:tcPr>
          <w:p>
            <w:pPr>
              <w:jc w:val="center"/>
              <w:ind w:right="713"/>
              <w:spacing w:after="0"/>
              <w:rPr>
                <w:sz w:val="20"/>
                <w:szCs w:val="20"/>
                <w:color w:val="auto"/>
              </w:rPr>
            </w:pPr>
            <w:r>
              <w:rPr>
                <w:rFonts w:ascii="Arial" w:cs="Arial" w:eastAsia="Arial" w:hAnsi="Arial"/>
                <w:sz w:val="13"/>
                <w:szCs w:val="13"/>
                <w:b w:val="1"/>
                <w:bCs w:val="1"/>
                <w:color w:val="auto"/>
              </w:rPr>
              <w:t>(617) 570-1000</w:t>
            </w:r>
          </w:p>
        </w:tc>
        <w:tc>
          <w:tcPr>
            <w:tcW w:w="4800" w:type="dxa"/>
            <w:vAlign w:val="bottom"/>
          </w:tcPr>
          <w:p>
            <w:pPr>
              <w:jc w:val="center"/>
              <w:ind w:left="3033"/>
              <w:spacing w:after="0"/>
              <w:rPr>
                <w:sz w:val="20"/>
                <w:szCs w:val="20"/>
                <w:color w:val="auto"/>
              </w:rPr>
            </w:pPr>
            <w:r>
              <w:rPr>
                <w:rFonts w:ascii="Arial" w:cs="Arial" w:eastAsia="Arial" w:hAnsi="Arial"/>
                <w:sz w:val="13"/>
                <w:szCs w:val="13"/>
                <w:b w:val="1"/>
                <w:bCs w:val="1"/>
                <w:color w:val="auto"/>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93345</wp:posOffset>
            </wp:positionV>
            <wp:extent cx="1494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the effective date of this registration statement.</w:t>
      </w:r>
    </w:p>
    <w:p>
      <w:pPr>
        <w:spacing w:after="0" w:line="67" w:lineRule="exact"/>
        <w:rPr>
          <w:sz w:val="24"/>
          <w:szCs w:val="24"/>
          <w:color w:val="auto"/>
        </w:rPr>
      </w:pPr>
    </w:p>
    <w:p>
      <w:pPr>
        <w:ind w:right="480"/>
        <w:spacing w:after="0" w:line="16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3"/>
          <w:szCs w:val="13"/>
          <w:color w:val="auto"/>
        </w:rPr>
        <w:t>☐</w:t>
      </w:r>
    </w:p>
    <w:p>
      <w:pPr>
        <w:spacing w:after="0" w:line="26" w:lineRule="exact"/>
        <w:rPr>
          <w:sz w:val="24"/>
          <w:szCs w:val="24"/>
          <w:color w:val="auto"/>
        </w:rPr>
      </w:pPr>
    </w:p>
    <w:p>
      <w:pPr>
        <w:ind w:right="420"/>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right="40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right="38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right="160"/>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4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480"/>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4"/>
        </w:trPr>
        <w:tc>
          <w:tcPr>
            <w:tcW w:w="15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4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480"/>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8"/>
        </w:trPr>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340" w:type="dxa"/>
            <w:vAlign w:val="bottom"/>
          </w:tcPr>
          <w:p>
            <w:pPr>
              <w:ind w:left="3480"/>
              <w:spacing w:after="0"/>
              <w:rPr>
                <w:sz w:val="20"/>
                <w:szCs w:val="20"/>
                <w:color w:val="auto"/>
              </w:rPr>
            </w:pPr>
            <w:r>
              <w:rPr>
                <w:rFonts w:ascii="Arial" w:cs="Arial" w:eastAsia="Arial" w:hAnsi="Arial"/>
                <w:sz w:val="13"/>
                <w:szCs w:val="13"/>
                <w:color w:val="auto"/>
              </w:rPr>
              <w:t>Emerging growth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6" w:lineRule="exact"/>
        <w:rPr>
          <w:sz w:val="24"/>
          <w:szCs w:val="24"/>
          <w:color w:val="auto"/>
        </w:rPr>
      </w:pPr>
    </w:p>
    <w:p>
      <w:pPr>
        <w:ind w:right="40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85090</wp:posOffset>
            </wp:positionV>
            <wp:extent cx="1494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81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1"/>
        </w:trPr>
        <w:tc>
          <w:tcPr>
            <w:tcW w:w="812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jc w:val="center"/>
              <w:ind w:left="14"/>
              <w:spacing w:after="0" w:line="111" w:lineRule="exact"/>
              <w:rPr>
                <w:sz w:val="20"/>
                <w:szCs w:val="20"/>
                <w:color w:val="auto"/>
              </w:rPr>
            </w:pPr>
            <w:r>
              <w:rPr>
                <w:rFonts w:ascii="Arial" w:cs="Arial" w:eastAsia="Arial" w:hAnsi="Arial"/>
                <w:sz w:val="12"/>
                <w:szCs w:val="12"/>
                <w:b w:val="1"/>
                <w:bCs w:val="1"/>
                <w:color w:val="auto"/>
              </w:rPr>
              <w:t>Proposed</w:t>
            </w:r>
          </w:p>
        </w:tc>
        <w:tc>
          <w:tcPr>
            <w:tcW w:w="1540" w:type="dxa"/>
            <w:vAlign w:val="bottom"/>
          </w:tcPr>
          <w:p>
            <w:pPr>
              <w:spacing w:after="0"/>
              <w:rPr>
                <w:sz w:val="9"/>
                <w:szCs w:val="9"/>
                <w:color w:val="auto"/>
              </w:rPr>
            </w:pPr>
          </w:p>
        </w:tc>
      </w:tr>
      <w:tr>
        <w:trPr>
          <w:trHeight w:val="147"/>
        </w:trPr>
        <w:tc>
          <w:tcPr>
            <w:tcW w:w="81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left="14"/>
              <w:spacing w:after="0" w:line="148" w:lineRule="exact"/>
              <w:rPr>
                <w:sz w:val="20"/>
                <w:szCs w:val="20"/>
                <w:color w:val="auto"/>
              </w:rPr>
            </w:pPr>
            <w:r>
              <w:rPr>
                <w:rFonts w:ascii="Arial" w:cs="Arial" w:eastAsia="Arial" w:hAnsi="Arial"/>
                <w:sz w:val="13"/>
                <w:szCs w:val="13"/>
                <w:b w:val="1"/>
                <w:bCs w:val="1"/>
                <w:color w:val="auto"/>
              </w:rPr>
              <w:t>maximum</w:t>
            </w:r>
          </w:p>
        </w:tc>
        <w:tc>
          <w:tcPr>
            <w:tcW w:w="1540" w:type="dxa"/>
            <w:vAlign w:val="bottom"/>
          </w:tcPr>
          <w:p>
            <w:pPr>
              <w:spacing w:after="0"/>
              <w:rPr>
                <w:sz w:val="12"/>
                <w:szCs w:val="12"/>
                <w:color w:val="auto"/>
              </w:rPr>
            </w:pPr>
          </w:p>
        </w:tc>
      </w:tr>
      <w:tr>
        <w:trPr>
          <w:trHeight w:val="147"/>
        </w:trPr>
        <w:tc>
          <w:tcPr>
            <w:tcW w:w="81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Title of each class of</w:t>
            </w:r>
          </w:p>
        </w:tc>
        <w:tc>
          <w:tcPr>
            <w:tcW w:w="15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aggregate</w:t>
            </w:r>
          </w:p>
        </w:tc>
        <w:tc>
          <w:tcPr>
            <w:tcW w:w="1540" w:type="dxa"/>
            <w:vAlign w:val="bottom"/>
          </w:tcPr>
          <w:p>
            <w:pPr>
              <w:jc w:val="center"/>
              <w:ind w:left="13"/>
              <w:spacing w:after="0" w:line="148" w:lineRule="exact"/>
              <w:rPr>
                <w:sz w:val="20"/>
                <w:szCs w:val="20"/>
                <w:color w:val="auto"/>
              </w:rPr>
            </w:pPr>
            <w:r>
              <w:rPr>
                <w:rFonts w:ascii="Arial" w:cs="Arial" w:eastAsia="Arial" w:hAnsi="Arial"/>
                <w:sz w:val="13"/>
                <w:szCs w:val="13"/>
                <w:b w:val="1"/>
                <w:bCs w:val="1"/>
                <w:color w:val="auto"/>
              </w:rPr>
              <w:t>Amount of</w:t>
            </w:r>
          </w:p>
        </w:tc>
      </w:tr>
      <w:tr>
        <w:trPr>
          <w:trHeight w:val="164"/>
        </w:trPr>
        <w:tc>
          <w:tcPr>
            <w:tcW w:w="8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securities to be registered</w:t>
            </w:r>
          </w:p>
        </w:tc>
        <w:tc>
          <w:tcPr>
            <w:tcW w:w="15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offering price(1)</w:t>
            </w:r>
          </w:p>
        </w:tc>
        <w:tc>
          <w:tcPr>
            <w:tcW w:w="15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registration fee</w:t>
            </w:r>
          </w:p>
        </w:tc>
      </w:tr>
      <w:tr>
        <w:trPr>
          <w:trHeight w:val="140"/>
        </w:trPr>
        <w:tc>
          <w:tcPr>
            <w:tcW w:w="812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3"/>
                <w:szCs w:val="13"/>
                <w:color w:val="auto"/>
              </w:rPr>
              <w:t>Common stock, $0.0001 par value per share</w:t>
            </w:r>
          </w:p>
        </w:tc>
        <w:tc>
          <w:tcPr>
            <w:tcW w:w="1580" w:type="dxa"/>
            <w:vAlign w:val="bottom"/>
            <w:tcBorders>
              <w:bottom w:val="single" w:sz="8" w:color="auto"/>
              <w:right w:val="single" w:sz="8" w:color="auto"/>
            </w:tcBorders>
          </w:tcPr>
          <w:p>
            <w:pPr>
              <w:jc w:val="center"/>
              <w:ind w:left="14"/>
              <w:spacing w:after="0" w:line="141" w:lineRule="exact"/>
              <w:rPr>
                <w:sz w:val="20"/>
                <w:szCs w:val="20"/>
                <w:color w:val="auto"/>
              </w:rPr>
            </w:pPr>
            <w:r>
              <w:rPr>
                <w:rFonts w:ascii="Arial" w:cs="Arial" w:eastAsia="Arial" w:hAnsi="Arial"/>
                <w:sz w:val="13"/>
                <w:szCs w:val="13"/>
                <w:color w:val="auto"/>
              </w:rPr>
              <w:t>$100,000,000</w:t>
            </w:r>
          </w:p>
        </w:tc>
        <w:tc>
          <w:tcPr>
            <w:tcW w:w="1540" w:type="dxa"/>
            <w:vAlign w:val="bottom"/>
            <w:tcBorders>
              <w:bottom w:val="single" w:sz="8" w:color="auto"/>
            </w:tcBorders>
          </w:tcPr>
          <w:p>
            <w:pPr>
              <w:jc w:val="center"/>
              <w:ind w:left="33"/>
              <w:spacing w:after="0" w:line="141" w:lineRule="exact"/>
              <w:rPr>
                <w:sz w:val="20"/>
                <w:szCs w:val="20"/>
                <w:color w:val="auto"/>
              </w:rPr>
            </w:pPr>
            <w:r>
              <w:rPr>
                <w:rFonts w:ascii="Arial" w:cs="Arial" w:eastAsia="Arial" w:hAnsi="Arial"/>
                <w:sz w:val="13"/>
                <w:szCs w:val="13"/>
                <w:color w:val="auto"/>
              </w:rPr>
              <w:t>$10,910</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440" w:right="280" w:hanging="433"/>
        <w:spacing w:after="0" w:line="254"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registration fee in accordance with Rule 457(o) under the Securities Act. Includes the aggregate offering price of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80010</wp:posOffset>
            </wp:positionV>
            <wp:extent cx="1494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156" w:lineRule="exact"/>
        <w:rPr>
          <w:sz w:val="24"/>
          <w:szCs w:val="24"/>
          <w:color w:val="auto"/>
        </w:rPr>
      </w:pPr>
    </w:p>
    <w:p>
      <w:pPr>
        <w:ind w:right="30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color w:val="8B3F4E"/>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jurisdiction where the offer or sale is not permitted.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8B3F4E"/>
        </w:rPr>
        <w:t>Subject to completion, dated June 4, 2021</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2708910" cy="713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71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ectPr>
          <w:pgSz w:w="11900" w:h="16838" w:orient="portrait"/>
          <w:cols w:equalWidth="0" w:num="1">
            <w:col w:w="11240"/>
          </w:cols>
          <w:pgMar w:left="320" w:top="456" w:right="339" w:bottom="1440" w:gutter="0" w:footer="0" w:header="0"/>
        </w:sectPr>
      </w:pPr>
    </w:p>
    <w:p>
      <w:pPr>
        <w:spacing w:after="0" w:line="15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This is an initial public offering of shares of common stock by Monte Rosa Therapeutics, Inc. We are offering We expect that the initial public offering price will be between $ and $ per share.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312" w:lineRule="exact"/>
        <w:rPr>
          <w:sz w:val="20"/>
          <w:szCs w:val="20"/>
          <w:color w:val="auto"/>
        </w:rPr>
      </w:pPr>
    </w:p>
    <w:p>
      <w:pPr>
        <w:sectPr>
          <w:pgSz w:w="11900" w:h="16838" w:orient="portrait"/>
          <w:cols w:equalWidth="0" w:num="2">
            <w:col w:w="8480" w:space="720"/>
            <w:col w:w="2040"/>
          </w:cols>
          <w:pgMar w:left="320" w:top="456" w:right="339" w:bottom="1440" w:gutter="0" w:footer="0" w:header="0"/>
          <w:type w:val="continuous"/>
        </w:sectPr>
      </w:pPr>
    </w:p>
    <w:p>
      <w:pPr>
        <w:jc w:val="both"/>
        <w:ind w:right="200"/>
        <w:spacing w:after="0" w:line="263" w:lineRule="auto"/>
        <w:rPr>
          <w:sz w:val="20"/>
          <w:szCs w:val="20"/>
          <w:color w:val="auto"/>
        </w:rPr>
      </w:pPr>
      <w:r>
        <w:rPr>
          <w:rFonts w:ascii="Arial" w:cs="Arial" w:eastAsia="Arial" w:hAnsi="Arial"/>
          <w:sz w:val="17"/>
          <w:szCs w:val="17"/>
          <w:color w:val="auto"/>
        </w:rPr>
        <w:t>Prior to this offering, there has been no public market for our shares. We intend to apply to list our common stock on The Nasdaq Global Market under the symbol “GLUE.”</w:t>
      </w:r>
    </w:p>
    <w:p>
      <w:pPr>
        <w:spacing w:after="0" w:line="80"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We are an “emerging growth company” and a “smaller reporting company” under the federal securities laws and, as such, we have elected to comply with certain reduced public company reporting requirements for this prospectus and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Per share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Total</w:t>
            </w:r>
          </w:p>
        </w:tc>
      </w:tr>
      <w:tr>
        <w:trPr>
          <w:trHeight w:val="114"/>
        </w:trPr>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01"/>
        </w:trPr>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4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346"/>
        </w:trPr>
        <w:tc>
          <w:tcPr>
            <w:tcW w:w="2880" w:type="dxa"/>
            <w:vAlign w:val="bottom"/>
            <w:gridSpan w:val="3"/>
          </w:tcPr>
          <w:p>
            <w:pPr>
              <w:spacing w:after="0"/>
              <w:rPr>
                <w:sz w:val="20"/>
                <w:szCs w:val="20"/>
                <w:color w:val="auto"/>
              </w:rPr>
            </w:pPr>
            <w:r>
              <w:rPr>
                <w:rFonts w:ascii="Arial" w:cs="Arial" w:eastAsia="Arial" w:hAnsi="Arial"/>
                <w:sz w:val="17"/>
                <w:szCs w:val="17"/>
                <w:color w:val="auto"/>
              </w:rPr>
              <w:t>Underwriting discount(1)</w:t>
            </w:r>
          </w:p>
        </w:tc>
        <w:tc>
          <w:tcPr>
            <w:tcW w:w="4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7"/>
                <w:szCs w:val="17"/>
                <w:color w:val="auto"/>
              </w:rPr>
              <w:t>$</w:t>
            </w:r>
          </w:p>
        </w:tc>
        <w:tc>
          <w:tcPr>
            <w:tcW w:w="1240" w:type="dxa"/>
            <w:vAlign w:val="bottom"/>
          </w:tcPr>
          <w:p>
            <w:pPr>
              <w:ind w:left="220"/>
              <w:spacing w:after="0"/>
              <w:rPr>
                <w:sz w:val="20"/>
                <w:szCs w:val="20"/>
                <w:color w:val="auto"/>
              </w:rPr>
            </w:pPr>
            <w:r>
              <w:rPr>
                <w:rFonts w:ascii="Arial" w:cs="Arial" w:eastAsia="Arial" w:hAnsi="Arial"/>
                <w:sz w:val="17"/>
                <w:szCs w:val="17"/>
                <w:color w:val="auto"/>
              </w:rPr>
              <w:t>$</w:t>
            </w:r>
          </w:p>
        </w:tc>
      </w:tr>
      <w:tr>
        <w:trPr>
          <w:trHeight w:val="122"/>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2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01"/>
        </w:trPr>
        <w:tc>
          <w:tcPr>
            <w:tcW w:w="78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Proceeds, before expenses, to Monte Rosa Therapeutics, Inc.</w:t>
            </w:r>
          </w:p>
        </w:tc>
        <w:tc>
          <w:tcPr>
            <w:tcW w:w="9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194"/>
        </w:trPr>
        <w:tc>
          <w:tcPr>
            <w:tcW w:w="7820" w:type="dxa"/>
            <w:vAlign w:val="bottom"/>
            <w:gridSpan w:val="4"/>
          </w:tcPr>
          <w:p>
            <w:pPr>
              <w:spacing w:after="0"/>
              <w:rPr>
                <w:rFonts w:ascii="Arial" w:cs="Arial" w:eastAsia="Arial" w:hAnsi="Arial"/>
                <w:sz w:val="13"/>
                <w:szCs w:val="13"/>
                <w:color w:val="auto"/>
              </w:rPr>
            </w:pPr>
            <w:r>
              <w:rPr>
                <w:rFonts w:ascii="Arial" w:cs="Arial" w:eastAsia="Arial" w:hAnsi="Arial"/>
                <w:sz w:val="13"/>
                <w:szCs w:val="13"/>
                <w:color w:val="auto"/>
              </w:rPr>
              <w:t>(1)  See “</w:t>
            </w:r>
            <w:hyperlink w:anchor="page202">
              <w:r>
                <w:rPr>
                  <w:rFonts w:ascii="Arial" w:cs="Arial" w:eastAsia="Arial" w:hAnsi="Arial"/>
                  <w:sz w:val="13"/>
                  <w:szCs w:val="13"/>
                  <w:color w:val="0000EE"/>
                </w:rPr>
                <w:t>Underwriting</w:t>
              </w:r>
            </w:hyperlink>
            <w:r>
              <w:rPr>
                <w:rFonts w:ascii="Arial" w:cs="Arial" w:eastAsia="Arial" w:hAnsi="Arial"/>
                <w:sz w:val="13"/>
                <w:szCs w:val="13"/>
                <w:color w:val="auto"/>
              </w:rPr>
              <w:t>” beginning on page 198 of this prospectus for additional information regarding underwriting compensation.</w:t>
            </w: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304"/>
        </w:trPr>
        <w:tc>
          <w:tcPr>
            <w:tcW w:w="7820" w:type="dxa"/>
            <w:vAlign w:val="bottom"/>
            <w:gridSpan w:val="4"/>
          </w:tcPr>
          <w:p>
            <w:pPr>
              <w:spacing w:after="0"/>
              <w:rPr>
                <w:sz w:val="20"/>
                <w:szCs w:val="20"/>
                <w:color w:val="auto"/>
              </w:rPr>
            </w:pPr>
            <w:r>
              <w:rPr>
                <w:rFonts w:ascii="Arial" w:cs="Arial" w:eastAsia="Arial" w:hAnsi="Arial"/>
                <w:sz w:val="17"/>
                <w:szCs w:val="17"/>
                <w:color w:val="auto"/>
              </w:rPr>
              <w:t>We have granted the underwriters an option for a period of 30 days to purchase an additional</w:t>
            </w:r>
          </w:p>
        </w:tc>
        <w:tc>
          <w:tcPr>
            <w:tcW w:w="3420" w:type="dxa"/>
            <w:vAlign w:val="bottom"/>
            <w:gridSpan w:val="3"/>
          </w:tcPr>
          <w:p>
            <w:pPr>
              <w:ind w:left="100"/>
              <w:spacing w:after="0"/>
              <w:rPr>
                <w:sz w:val="20"/>
                <w:szCs w:val="20"/>
                <w:color w:val="auto"/>
              </w:rPr>
            </w:pPr>
            <w:r>
              <w:rPr>
                <w:rFonts w:ascii="Arial" w:cs="Arial" w:eastAsia="Arial" w:hAnsi="Arial"/>
                <w:sz w:val="17"/>
                <w:szCs w:val="17"/>
                <w:color w:val="auto"/>
              </w:rPr>
              <w:t>shares of our common stock. If the</w:t>
            </w:r>
          </w:p>
        </w:tc>
      </w:tr>
      <w:tr>
        <w:trPr>
          <w:trHeight w:val="201"/>
        </w:trPr>
        <w:tc>
          <w:tcPr>
            <w:tcW w:w="8800" w:type="dxa"/>
            <w:vAlign w:val="bottom"/>
            <w:gridSpan w:val="5"/>
          </w:tcPr>
          <w:p>
            <w:pPr>
              <w:spacing w:after="0"/>
              <w:rPr>
                <w:sz w:val="20"/>
                <w:szCs w:val="20"/>
                <w:color w:val="auto"/>
              </w:rPr>
            </w:pPr>
            <w:r>
              <w:rPr>
                <w:rFonts w:ascii="Arial" w:cs="Arial" w:eastAsia="Arial" w:hAnsi="Arial"/>
                <w:sz w:val="17"/>
                <w:szCs w:val="17"/>
                <w:color w:val="auto"/>
              </w:rPr>
              <w:t>underwriters exercise the option in full, the total underwriting discounts and commissions payable by us will be $</w:t>
            </w:r>
          </w:p>
        </w:tc>
        <w:tc>
          <w:tcPr>
            <w:tcW w:w="2440" w:type="dxa"/>
            <w:vAlign w:val="bottom"/>
            <w:gridSpan w:val="2"/>
          </w:tcPr>
          <w:p>
            <w:pPr>
              <w:ind w:left="580"/>
              <w:spacing w:after="0"/>
              <w:rPr>
                <w:sz w:val="20"/>
                <w:szCs w:val="20"/>
                <w:color w:val="auto"/>
              </w:rPr>
            </w:pPr>
            <w:r>
              <w:rPr>
                <w:rFonts w:ascii="Arial" w:cs="Arial" w:eastAsia="Arial" w:hAnsi="Arial"/>
                <w:sz w:val="17"/>
                <w:szCs w:val="17"/>
                <w:color w:val="auto"/>
              </w:rPr>
              <w:t>, and the total proceeds</w:t>
            </w:r>
          </w:p>
        </w:tc>
      </w:tr>
      <w:tr>
        <w:trPr>
          <w:trHeight w:val="209"/>
        </w:trPr>
        <w:tc>
          <w:tcPr>
            <w:tcW w:w="2880" w:type="dxa"/>
            <w:vAlign w:val="bottom"/>
            <w:gridSpan w:val="3"/>
          </w:tcPr>
          <w:p>
            <w:pPr>
              <w:spacing w:after="0"/>
              <w:rPr>
                <w:sz w:val="20"/>
                <w:szCs w:val="20"/>
                <w:color w:val="auto"/>
              </w:rPr>
            </w:pPr>
            <w:r>
              <w:rPr>
                <w:rFonts w:ascii="Arial" w:cs="Arial" w:eastAsia="Arial" w:hAnsi="Arial"/>
                <w:sz w:val="17"/>
                <w:szCs w:val="17"/>
                <w:color w:val="auto"/>
              </w:rPr>
              <w:t>to us, before expenses, will be $</w:t>
            </w:r>
          </w:p>
        </w:tc>
        <w:tc>
          <w:tcPr>
            <w:tcW w:w="4940" w:type="dxa"/>
            <w:vAlign w:val="bottom"/>
          </w:tcPr>
          <w:p>
            <w:pPr>
              <w:jc w:val="right"/>
              <w:ind w:right="4413"/>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76" w:lineRule="exact"/>
        <w:rPr>
          <w:sz w:val="20"/>
          <w:szCs w:val="20"/>
          <w:color w:val="auto"/>
        </w:rPr>
      </w:pPr>
    </w:p>
    <w:p>
      <w:pPr>
        <w:ind w:right="260"/>
        <w:spacing w:after="0" w:line="290"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starting on page 12 of this prospectus.</w:t>
      </w:r>
    </w:p>
    <w:p>
      <w:pPr>
        <w:spacing w:after="0" w:line="36"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The underwriters expect to deliver the shares of common stock to the purchasers on or about</w:t>
            </w:r>
          </w:p>
        </w:tc>
        <w:tc>
          <w:tcPr>
            <w:tcW w:w="920" w:type="dxa"/>
            <w:vAlign w:val="bottom"/>
          </w:tcPr>
          <w:p>
            <w:pPr>
              <w:jc w:val="right"/>
              <w:spacing w:after="0"/>
              <w:rPr>
                <w:sz w:val="20"/>
                <w:szCs w:val="20"/>
                <w:color w:val="auto"/>
              </w:rPr>
            </w:pPr>
            <w:r>
              <w:rPr>
                <w:rFonts w:ascii="Arial" w:cs="Arial" w:eastAsia="Arial" w:hAnsi="Arial"/>
                <w:sz w:val="17"/>
                <w:szCs w:val="17"/>
                <w:color w:val="auto"/>
              </w:rPr>
              <w:t>, 2021.</w:t>
            </w:r>
          </w:p>
        </w:tc>
      </w:tr>
    </w:tbl>
    <w:p>
      <w:pPr>
        <w:spacing w:after="0" w:line="152" w:lineRule="exact"/>
        <w:rPr>
          <w:sz w:val="20"/>
          <w:szCs w:val="20"/>
          <w:color w:val="auto"/>
        </w:rPr>
      </w:pPr>
    </w:p>
    <w:p>
      <w:pPr>
        <w:sectPr>
          <w:pgSz w:w="11900" w:h="16838" w:orient="portrait"/>
          <w:cols w:equalWidth="0" w:num="1">
            <w:col w:w="11240"/>
          </w:cols>
          <w:pgMar w:left="320" w:top="456" w:right="339" w:bottom="1440" w:gutter="0" w:footer="0" w:header="0"/>
          <w:type w:val="continuous"/>
        </w:sect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1"/>
          <w:szCs w:val="31"/>
          <w:b w:val="1"/>
          <w:bCs w:val="1"/>
          <w:color w:val="auto"/>
        </w:rPr>
        <w:t>Cowen</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31"/>
          <w:szCs w:val="31"/>
          <w:b w:val="1"/>
          <w:bCs w:val="1"/>
          <w:color w:val="auto"/>
        </w:rPr>
        <w:t>Piper Sandler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Guggenheim Securities</w:t>
      </w:r>
    </w:p>
    <w:p>
      <w:pPr>
        <w:spacing w:after="0" w:line="131" w:lineRule="exact"/>
        <w:rPr>
          <w:sz w:val="20"/>
          <w:szCs w:val="20"/>
          <w:color w:val="auto"/>
        </w:rPr>
      </w:pPr>
    </w:p>
    <w:p>
      <w:pPr>
        <w:sectPr>
          <w:pgSz w:w="11900" w:h="16838" w:orient="portrait"/>
          <w:cols w:equalWidth="0" w:num="4">
            <w:col w:w="1780" w:space="560"/>
            <w:col w:w="1140" w:space="720"/>
            <w:col w:w="2180" w:space="720"/>
            <w:col w:w="4140"/>
          </w:cols>
          <w:pgMar w:left="320" w:top="456" w:right="339" w:bottom="1440" w:gutter="0" w:footer="0" w:header="0"/>
          <w:type w:val="continuous"/>
        </w:sectPr>
      </w:pPr>
    </w:p>
    <w:p>
      <w:pPr>
        <w:ind w:left="780"/>
        <w:spacing w:after="0"/>
        <w:rPr>
          <w:sz w:val="20"/>
          <w:szCs w:val="20"/>
          <w:color w:val="auto"/>
        </w:rPr>
      </w:pPr>
      <w:r>
        <w:rPr>
          <w:rFonts w:ascii="Arial" w:cs="Arial" w:eastAsia="Arial" w:hAnsi="Arial"/>
          <w:sz w:val="17"/>
          <w:szCs w:val="17"/>
          <w:b w:val="1"/>
          <w:bCs w:val="1"/>
          <w:color w:val="auto"/>
        </w:rPr>
        <w:t>, 2021</w:t>
      </w:r>
    </w:p>
    <w:p>
      <w:pPr>
        <w:sectPr>
          <w:pgSz w:w="11900" w:h="16838" w:orient="portrait"/>
          <w:cols w:equalWidth="0" w:num="1">
            <w:col w:w="11240"/>
          </w:cols>
          <w:pgMar w:left="320" w:top="456"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5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27"/>
        </w:trPr>
        <w:tc>
          <w:tcPr>
            <w:tcW w:w="1640" w:type="dxa"/>
            <w:vAlign w:val="bottom"/>
            <w:tcBorders>
              <w:bottom w:val="single" w:sz="8" w:color="0000EE"/>
            </w:tcBorders>
            <w:gridSpan w:val="10"/>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960" w:type="dxa"/>
            <w:vAlign w:val="bottom"/>
            <w:gridSpan w:val="12"/>
          </w:tcPr>
          <w:p>
            <w:pPr>
              <w:spacing w:after="0"/>
              <w:rPr>
                <w:sz w:val="19"/>
                <w:szCs w:val="19"/>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7"/>
        </w:trPr>
        <w:tc>
          <w:tcPr>
            <w:tcW w:w="940" w:type="dxa"/>
            <w:vAlign w:val="bottom"/>
            <w:tcBorders>
              <w:bottom w:val="single" w:sz="8" w:color="0000EE"/>
            </w:tcBorders>
            <w:gridSpan w:val="5"/>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The offering</w:t>
              </w:r>
            </w:hyperlink>
          </w:p>
        </w:tc>
        <w:tc>
          <w:tcPr>
            <w:tcW w:w="5660" w:type="dxa"/>
            <w:vAlign w:val="bottom"/>
            <w:gridSpan w:val="17"/>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Summary financial information</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47"/>
        </w:trPr>
        <w:tc>
          <w:tcPr>
            <w:tcW w:w="920" w:type="dxa"/>
            <w:vAlign w:val="bottom"/>
            <w:tcBorders>
              <w:top w:val="single" w:sz="8" w:color="0000EE"/>
              <w:bottom w:val="single" w:sz="8" w:color="0000EE"/>
            </w:tcBorders>
            <w:gridSpan w:val="4"/>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Risk factors</w:t>
              </w:r>
            </w:hyperlink>
          </w:p>
        </w:tc>
        <w:tc>
          <w:tcPr>
            <w:tcW w:w="1420" w:type="dxa"/>
            <w:vAlign w:val="bottom"/>
            <w:tcBorders>
              <w:top w:val="single" w:sz="8" w:color="0000EE"/>
            </w:tcBorders>
            <w:gridSpan w:val="12"/>
          </w:tcPr>
          <w:p>
            <w:pPr>
              <w:spacing w:after="0"/>
              <w:rPr>
                <w:sz w:val="21"/>
                <w:szCs w:val="21"/>
                <w:color w:val="auto"/>
              </w:rPr>
            </w:pPr>
          </w:p>
        </w:tc>
        <w:tc>
          <w:tcPr>
            <w:tcW w:w="4260" w:type="dxa"/>
            <w:vAlign w:val="bottom"/>
            <w:gridSpan w:val="6"/>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Special note regarding forward-looking statements</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47"/>
        </w:trPr>
        <w:tc>
          <w:tcPr>
            <w:tcW w:w="1280" w:type="dxa"/>
            <w:vAlign w:val="bottom"/>
            <w:tcBorders>
              <w:top w:val="single" w:sz="8" w:color="0000EE"/>
              <w:bottom w:val="single" w:sz="8" w:color="0000EE"/>
            </w:tcBorders>
            <w:gridSpan w:val="9"/>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Use of proceeds</w:t>
              </w:r>
            </w:hyperlink>
          </w:p>
        </w:tc>
        <w:tc>
          <w:tcPr>
            <w:tcW w:w="2600" w:type="dxa"/>
            <w:vAlign w:val="bottom"/>
            <w:tcBorders>
              <w:top w:val="single" w:sz="8" w:color="0000EE"/>
            </w:tcBorders>
            <w:gridSpan w:val="10"/>
          </w:tcPr>
          <w:p>
            <w:pPr>
              <w:spacing w:after="0"/>
              <w:rPr>
                <w:sz w:val="21"/>
                <w:szCs w:val="21"/>
                <w:color w:val="auto"/>
              </w:rPr>
            </w:pPr>
          </w:p>
        </w:tc>
        <w:tc>
          <w:tcPr>
            <w:tcW w:w="2720" w:type="dxa"/>
            <w:vAlign w:val="bottom"/>
            <w:gridSpan w:val="3"/>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47"/>
        </w:trPr>
        <w:tc>
          <w:tcPr>
            <w:tcW w:w="1180" w:type="dxa"/>
            <w:vAlign w:val="bottom"/>
            <w:tcBorders>
              <w:bottom w:val="single" w:sz="8" w:color="0000EE"/>
            </w:tcBorders>
            <w:gridSpan w:val="8"/>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Dividend policy</w:t>
              </w:r>
            </w:hyperlink>
          </w:p>
        </w:tc>
        <w:tc>
          <w:tcPr>
            <w:tcW w:w="5420" w:type="dxa"/>
            <w:vAlign w:val="bottom"/>
            <w:gridSpan w:val="14"/>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7"/>
        </w:trPr>
        <w:tc>
          <w:tcPr>
            <w:tcW w:w="1060" w:type="dxa"/>
            <w:vAlign w:val="bottom"/>
            <w:tcBorders>
              <w:bottom w:val="single" w:sz="8" w:color="0000EE"/>
            </w:tcBorders>
            <w:gridSpan w:val="7"/>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Capitalization</w:t>
              </w:r>
            </w:hyperlink>
          </w:p>
        </w:tc>
        <w:tc>
          <w:tcPr>
            <w:tcW w:w="5540" w:type="dxa"/>
            <w:vAlign w:val="bottom"/>
            <w:gridSpan w:val="15"/>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Dilution</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47"/>
        </w:trPr>
        <w:tc>
          <w:tcPr>
            <w:tcW w:w="2280" w:type="dxa"/>
            <w:vAlign w:val="bottom"/>
            <w:tcBorders>
              <w:bottom w:val="single" w:sz="8" w:color="0000EE"/>
            </w:tcBorders>
            <w:gridSpan w:val="15"/>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Selected financial information</w:t>
              </w:r>
            </w:hyperlink>
          </w:p>
        </w:tc>
        <w:tc>
          <w:tcPr>
            <w:tcW w:w="4320" w:type="dxa"/>
            <w:vAlign w:val="bottom"/>
            <w:gridSpan w:val="7"/>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47"/>
        </w:trPr>
        <w:tc>
          <w:tcPr>
            <w:tcW w:w="6600" w:type="dxa"/>
            <w:vAlign w:val="bottom"/>
            <w:tcBorders>
              <w:bottom w:val="single" w:sz="8" w:color="0000EE"/>
            </w:tcBorders>
            <w:gridSpan w:val="22"/>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Management’s discussion and analysis of financial condition and results of operations</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47"/>
        </w:trPr>
        <w:tc>
          <w:tcPr>
            <w:tcW w:w="720" w:type="dxa"/>
            <w:vAlign w:val="bottom"/>
            <w:tcBorders>
              <w:bottom w:val="single" w:sz="8" w:color="0000EE"/>
            </w:tcBorders>
            <w:gridSpan w:val="3"/>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Business</w:t>
              </w:r>
            </w:hyperlink>
          </w:p>
        </w:tc>
        <w:tc>
          <w:tcPr>
            <w:tcW w:w="5880" w:type="dxa"/>
            <w:vAlign w:val="bottom"/>
            <w:gridSpan w:val="19"/>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163">
              <w:r>
                <w:rPr>
                  <w:rFonts w:ascii="Arial" w:cs="Arial" w:eastAsia="Arial" w:hAnsi="Arial"/>
                  <w:sz w:val="17"/>
                  <w:szCs w:val="17"/>
                  <w:color w:val="0000EE"/>
                </w:rPr>
                <w:t>Management</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47"/>
        </w:trPr>
        <w:tc>
          <w:tcPr>
            <w:tcW w:w="1900" w:type="dxa"/>
            <w:vAlign w:val="bottom"/>
            <w:tcBorders>
              <w:bottom w:val="single" w:sz="8" w:color="0000EE"/>
            </w:tcBorders>
            <w:gridSpan w:val="12"/>
          </w:tcPr>
          <w:p>
            <w:pPr>
              <w:spacing w:after="0"/>
              <w:rPr>
                <w:rFonts w:ascii="Arial" w:cs="Arial" w:eastAsia="Arial" w:hAnsi="Arial"/>
                <w:sz w:val="17"/>
                <w:szCs w:val="17"/>
                <w:color w:val="0000EE"/>
              </w:rPr>
            </w:pPr>
            <w:hyperlink w:anchor="page173">
              <w:r>
                <w:rPr>
                  <w:rFonts w:ascii="Arial" w:cs="Arial" w:eastAsia="Arial" w:hAnsi="Arial"/>
                  <w:sz w:val="17"/>
                  <w:szCs w:val="17"/>
                  <w:color w:val="0000EE"/>
                </w:rPr>
                <w:t>Executive compensation</w:t>
              </w:r>
            </w:hyperlink>
          </w:p>
        </w:tc>
        <w:tc>
          <w:tcPr>
            <w:tcW w:w="4700" w:type="dxa"/>
            <w:vAlign w:val="bottom"/>
            <w:gridSpan w:val="10"/>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47"/>
        </w:trPr>
        <w:tc>
          <w:tcPr>
            <w:tcW w:w="2900" w:type="dxa"/>
            <w:vAlign w:val="bottom"/>
            <w:tcBorders>
              <w:bottom w:val="single" w:sz="8" w:color="0000EE"/>
            </w:tcBorders>
            <w:gridSpan w:val="18"/>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Non-employee director compensation</w:t>
              </w:r>
            </w:hyperlink>
          </w:p>
        </w:tc>
        <w:tc>
          <w:tcPr>
            <w:tcW w:w="3700" w:type="dxa"/>
            <w:vAlign w:val="bottom"/>
            <w:gridSpan w:val="4"/>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47"/>
        </w:trPr>
        <w:tc>
          <w:tcPr>
            <w:tcW w:w="4080" w:type="dxa"/>
            <w:vAlign w:val="bottom"/>
            <w:tcBorders>
              <w:bottom w:val="single" w:sz="8" w:color="0000EE"/>
            </w:tcBorders>
            <w:gridSpan w:val="20"/>
          </w:tcPr>
          <w:p>
            <w:pPr>
              <w:spacing w:after="0"/>
              <w:rPr>
                <w:rFonts w:ascii="Arial" w:cs="Arial" w:eastAsia="Arial" w:hAnsi="Arial"/>
                <w:sz w:val="17"/>
                <w:szCs w:val="17"/>
                <w:color w:val="0000EE"/>
              </w:rPr>
            </w:pPr>
            <w:hyperlink w:anchor="page184">
              <w:r>
                <w:rPr>
                  <w:rFonts w:ascii="Arial" w:cs="Arial" w:eastAsia="Arial" w:hAnsi="Arial"/>
                  <w:sz w:val="17"/>
                  <w:szCs w:val="17"/>
                  <w:color w:val="0000EE"/>
                </w:rPr>
                <w:t>Certain relationships and related person transactions</w:t>
              </w:r>
            </w:hyperlink>
          </w:p>
        </w:tc>
        <w:tc>
          <w:tcPr>
            <w:tcW w:w="2520" w:type="dxa"/>
            <w:vAlign w:val="bottom"/>
            <w:gridSpan w:val="2"/>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47"/>
        </w:trPr>
        <w:tc>
          <w:tcPr>
            <w:tcW w:w="1700" w:type="dxa"/>
            <w:vAlign w:val="bottom"/>
            <w:tcBorders>
              <w:bottom w:val="single" w:sz="8" w:color="0000EE"/>
            </w:tcBorders>
            <w:gridSpan w:val="11"/>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Principal stockholders</w:t>
              </w:r>
            </w:hyperlink>
          </w:p>
        </w:tc>
        <w:tc>
          <w:tcPr>
            <w:tcW w:w="4900" w:type="dxa"/>
            <w:vAlign w:val="bottom"/>
            <w:gridSpan w:val="11"/>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47"/>
        </w:trPr>
        <w:tc>
          <w:tcPr>
            <w:tcW w:w="2080" w:type="dxa"/>
            <w:vAlign w:val="bottom"/>
            <w:tcBorders>
              <w:bottom w:val="single" w:sz="8" w:color="0000EE"/>
            </w:tcBorders>
            <w:gridSpan w:val="13"/>
          </w:tcPr>
          <w:p>
            <w:pPr>
              <w:spacing w:after="0"/>
              <w:rPr>
                <w:rFonts w:ascii="Arial" w:cs="Arial" w:eastAsia="Arial" w:hAnsi="Arial"/>
                <w:sz w:val="17"/>
                <w:szCs w:val="17"/>
                <w:color w:val="0000EE"/>
              </w:rPr>
            </w:pPr>
            <w:hyperlink w:anchor="page191">
              <w:r>
                <w:rPr>
                  <w:rFonts w:ascii="Arial" w:cs="Arial" w:eastAsia="Arial" w:hAnsi="Arial"/>
                  <w:sz w:val="17"/>
                  <w:szCs w:val="17"/>
                  <w:color w:val="0000EE"/>
                </w:rPr>
                <w:t>Description of capital stock</w:t>
              </w:r>
            </w:hyperlink>
          </w:p>
        </w:tc>
        <w:tc>
          <w:tcPr>
            <w:tcW w:w="4520" w:type="dxa"/>
            <w:vAlign w:val="bottom"/>
            <w:gridSpan w:val="9"/>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47"/>
        </w:trPr>
        <w:tc>
          <w:tcPr>
            <w:tcW w:w="5260" w:type="dxa"/>
            <w:vAlign w:val="bottom"/>
            <w:tcBorders>
              <w:bottom w:val="single" w:sz="8" w:color="0000EE"/>
            </w:tcBorders>
            <w:gridSpan w:val="21"/>
          </w:tcPr>
          <w:p>
            <w:pPr>
              <w:spacing w:after="0"/>
              <w:rPr>
                <w:rFonts w:ascii="Arial" w:cs="Arial" w:eastAsia="Arial" w:hAnsi="Arial"/>
                <w:sz w:val="17"/>
                <w:szCs w:val="17"/>
                <w:color w:val="0000EE"/>
              </w:rPr>
            </w:pPr>
            <w:hyperlink w:anchor="page198">
              <w:r>
                <w:rPr>
                  <w:rFonts w:ascii="Arial" w:cs="Arial" w:eastAsia="Arial" w:hAnsi="Arial"/>
                  <w:sz w:val="17"/>
                  <w:szCs w:val="17"/>
                  <w:color w:val="0000EE"/>
                </w:rPr>
                <w:t>Material U.S. federal income tax considerations for non-U.S. holders</w:t>
              </w:r>
            </w:hyperlink>
          </w:p>
        </w:tc>
        <w:tc>
          <w:tcPr>
            <w:tcW w:w="1340" w:type="dxa"/>
            <w:vAlign w:val="bottom"/>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202">
              <w:r>
                <w:rPr>
                  <w:rFonts w:ascii="Arial" w:cs="Arial" w:eastAsia="Arial" w:hAnsi="Arial"/>
                  <w:sz w:val="17"/>
                  <w:szCs w:val="17"/>
                  <w:color w:val="0000EE"/>
                </w:rPr>
                <w:t>Underwriting</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47"/>
        </w:trPr>
        <w:tc>
          <w:tcPr>
            <w:tcW w:w="6600" w:type="dxa"/>
            <w:vAlign w:val="bottom"/>
            <w:gridSpan w:val="22"/>
          </w:tcPr>
          <w:p>
            <w:pPr>
              <w:spacing w:after="0"/>
              <w:rPr>
                <w:rFonts w:ascii="Arial" w:cs="Arial" w:eastAsia="Arial" w:hAnsi="Arial"/>
                <w:sz w:val="17"/>
                <w:szCs w:val="17"/>
                <w:color w:val="0000EE"/>
              </w:rPr>
            </w:pPr>
            <w:hyperlink w:anchor="page212">
              <w:r>
                <w:rPr>
                  <w:rFonts w:ascii="Arial" w:cs="Arial" w:eastAsia="Arial" w:hAnsi="Arial"/>
                  <w:sz w:val="17"/>
                  <w:szCs w:val="17"/>
                  <w:color w:val="0000EE"/>
                </w:rPr>
                <w:t>Legal matters</w:t>
              </w:r>
            </w:hyperlink>
          </w:p>
        </w:tc>
        <w:tc>
          <w:tcPr>
            <w:tcW w:w="458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47"/>
        </w:trPr>
        <w:tc>
          <w:tcPr>
            <w:tcW w:w="600" w:type="dxa"/>
            <w:vAlign w:val="bottom"/>
            <w:tcBorders>
              <w:top w:val="single" w:sz="8" w:color="0000EE"/>
              <w:bottom w:val="single" w:sz="8" w:color="0000EE"/>
            </w:tcBorders>
            <w:gridSpan w:val="2"/>
          </w:tcPr>
          <w:p>
            <w:pPr>
              <w:spacing w:after="0"/>
              <w:rPr>
                <w:rFonts w:ascii="Arial" w:cs="Arial" w:eastAsia="Arial" w:hAnsi="Arial"/>
                <w:sz w:val="17"/>
                <w:szCs w:val="17"/>
                <w:color w:val="0000EE"/>
              </w:rPr>
            </w:pPr>
            <w:hyperlink w:anchor="page212">
              <w:r>
                <w:rPr>
                  <w:rFonts w:ascii="Arial" w:cs="Arial" w:eastAsia="Arial" w:hAnsi="Arial"/>
                  <w:sz w:val="17"/>
                  <w:szCs w:val="17"/>
                  <w:color w:val="0000EE"/>
                </w:rPr>
                <w:t>Experts</w:t>
              </w:r>
            </w:hyperlink>
          </w:p>
        </w:tc>
        <w:tc>
          <w:tcPr>
            <w:tcW w:w="460" w:type="dxa"/>
            <w:vAlign w:val="bottom"/>
            <w:tcBorders>
              <w:top w:val="single" w:sz="8" w:color="0000EE"/>
            </w:tcBorders>
            <w:gridSpan w:val="5"/>
          </w:tcPr>
          <w:p>
            <w:pPr>
              <w:spacing w:after="0"/>
              <w:rPr>
                <w:sz w:val="21"/>
                <w:szCs w:val="21"/>
                <w:color w:val="auto"/>
              </w:rPr>
            </w:pPr>
          </w:p>
        </w:tc>
        <w:tc>
          <w:tcPr>
            <w:tcW w:w="5540" w:type="dxa"/>
            <w:vAlign w:val="bottom"/>
            <w:gridSpan w:val="15"/>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47"/>
        </w:trPr>
        <w:tc>
          <w:tcPr>
            <w:tcW w:w="2860" w:type="dxa"/>
            <w:vAlign w:val="bottom"/>
            <w:tcBorders>
              <w:bottom w:val="single" w:sz="8" w:color="0000EE"/>
            </w:tcBorders>
            <w:gridSpan w:val="17"/>
          </w:tcPr>
          <w:p>
            <w:pPr>
              <w:spacing w:after="0"/>
              <w:rPr>
                <w:rFonts w:ascii="Arial" w:cs="Arial" w:eastAsia="Arial" w:hAnsi="Arial"/>
                <w:sz w:val="17"/>
                <w:szCs w:val="17"/>
                <w:color w:val="0000EE"/>
              </w:rPr>
            </w:pPr>
            <w:hyperlink w:anchor="page212">
              <w:r>
                <w:rPr>
                  <w:rFonts w:ascii="Arial" w:cs="Arial" w:eastAsia="Arial" w:hAnsi="Arial"/>
                  <w:sz w:val="17"/>
                  <w:szCs w:val="17"/>
                  <w:color w:val="0000EE"/>
                </w:rPr>
                <w:t>Where you can find more information</w:t>
              </w:r>
            </w:hyperlink>
          </w:p>
        </w:tc>
        <w:tc>
          <w:tcPr>
            <w:tcW w:w="3740" w:type="dxa"/>
            <w:vAlign w:val="bottom"/>
            <w:gridSpan w:val="5"/>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47"/>
        </w:trPr>
        <w:tc>
          <w:tcPr>
            <w:tcW w:w="2220" w:type="dxa"/>
            <w:vAlign w:val="bottom"/>
            <w:tcBorders>
              <w:bottom w:val="single" w:sz="8" w:color="0000EE"/>
            </w:tcBorders>
            <w:gridSpan w:val="14"/>
          </w:tcPr>
          <w:p>
            <w:pPr>
              <w:spacing w:after="0"/>
              <w:rPr>
                <w:rFonts w:ascii="Arial" w:cs="Arial" w:eastAsia="Arial" w:hAnsi="Arial"/>
                <w:sz w:val="17"/>
                <w:szCs w:val="17"/>
                <w:color w:val="0000EE"/>
              </w:rPr>
            </w:pPr>
            <w:hyperlink w:anchor="page213">
              <w:r>
                <w:rPr>
                  <w:rFonts w:ascii="Arial" w:cs="Arial" w:eastAsia="Arial" w:hAnsi="Arial"/>
                  <w:sz w:val="17"/>
                  <w:szCs w:val="17"/>
                  <w:color w:val="0000EE"/>
                </w:rPr>
                <w:t>Index to financial statements</w:t>
              </w:r>
            </w:hyperlink>
          </w:p>
        </w:tc>
        <w:tc>
          <w:tcPr>
            <w:tcW w:w="4380" w:type="dxa"/>
            <w:vAlign w:val="bottom"/>
            <w:gridSpan w:val="8"/>
          </w:tcPr>
          <w:p>
            <w:pPr>
              <w:spacing w:after="0"/>
              <w:rPr>
                <w:sz w:val="21"/>
                <w:szCs w:val="21"/>
                <w:color w:val="auto"/>
              </w:rPr>
            </w:pPr>
          </w:p>
        </w:tc>
        <w:tc>
          <w:tcPr>
            <w:tcW w:w="458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144145</wp:posOffset>
            </wp:positionV>
            <wp:extent cx="1494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33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in any jurisdiction where action for that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180"/>
          </w:cols>
          <w:pgMar w:left="320" w:top="456"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 Some data are also based on our good faith estimates.</w:t>
      </w:r>
    </w:p>
    <w:p>
      <w:pPr>
        <w:spacing w:after="0" w:line="29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 xml:space="preserve">We have applied for various trademarks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1"/>
          <w:szCs w:val="11"/>
          <w:color w:val="auto"/>
        </w:rPr>
        <w:t>®</w:t>
      </w:r>
      <w:r>
        <w:rPr>
          <w:rFonts w:ascii="Arial" w:cs="Arial" w:eastAsia="Arial" w:hAnsi="Arial"/>
          <w:sz w:val="17"/>
          <w:szCs w:val="17"/>
          <w:color w:val="auto"/>
        </w:rPr>
        <w:t>,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Through and including , 2021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20"/>
          </w:cols>
          <w:pgMar w:left="320" w:top="456"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4921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49212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Prospectus summary</w:t>
      </w:r>
    </w:p>
    <w:p>
      <w:pPr>
        <w:spacing w:after="0" w:line="135" w:lineRule="exact"/>
        <w:rPr>
          <w:sz w:val="20"/>
          <w:szCs w:val="20"/>
          <w:color w:val="auto"/>
        </w:rPr>
      </w:pPr>
    </w:p>
    <w:p>
      <w:pPr>
        <w:ind w:left="200"/>
        <w:spacing w:after="0" w:line="252"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included elsewhere in this prospectus. You should also consider, among other things, the information set forth under the sections entitled “Risk factors,” “Special note regarding forward-looking statements,” and “Management’s discussion and analysis of financial condition and results of operations,” in each case appearing elsewhere in this prospectus. Unless the context otherwise requires, we use the terms “Monte Rosa,” the “Company,” “we,” “us,” “our,” and similar designations in this prospectus to refer to Monte Rosa Therapeutics, Inc. and, where appropriate, our subsidiaries.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Overview</w:t>
      </w:r>
    </w:p>
    <w:p>
      <w:pPr>
        <w:spacing w:after="0" w:line="142" w:lineRule="exact"/>
        <w:rPr>
          <w:sz w:val="20"/>
          <w:szCs w:val="20"/>
          <w:color w:val="auto"/>
        </w:rPr>
      </w:pPr>
    </w:p>
    <w:p>
      <w:pPr>
        <w:ind w:left="200" w:right="140"/>
        <w:spacing w:after="0" w:line="249" w:lineRule="auto"/>
        <w:rPr>
          <w:sz w:val="20"/>
          <w:szCs w:val="20"/>
          <w:color w:val="auto"/>
        </w:rPr>
      </w:pPr>
      <w:r>
        <w:rPr>
          <w:rFonts w:ascii="Arial" w:cs="Arial" w:eastAsia="Arial" w:hAnsi="Arial"/>
          <w:sz w:val="17"/>
          <w:szCs w:val="17"/>
          <w:color w:val="auto"/>
        </w:rPr>
        <w:t>We are a biopharmaceutical company developing a portfolio of novel small molecule precision medicines that employ the body’s natural mechanisms to selectively degrade therapeutically-relevant proteins. We have developed a proprietary protein degradation platform, called QuEEN, that enables us to rapidly identify protein targets and molecular glue degrader, or MGD, product candidates that are designed to eliminate therapeutically-relevant proteins in a highly selective manner. We believe our small molecule MGDs may give us significant advantages over existing therapeutic modalities, including other protein degradation approaches, by allowing us to target proteins that have been considered undruggable or inadequately drugged. We focus on therapeutic targets backed by strong biological and genetic rationale with the goal of discovering and developing novel precision medicines.</w:t>
      </w:r>
    </w:p>
    <w:p>
      <w:pPr>
        <w:spacing w:after="0" w:line="92" w:lineRule="exact"/>
        <w:rPr>
          <w:sz w:val="20"/>
          <w:szCs w:val="20"/>
          <w:color w:val="auto"/>
        </w:rPr>
      </w:pPr>
    </w:p>
    <w:p>
      <w:pPr>
        <w:ind w:left="200" w:right="120"/>
        <w:spacing w:after="0" w:line="249" w:lineRule="auto"/>
        <w:rPr>
          <w:sz w:val="20"/>
          <w:szCs w:val="20"/>
          <w:color w:val="auto"/>
        </w:rPr>
      </w:pPr>
      <w:r>
        <w:rPr>
          <w:rFonts w:ascii="Arial" w:cs="Arial" w:eastAsia="Arial" w:hAnsi="Arial"/>
          <w:sz w:val="17"/>
          <w:szCs w:val="17"/>
          <w:color w:val="auto"/>
        </w:rPr>
        <w:t>We have utilized our Quantitative and Engineered Elimination of Neosubstrates, or QuEEN, platform to design novel MGDs focused on delivering therapies to targets that have been considered undruggable or inadequately drugged in well-characterized biological pathways across clinical indications in oncology and non-oncology, including immunology, inflammation, neurological and genetic diseases. Our lead program is a series of potent, selective and orally bioavailable GSPT1-directed MGD molecules, one of which we plan to evaluate in molecularly-defined subsets of Myc-driven cancers. We expect to select a development candidate in the second half of 2021, and submit an Investigational New Drug application, or IND, with the U.S. Food and Drug Administration, or the FDA, in the first half of 2022. Beyond our lead program, we have a number of discovery programs in our pipeline and intend to nominate at least two for lead optimization in 2021.</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approach</w:t>
      </w:r>
    </w:p>
    <w:p>
      <w:pPr>
        <w:spacing w:after="0" w:line="142" w:lineRule="exact"/>
        <w:rPr>
          <w:sz w:val="20"/>
          <w:szCs w:val="20"/>
          <w:color w:val="auto"/>
        </w:rPr>
      </w:pPr>
    </w:p>
    <w:p>
      <w:pPr>
        <w:ind w:left="200" w:right="180"/>
        <w:spacing w:after="0" w:line="248" w:lineRule="auto"/>
        <w:rPr>
          <w:sz w:val="20"/>
          <w:szCs w:val="20"/>
          <w:color w:val="auto"/>
        </w:rPr>
      </w:pPr>
      <w:r>
        <w:rPr>
          <w:rFonts w:ascii="Arial" w:cs="Arial" w:eastAsia="Arial" w:hAnsi="Arial"/>
          <w:sz w:val="17"/>
          <w:szCs w:val="17"/>
          <w:color w:val="auto"/>
        </w:rPr>
        <w:t>A new and promising approach to modulating protein function using small molecules in cells was recently elucidated: protein degradation. Protein degradation is one of the body’s natural processes by which proteins are eliminated from human cells through the attachment of a molecular tag, called ubiquitin, to a protein by any of the approximately 600 human E3 ligases, marking the protein for degradation by the proteasome in the cell. Protein degradation can be induced by small molecule-based degraders, including both proteolysis targeting chimeras, or PROTACs, and MGDs. It was found that lenalidomide, now an approved best-selling drug in multiple indications with 2020 global sales of $12.1 billion, functioned as a small molecule-based degrader, or as an MGD more specifically. In one of these indications, multiple myeloma, lenalidomide acts by causing two disease-driving transcription factors, IKZF1 and IKZF3, that lack druggable pockets, to bind to cereblon, an E3 ligase protein, resulting in their degradation.</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40"/>
          </w:cols>
          <w:pgMar w:left="320" w:top="456"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381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381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right="80"/>
        <w:spacing w:after="0" w:line="250" w:lineRule="auto"/>
        <w:rPr>
          <w:sz w:val="20"/>
          <w:szCs w:val="20"/>
          <w:color w:val="auto"/>
        </w:rPr>
      </w:pPr>
      <w:r>
        <w:rPr>
          <w:rFonts w:ascii="Arial" w:cs="Arial" w:eastAsia="Arial" w:hAnsi="Arial"/>
          <w:sz w:val="17"/>
          <w:szCs w:val="17"/>
          <w:color w:val="auto"/>
        </w:rPr>
        <w:t>Our approach to protein degradation involves rationally designing and developing small molecule-based MGDs to precisely edit the human proteome. Molecular glues are small molecules that induce protein-protein interactions, but not all known and characterized molecular glues lead to degradation of proteins. Lenalidomide and pomalidomide are two approved drugs that were subsequently found to function as MGDs by causing the degradation of therapeutically-relevant proteins through the induced interaction with a component of the E3 ligase cereblon. They provide clinical validation of the MGD approach.</w:t>
      </w:r>
    </w:p>
    <w:p>
      <w:pPr>
        <w:spacing w:after="0" w:line="92"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color w:val="auto"/>
        </w:rPr>
        <w:t>While the mechanism of action for these two drugs was discovered years after their introduction into the clinic, we are leveraging our platform to rationally and efficiently design MGDs. Our MGDs are drug-like, non-heterobifunctional small molecules that bring together a therapeutically-relevant target protein and an E3 ligase, leading to degradation of the target protein. Non-heterobifunctional molecules are those that do not contain two different protein binding domains joined together with a chemical linker. We believe our product candidates have the potential to address targets that have been considered undruggable or inadequately drugged, while possessing attractive pharmaceutical properties.</w:t>
      </w:r>
    </w:p>
    <w:p>
      <w:pPr>
        <w:spacing w:after="0" w:line="293" w:lineRule="exact"/>
        <w:rPr>
          <w:sz w:val="20"/>
          <w:szCs w:val="20"/>
          <w:color w:val="auto"/>
        </w:rPr>
      </w:pPr>
    </w:p>
    <w:p>
      <w:pPr>
        <w:ind w:left="200" w:right="120"/>
        <w:spacing w:after="0" w:line="249" w:lineRule="auto"/>
        <w:rPr>
          <w:sz w:val="20"/>
          <w:szCs w:val="20"/>
          <w:color w:val="auto"/>
        </w:rPr>
      </w:pPr>
      <w:r>
        <w:rPr>
          <w:rFonts w:ascii="Arial" w:cs="Arial" w:eastAsia="Arial" w:hAnsi="Arial"/>
          <w:sz w:val="17"/>
          <w:szCs w:val="17"/>
          <w:color w:val="auto"/>
        </w:rPr>
        <w:t>Our proprietary QuEEN platform enables us to rationally design and develop small molecule MGDs that lead to the destruction of a therapeutically-relevant target protein by facilitating its tagging for removal. Our MGDs are drug-like small molecules that bring together a therapeutically-relevant target protein and an E3 ligase, leading to degradation of the target protein via the intracellular protein degradation system, called the proteasome. Our MGDs are non-heterobifunctional, in contrast to PROTACs. Central to our QuEEN platform is a detailed understanding of the molecular interactions promoted by our small molecule MGDs between E3 ligases and structural features, or degrons, on the surface of therapeutically-relevant proteins which have been considered undruggable or inadequately drugged. Key components of our QuEEN platform are:</w:t>
      </w:r>
    </w:p>
    <w:p>
      <w:pPr>
        <w:spacing w:after="0" w:line="85" w:lineRule="exact"/>
        <w:rPr>
          <w:sz w:val="20"/>
          <w:szCs w:val="20"/>
          <w:color w:val="auto"/>
        </w:rPr>
      </w:pPr>
    </w:p>
    <w:p>
      <w:pPr>
        <w:ind w:left="400" w:right="320" w:hanging="207"/>
        <w:spacing w:after="0" w:line="267" w:lineRule="auto"/>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Degron encyclopedia</w:t>
      </w:r>
      <w:r>
        <w:rPr>
          <w:rFonts w:ascii="Arial" w:cs="Arial" w:eastAsia="Arial" w:hAnsi="Arial"/>
          <w:sz w:val="17"/>
          <w:szCs w:val="17"/>
          <w:color w:val="auto"/>
        </w:rPr>
        <w:t>: A growing catalogue of target proteins identified through our proprietary artificial intelligence, or AI, approach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enables us to identify structural features on protein surfaces that can serve as degrons for highly validated and therapeutically-relevant, but otherwise undruggable or inadequately drugged, proteins</w:t>
      </w:r>
    </w:p>
    <w:p>
      <w:pPr>
        <w:spacing w:after="0" w:line="69" w:lineRule="exact"/>
        <w:rPr>
          <w:rFonts w:ascii="Arial" w:cs="Arial" w:eastAsia="Arial" w:hAnsi="Arial"/>
          <w:sz w:val="17"/>
          <w:szCs w:val="17"/>
          <w:color w:val="auto"/>
        </w:rPr>
      </w:pPr>
    </w:p>
    <w:p>
      <w:pPr>
        <w:ind w:left="400" w:right="100" w:hanging="207"/>
        <w:spacing w:after="0" w:line="287" w:lineRule="auto"/>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MGD library</w:t>
      </w:r>
      <w:r>
        <w:rPr>
          <w:rFonts w:ascii="Arial" w:cs="Arial" w:eastAsia="Arial" w:hAnsi="Arial"/>
          <w:sz w:val="17"/>
          <w:szCs w:val="17"/>
          <w:color w:val="auto"/>
        </w:rPr>
        <w:t>: A diverse and continuously growing chemical library of drug-like MGDs that are rationally designed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expertise in molecular glue anatomy</w:t>
      </w:r>
    </w:p>
    <w:p>
      <w:pPr>
        <w:spacing w:after="0" w:line="54" w:lineRule="exact"/>
        <w:rPr>
          <w:rFonts w:ascii="Arial" w:cs="Arial" w:eastAsia="Arial" w:hAnsi="Arial"/>
          <w:sz w:val="17"/>
          <w:szCs w:val="17"/>
          <w:color w:val="auto"/>
        </w:rPr>
      </w:pPr>
    </w:p>
    <w:p>
      <w:pPr>
        <w:ind w:left="400" w:right="120" w:hanging="207"/>
        <w:spacing w:after="0" w:line="267" w:lineRule="auto"/>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Glue-omics toolbox</w:t>
      </w:r>
      <w:r>
        <w:rPr>
          <w:rFonts w:ascii="Arial" w:cs="Arial" w:eastAsia="Arial" w:hAnsi="Arial"/>
          <w:sz w:val="17"/>
          <w:szCs w:val="17"/>
          <w:color w:val="auto"/>
        </w:rPr>
        <w:t>: A tailored suite of biochemical, structural biology, cellular, proteomics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silico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screening tools that enable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discovery and optimization of MGD product candidates that efficiently recruit neosubstrates to E3 ligases utilizing degrons discovered through our AI approach</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40"/>
          </w:cols>
          <w:pgMar w:left="320" w:top="456"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547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547306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pipeline</w:t>
      </w:r>
    </w:p>
    <w:p>
      <w:pPr>
        <w:spacing w:after="0" w:line="142" w:lineRule="exact"/>
        <w:rPr>
          <w:sz w:val="20"/>
          <w:szCs w:val="20"/>
          <w:color w:val="auto"/>
        </w:rPr>
      </w:pPr>
    </w:p>
    <w:p>
      <w:pPr>
        <w:ind w:left="200" w:right="280"/>
        <w:spacing w:after="0" w:line="254" w:lineRule="auto"/>
        <w:rPr>
          <w:sz w:val="20"/>
          <w:szCs w:val="20"/>
          <w:color w:val="auto"/>
        </w:rPr>
      </w:pPr>
      <w:r>
        <w:rPr>
          <w:rFonts w:ascii="Arial" w:cs="Arial" w:eastAsia="Arial" w:hAnsi="Arial"/>
          <w:sz w:val="17"/>
          <w:szCs w:val="17"/>
          <w:color w:val="auto"/>
        </w:rPr>
        <w:t>Our internal discovery programs are focused on delivering precision medicine-based therapies to targets that have been considered undruggable or inadequately drugged in well-characterized biological pathways across clinical indications in oncology, inflammation, immunology and genetic diseases with high unmet needs. We currently retain worldwide rights to the programs shown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right="20"/>
        <w:spacing w:after="0" w:line="248" w:lineRule="auto"/>
        <w:rPr>
          <w:sz w:val="20"/>
          <w:szCs w:val="20"/>
          <w:color w:val="auto"/>
        </w:rPr>
      </w:pPr>
      <w:r>
        <w:rPr>
          <w:rFonts w:ascii="Arial" w:cs="Arial" w:eastAsia="Arial" w:hAnsi="Arial"/>
          <w:sz w:val="17"/>
          <w:szCs w:val="17"/>
          <w:color w:val="auto"/>
        </w:rPr>
        <w:t>We are developing an oral MGD that targets GSPT1, a translational termination factor and degron-containing protein, for the treatment of cancers overexpressing one of the Myc family genes (c-Myc, N-Myc and L-Myc). The Myc transcription factors are some of the most frequently mutated, translocated and overexpressed oncogenes in human cancers. For example, around 10% of non-small cell lung cancer, or NSCLC, overexpress N-Myc and over 50% of small cell lung cancer, or SCLC, overexpress L-Myc. Myc-driven cancer cells are highly addicted to protein translation. Because of the key role of GSPT1 in protein synthesis, selective GSPT1 degradation by our MGD in these cells leads to cell death. In multiple Myc-driven preclinical models, we have shown that our lead GSPT1-directed MGD molecules are potent, selective, and well-tolerated, inducing tumor regression after oral administration. We anticipate initiating IND-enabling studies in the second half of 2021 and expect to submit an IND to the FDA in the first half of 2022.</w:t>
      </w:r>
    </w:p>
    <w:p>
      <w:pPr>
        <w:spacing w:after="0" w:line="96"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In addition to our oral GSPT1-directed MGD program, we are also advancing discovery programs identified with our QuEEN platform against multiple additional degron-containing targets that are highly validated and therapeutically-relevant, but otherwise considered undruggable or inadequately drugged. We have been able to identify selective MGD molecules for CDK2, an oncology target whose activation is associated with poor prognoses in cancers such as ovarian, uterine, and breast cancer. We have also identified potential targets outside of oncology as exemplified by our NEK7 program. NEK7 is an activator of the NLRP3 inflammasome, a central regulator of cellular inflammatory responses to pathogens, damage and stress. Aberrant NLRP3 inflammasome activation is implicated in the pathogenesis of multiple autoimmune diseases, including Crohn’s disease, neurodegenerative diseases, diabetes and liver disease. We have identified MGD molecules from our library that selectively degrade NEK7 in cells. Similarly, we have identified MGD molecules for VAV1, a target protein in autoimmune disease, and BCL11A, a therapeutically-relevant protein in hemoglobinopathies. We expect two or more of these discovery programs to move into lead optimization in 2021.</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00"/>
          </w:cols>
          <w:pgMar w:left="320" w:top="456"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5235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52355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right="160"/>
        <w:spacing w:after="0" w:line="249" w:lineRule="auto"/>
        <w:rPr>
          <w:sz w:val="20"/>
          <w:szCs w:val="20"/>
          <w:color w:val="auto"/>
        </w:rPr>
      </w:pPr>
      <w:r>
        <w:rPr>
          <w:rFonts w:ascii="Arial" w:cs="Arial" w:eastAsia="Arial" w:hAnsi="Arial"/>
          <w:sz w:val="17"/>
          <w:szCs w:val="17"/>
          <w:color w:val="auto"/>
        </w:rPr>
        <w:t>We believe we have identified a large number of therapeutically-relevant targets that are amenable to degradation by the MGDs discovered through our QuEEN platform. Applying our unique structural biology and computational tools, we have built and continue to grow an encyclopedia of over 1500 degron-containing proteins, many of which have robust links to human diseases. The majority of these proteins have been considered undruggable because they lack suitable small molecule binding pockets, which our MGDs do not require. We are systematically validating and rapidly advancing the most compelling of these targets while prioritizing those with a strong established therapeutic rationale for inclusion in our pipeline.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team</w:t>
      </w:r>
    </w:p>
    <w:p>
      <w:pPr>
        <w:spacing w:after="0" w:line="142" w:lineRule="exact"/>
        <w:rPr>
          <w:sz w:val="20"/>
          <w:szCs w:val="20"/>
          <w:color w:val="auto"/>
        </w:rPr>
      </w:pPr>
    </w:p>
    <w:p>
      <w:pPr>
        <w:ind w:left="200" w:right="120"/>
        <w:spacing w:after="0" w:line="248" w:lineRule="auto"/>
        <w:rPr>
          <w:sz w:val="20"/>
          <w:szCs w:val="20"/>
          <w:color w:val="auto"/>
        </w:rPr>
      </w:pPr>
      <w:r>
        <w:rPr>
          <w:rFonts w:ascii="Arial" w:cs="Arial" w:eastAsia="Arial" w:hAnsi="Arial"/>
          <w:sz w:val="17"/>
          <w:szCs w:val="17"/>
          <w:color w:val="auto"/>
        </w:rPr>
        <w:t>We are led by an experienced team of drug discovery and development experts with decades of experience in targeted protein degradation, molecular glues, chemistry, structural biology, data science, disease biology, translational medicine, and clinical development. We were founded by Professor Raj Chopra and Professor Ian Collins of The Institute for Cancer Research, UK, pioneers in the field of MGDs, and Versant Ventures. Since our inception, we have raised over $220 million in equity capital from leading investors including Aisling Capital, Amzak Health, Avoro Capital Advisors, funds and accounts managed by BlackRock, Cambridge Asset Management, Casdin Capital, Cormorant Asset Management, Fidelity Management &amp; Research Company LLC, GV, HBM Healthcare Investments, New Enterprise Associates, funds and accounts advised by RTW Investments, LP, Sixty Degree Capital, funds and accounts advised by T. Rowe Price Associates, Inc., and Versant Ventures.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strategy</w:t>
      </w:r>
    </w:p>
    <w:p>
      <w:pPr>
        <w:spacing w:after="0" w:line="142"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color w:val="auto"/>
        </w:rPr>
        <w:t>Our mission is to reshape disease treatment paradigms by discovering and developing a precision medicine-based portfolio of novel small molecule MGDs that selectively eliminate therapeutically-relevant proteins in a broad range of indications with significant unmet medical need. We believe the product candidates identified through our proprietary QuEEN platform can provide distinct advantages over other modalities to address targets that have been considered undruggable or inadequately drugged. In order to achieve our mission, key elements of our strategy include:</w:t>
      </w:r>
    </w:p>
    <w:p>
      <w:pPr>
        <w:spacing w:after="0" w:line="105" w:lineRule="exact"/>
        <w:rPr>
          <w:sz w:val="20"/>
          <w:szCs w:val="20"/>
          <w:color w:val="auto"/>
        </w:rPr>
      </w:pPr>
    </w:p>
    <w:p>
      <w:pPr>
        <w:ind w:left="400" w:hanging="20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 to advance our GSPT1-directed MGD program into and through clinical development and seek regulatory approval</w:t>
      </w:r>
    </w:p>
    <w:p>
      <w:pPr>
        <w:spacing w:after="0" w:line="125" w:lineRule="exact"/>
        <w:rPr>
          <w:rFonts w:ascii="Arial" w:cs="Arial" w:eastAsia="Arial" w:hAnsi="Arial"/>
          <w:sz w:val="17"/>
          <w:szCs w:val="17"/>
          <w:color w:val="auto"/>
        </w:rPr>
      </w:pPr>
    </w:p>
    <w:p>
      <w:pPr>
        <w:ind w:left="400" w:hanging="20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Further expand the capabilities of our QuEEN platform to unlock the full therapeutic potential of MGDs</w:t>
      </w:r>
    </w:p>
    <w:p>
      <w:pPr>
        <w:spacing w:after="0" w:line="125" w:lineRule="exact"/>
        <w:rPr>
          <w:rFonts w:ascii="Arial" w:cs="Arial" w:eastAsia="Arial" w:hAnsi="Arial"/>
          <w:sz w:val="17"/>
          <w:szCs w:val="17"/>
          <w:color w:val="auto"/>
        </w:rPr>
      </w:pPr>
    </w:p>
    <w:p>
      <w:pPr>
        <w:ind w:left="400" w:hanging="20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 a pipeline of rationally designed MGDs to transform the treatment of diseases in multiple therapeutic areas</w:t>
      </w:r>
    </w:p>
    <w:p>
      <w:pPr>
        <w:spacing w:after="0" w:line="125" w:lineRule="exact"/>
        <w:rPr>
          <w:rFonts w:ascii="Arial" w:cs="Arial" w:eastAsia="Arial" w:hAnsi="Arial"/>
          <w:sz w:val="17"/>
          <w:szCs w:val="17"/>
          <w:color w:val="auto"/>
        </w:rPr>
      </w:pPr>
    </w:p>
    <w:p>
      <w:pPr>
        <w:ind w:left="400" w:hanging="20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Expand and protect our proprietary know-how and intellectual property</w:t>
      </w:r>
    </w:p>
    <w:p>
      <w:pPr>
        <w:spacing w:after="0" w:line="125" w:lineRule="exact"/>
        <w:rPr>
          <w:rFonts w:ascii="Arial" w:cs="Arial" w:eastAsia="Arial" w:hAnsi="Arial"/>
          <w:sz w:val="17"/>
          <w:szCs w:val="17"/>
          <w:color w:val="auto"/>
        </w:rPr>
      </w:pPr>
    </w:p>
    <w:p>
      <w:pPr>
        <w:ind w:left="400" w:hanging="207"/>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Consider strategic collaborations in select therapeutic areas to fully realize the potential of our QuEEN platform</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Risks associated with our business</w:t>
      </w:r>
    </w:p>
    <w:p>
      <w:pPr>
        <w:spacing w:after="0" w:line="142" w:lineRule="exact"/>
        <w:rPr>
          <w:sz w:val="20"/>
          <w:szCs w:val="20"/>
          <w:color w:val="auto"/>
        </w:rPr>
      </w:pPr>
    </w:p>
    <w:p>
      <w:pPr>
        <w:ind w:left="200" w:right="380"/>
        <w:spacing w:after="0" w:line="263"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in this prospectus. These risks include, among others:</w:t>
      </w:r>
    </w:p>
    <w:p>
      <w:pPr>
        <w:spacing w:after="0" w:line="93" w:lineRule="exact"/>
        <w:rPr>
          <w:sz w:val="20"/>
          <w:szCs w:val="20"/>
          <w:color w:val="auto"/>
        </w:rPr>
      </w:pPr>
    </w:p>
    <w:p>
      <w:pPr>
        <w:ind w:left="400" w:right="220" w:hanging="207"/>
        <w:spacing w:after="0" w:line="263"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biopharmaceutical company with a limited operating history and have not generated any revenue to date from drug sales, and may never become profitable</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40"/>
          </w:cols>
          <w:pgMar w:left="320" w:top="456"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4344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4344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00" w:right="340" w:hanging="207"/>
        <w:spacing w:after="0" w:line="263"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anticipate that we will incur continued losses for the foreseeable future</w:t>
      </w:r>
    </w:p>
    <w:p>
      <w:pPr>
        <w:spacing w:after="0" w:line="93" w:lineRule="exact"/>
        <w:rPr>
          <w:rFonts w:ascii="Arial" w:cs="Arial" w:eastAsia="Arial" w:hAnsi="Arial"/>
          <w:sz w:val="17"/>
          <w:szCs w:val="17"/>
          <w:color w:val="auto"/>
        </w:rPr>
      </w:pPr>
    </w:p>
    <w:p>
      <w:pPr>
        <w:ind w:left="400" w:right="320" w:hanging="207"/>
        <w:spacing w:after="0" w:line="263"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very early in our development efforts. All of our programs are still in the preclinical stages of drug discovery. If we are unable to commercialize our product candidates or experience significant delays in doing so, our business will be materially harmed</w:t>
      </w:r>
    </w:p>
    <w:p>
      <w:pPr>
        <w:spacing w:after="0" w:line="93" w:lineRule="exact"/>
        <w:rPr>
          <w:rFonts w:ascii="Arial" w:cs="Arial" w:eastAsia="Arial" w:hAnsi="Arial"/>
          <w:sz w:val="17"/>
          <w:szCs w:val="17"/>
          <w:color w:val="auto"/>
        </w:rPr>
      </w:pPr>
    </w:p>
    <w:p>
      <w:pPr>
        <w:ind w:left="400" w:right="180" w:hanging="207"/>
        <w:spacing w:after="0" w:line="263"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approach to the discovery and development of product candidates based on our QuEEN platform is novel, which makes it difficult to predict the time, cost of development and likelihood of successfully developing any products</w:t>
      </w:r>
    </w:p>
    <w:p>
      <w:pPr>
        <w:spacing w:after="0" w:line="93" w:lineRule="exact"/>
        <w:rPr>
          <w:rFonts w:ascii="Arial" w:cs="Arial" w:eastAsia="Arial" w:hAnsi="Arial"/>
          <w:sz w:val="17"/>
          <w:szCs w:val="17"/>
          <w:color w:val="auto"/>
        </w:rPr>
      </w:pPr>
    </w:p>
    <w:p>
      <w:pPr>
        <w:ind w:left="400" w:hanging="207"/>
        <w:spacing w:after="0" w:line="254"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rFonts w:ascii="Arial" w:cs="Arial" w:eastAsia="Arial" w:hAnsi="Arial"/>
          <w:sz w:val="17"/>
          <w:szCs w:val="17"/>
          <w:color w:val="auto"/>
        </w:rPr>
      </w:pPr>
    </w:p>
    <w:p>
      <w:pPr>
        <w:ind w:left="400" w:right="160" w:hanging="207"/>
        <w:spacing w:after="0" w:line="254"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1" w:lineRule="exact"/>
        <w:rPr>
          <w:rFonts w:ascii="Arial" w:cs="Arial" w:eastAsia="Arial" w:hAnsi="Arial"/>
          <w:sz w:val="17"/>
          <w:szCs w:val="17"/>
          <w:color w:val="auto"/>
        </w:rPr>
      </w:pPr>
    </w:p>
    <w:p>
      <w:pPr>
        <w:ind w:left="400" w:right="40" w:hanging="207"/>
        <w:spacing w:after="0" w:line="251"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05" w:lineRule="exact"/>
        <w:rPr>
          <w:rFonts w:ascii="Arial" w:cs="Arial" w:eastAsia="Arial" w:hAnsi="Arial"/>
          <w:sz w:val="17"/>
          <w:szCs w:val="17"/>
          <w:color w:val="auto"/>
        </w:rPr>
      </w:pPr>
    </w:p>
    <w:p>
      <w:pPr>
        <w:ind w:left="400" w:right="20" w:hanging="207"/>
        <w:spacing w:after="0" w:line="251"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own patent applications related to our QuEEN platform and our GSPT1 program, including GSPT1-directed MGDs, biomarkers related to these compounds, and methods of reading through nonsense mutations. We currently do not own any issued patents. Further, patent prosecution related to our pending patent applications is in the early stages and, as such, no patent examiner has yet fully scrutinized the merits of any of our pending patent applications</w:t>
      </w:r>
    </w:p>
    <w:p>
      <w:pPr>
        <w:spacing w:after="0" w:line="105" w:lineRule="exact"/>
        <w:rPr>
          <w:rFonts w:ascii="Arial" w:cs="Arial" w:eastAsia="Arial" w:hAnsi="Arial"/>
          <w:sz w:val="17"/>
          <w:szCs w:val="17"/>
          <w:color w:val="auto"/>
        </w:rPr>
      </w:pPr>
    </w:p>
    <w:p>
      <w:pPr>
        <w:ind w:left="400" w:hanging="20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to attract, retain and motivate qualified personnel</w:t>
      </w:r>
    </w:p>
    <w:p>
      <w:pPr>
        <w:spacing w:after="0" w:line="125" w:lineRule="exact"/>
        <w:rPr>
          <w:rFonts w:ascii="Arial" w:cs="Arial" w:eastAsia="Arial" w:hAnsi="Arial"/>
          <w:sz w:val="17"/>
          <w:szCs w:val="17"/>
          <w:color w:val="auto"/>
        </w:rPr>
      </w:pPr>
    </w:p>
    <w:p>
      <w:pPr>
        <w:ind w:left="400" w:hanging="20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Business disruptions could seriously harm our future revenue and financial condition and increase our costs and expenses</w:t>
      </w:r>
    </w:p>
    <w:p>
      <w:pPr>
        <w:spacing w:after="0" w:line="125" w:lineRule="exact"/>
        <w:rPr>
          <w:rFonts w:ascii="Arial" w:cs="Arial" w:eastAsia="Arial" w:hAnsi="Arial"/>
          <w:sz w:val="17"/>
          <w:szCs w:val="17"/>
          <w:color w:val="auto"/>
        </w:rPr>
      </w:pPr>
    </w:p>
    <w:p>
      <w:pPr>
        <w:ind w:left="400" w:right="240" w:hanging="207"/>
        <w:spacing w:after="0" w:line="263"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successfully remediate these material weaknesses in our internal control over financial reporting, it could have an adverse effect on our company</w:t>
      </w:r>
    </w:p>
    <w:p>
      <w:pPr>
        <w:spacing w:after="0" w:line="93" w:lineRule="exact"/>
        <w:rPr>
          <w:rFonts w:ascii="Arial" w:cs="Arial" w:eastAsia="Arial" w:hAnsi="Arial"/>
          <w:sz w:val="17"/>
          <w:szCs w:val="17"/>
          <w:color w:val="auto"/>
        </w:rPr>
      </w:pPr>
    </w:p>
    <w:p>
      <w:pPr>
        <w:ind w:left="400" w:right="120" w:hanging="207"/>
        <w:spacing w:after="0" w:line="254"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 In addition, six of our directors, including our chief executive officer, are affiliated with our principal stockholders</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40"/>
          </w:cols>
          <w:pgMar w:left="320" w:top="456"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5320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532066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Corporate information</w:t>
      </w:r>
    </w:p>
    <w:p>
      <w:pPr>
        <w:spacing w:after="0" w:line="142" w:lineRule="exact"/>
        <w:rPr>
          <w:sz w:val="20"/>
          <w:szCs w:val="20"/>
          <w:color w:val="auto"/>
        </w:rPr>
      </w:pPr>
    </w:p>
    <w:p>
      <w:pPr>
        <w:ind w:left="200" w:right="280"/>
        <w:spacing w:after="0" w:line="263" w:lineRule="auto"/>
        <w:rPr>
          <w:sz w:val="20"/>
          <w:szCs w:val="20"/>
          <w:color w:val="auto"/>
        </w:rPr>
      </w:pPr>
      <w:r>
        <w:rPr>
          <w:rFonts w:ascii="Arial" w:cs="Arial" w:eastAsia="Arial" w:hAnsi="Arial"/>
          <w:sz w:val="17"/>
          <w:szCs w:val="17"/>
          <w:color w:val="auto"/>
        </w:rPr>
        <w:t>We were incorporated under the laws of the State of Delaware in November 2019 under the name Monte Rosa Therapeutics, Inc. Our principal executive offices are located at 645 Summer Street, Suite 102, Boston, MA 02210, and our telephone number is (617) 949-2643.</w:t>
      </w:r>
    </w:p>
    <w:p>
      <w:pPr>
        <w:spacing w:after="0" w:line="80" w:lineRule="exact"/>
        <w:rPr>
          <w:sz w:val="20"/>
          <w:szCs w:val="20"/>
          <w:color w:val="auto"/>
        </w:rPr>
      </w:pPr>
    </w:p>
    <w:p>
      <w:pPr>
        <w:ind w:left="200"/>
        <w:spacing w:after="0" w:line="249" w:lineRule="auto"/>
        <w:rPr>
          <w:sz w:val="20"/>
          <w:szCs w:val="20"/>
          <w:color w:val="auto"/>
        </w:rPr>
      </w:pPr>
      <w:r>
        <w:rPr>
          <w:rFonts w:ascii="Arial" w:cs="Arial" w:eastAsia="Arial" w:hAnsi="Arial"/>
          <w:sz w:val="17"/>
          <w:szCs w:val="17"/>
          <w:color w:val="auto"/>
        </w:rPr>
        <w:t>Prior to April 2020, we operated exclusively through Monte Rosa Therapeutics AG, a company incorporated under the laws of Switzerland in April 2018. In April 2020 and September 2020, Monte Rosa Therapeutics, Inc. entered into two separate Contribution and Exchange Agreements with the shareholders of record of Monte Rosa Therapeutics AG, whereby all such shareholders contributed, and Monte Rosa Therapeutics, Inc. acquired, all of such shareholders’ right, title and interest in and to their shares of Monte Rosa Therapeutics AG, and, in consideration therefor, such shareholders received shares of the capital stock of Monte Rosa Therapeutics, Inc. As a result of the contribution and exchange transactions, Monte Rosa Therapeutics AG became a wholly-owned subsidiary of Monte Rosa Therapeutics, Inc., and we continued operations through, and under the name, Monte Rosa Therapeutics, Inc.</w:t>
      </w:r>
    </w:p>
    <w:p>
      <w:pPr>
        <w:spacing w:after="0" w:line="92" w:lineRule="exact"/>
        <w:rPr>
          <w:sz w:val="20"/>
          <w:szCs w:val="20"/>
          <w:color w:val="auto"/>
        </w:rPr>
      </w:pPr>
    </w:p>
    <w:p>
      <w:pPr>
        <w:ind w:left="200" w:right="1080"/>
        <w:spacing w:after="0" w:line="263" w:lineRule="auto"/>
        <w:rPr>
          <w:sz w:val="20"/>
          <w:szCs w:val="20"/>
          <w:color w:val="auto"/>
        </w:rPr>
      </w:pPr>
      <w:r>
        <w:rPr>
          <w:rFonts w:ascii="Arial" w:cs="Arial" w:eastAsia="Arial" w:hAnsi="Arial"/>
          <w:sz w:val="17"/>
          <w:szCs w:val="17"/>
          <w:color w:val="auto"/>
        </w:rPr>
        <w:t>We have one additional subsidiary: Monte Rosa Therapeutics Securities Corp., formed in November 2020 under the laws of the Commonwealth of Massachusetts.</w:t>
      </w:r>
    </w:p>
    <w:p>
      <w:pPr>
        <w:spacing w:after="0" w:line="80" w:lineRule="exact"/>
        <w:rPr>
          <w:sz w:val="20"/>
          <w:szCs w:val="20"/>
          <w:color w:val="auto"/>
        </w:rPr>
      </w:pPr>
    </w:p>
    <w:p>
      <w:pPr>
        <w:ind w:left="200" w:right="80"/>
        <w:spacing w:after="0" w:line="254" w:lineRule="auto"/>
        <w:rPr>
          <w:sz w:val="20"/>
          <w:szCs w:val="20"/>
          <w:color w:val="auto"/>
        </w:rPr>
      </w:pPr>
      <w:r>
        <w:rPr>
          <w:rFonts w:ascii="Arial" w:cs="Arial" w:eastAsia="Arial" w:hAnsi="Arial"/>
          <w:sz w:val="17"/>
          <w:szCs w:val="17"/>
          <w:color w:val="auto"/>
        </w:rPr>
        <w:t>Our website address is https://www.monterosatx.com.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Implications of being an emerging growth company and a smaller reporting company</w:t>
      </w:r>
    </w:p>
    <w:p>
      <w:pPr>
        <w:spacing w:after="0" w:line="142" w:lineRule="exact"/>
        <w:rPr>
          <w:sz w:val="20"/>
          <w:szCs w:val="20"/>
          <w:color w:val="auto"/>
        </w:rPr>
      </w:pPr>
    </w:p>
    <w:p>
      <w:pPr>
        <w:ind w:left="200" w:right="80"/>
        <w:spacing w:after="0" w:line="254"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102" w:lineRule="exact"/>
        <w:rPr>
          <w:sz w:val="20"/>
          <w:szCs w:val="20"/>
          <w:color w:val="auto"/>
        </w:rPr>
      </w:pPr>
    </w:p>
    <w:p>
      <w:pPr>
        <w:ind w:left="400" w:right="700" w:hanging="207"/>
        <w:spacing w:after="0" w:line="254"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01" w:lineRule="exact"/>
        <w:rPr>
          <w:rFonts w:ascii="Arial" w:cs="Arial" w:eastAsia="Arial" w:hAnsi="Arial"/>
          <w:sz w:val="17"/>
          <w:szCs w:val="17"/>
          <w:color w:val="auto"/>
        </w:rPr>
      </w:pPr>
    </w:p>
    <w:p>
      <w:pPr>
        <w:ind w:left="400" w:hanging="207"/>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125" w:lineRule="exact"/>
        <w:rPr>
          <w:rFonts w:ascii="Arial" w:cs="Arial" w:eastAsia="Arial" w:hAnsi="Arial"/>
          <w:sz w:val="17"/>
          <w:szCs w:val="17"/>
          <w:color w:val="auto"/>
        </w:rPr>
      </w:pPr>
    </w:p>
    <w:p>
      <w:pPr>
        <w:ind w:left="400" w:right="880" w:hanging="207"/>
        <w:spacing w:after="0" w:line="263"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being required to hold advisory votes on executive compensation or to obtain stockholder approval of any golden parachute arrangements not previously approved;</w:t>
      </w:r>
    </w:p>
    <w:p>
      <w:pPr>
        <w:spacing w:after="0" w:line="93" w:lineRule="exact"/>
        <w:rPr>
          <w:rFonts w:ascii="Arial" w:cs="Arial" w:eastAsia="Arial" w:hAnsi="Arial"/>
          <w:sz w:val="17"/>
          <w:szCs w:val="17"/>
          <w:color w:val="auto"/>
        </w:rPr>
      </w:pPr>
    </w:p>
    <w:p>
      <w:pPr>
        <w:ind w:left="400" w:right="380" w:hanging="207"/>
        <w:spacing w:after="0" w:line="263"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 and</w:t>
      </w:r>
    </w:p>
    <w:p>
      <w:pPr>
        <w:spacing w:after="0" w:line="93" w:lineRule="exact"/>
        <w:rPr>
          <w:rFonts w:ascii="Arial" w:cs="Arial" w:eastAsia="Arial" w:hAnsi="Arial"/>
          <w:sz w:val="17"/>
          <w:szCs w:val="17"/>
          <w:color w:val="auto"/>
        </w:rPr>
      </w:pPr>
    </w:p>
    <w:p>
      <w:pPr>
        <w:ind w:left="400" w:right="80" w:hanging="207"/>
        <w:spacing w:after="0" w:line="263"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exemption from compliance with the requirements of the Public Company Accounting Oversight Board regarding the communication of critical audit matters in the auditor’s report on the financial statements.</w:t>
      </w:r>
    </w:p>
    <w:p>
      <w:pPr>
        <w:spacing w:after="0" w:line="80" w:lineRule="exact"/>
        <w:rPr>
          <w:sz w:val="20"/>
          <w:szCs w:val="20"/>
          <w:color w:val="auto"/>
        </w:rPr>
      </w:pPr>
    </w:p>
    <w:p>
      <w:pPr>
        <w:ind w:left="200" w:right="20"/>
        <w:spacing w:after="0" w:line="251" w:lineRule="auto"/>
        <w:rPr>
          <w:sz w:val="20"/>
          <w:szCs w:val="20"/>
          <w:color w:val="auto"/>
        </w:rPr>
      </w:pPr>
      <w:r>
        <w:rPr>
          <w:rFonts w:ascii="Arial" w:cs="Arial" w:eastAsia="Arial" w:hAnsi="Arial"/>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w:t>
      </w:r>
    </w:p>
    <w:p>
      <w:pPr>
        <w:spacing w:after="0" w:line="15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60"/>
          </w:cols>
          <w:pgMar w:left="320" w:top="456"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1863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186372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hanging="7"/>
        <w:spacing w:after="0" w:line="251" w:lineRule="auto"/>
        <w:tabs>
          <w:tab w:leader="none" w:pos="49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under the rules of the Securities and Exchange Commission, or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w:t>
      </w:r>
    </w:p>
    <w:p>
      <w:pPr>
        <w:spacing w:after="0" w:line="92"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40"/>
          </w:cols>
          <w:pgMar w:left="320" w:top="456"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4632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463232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0" w:type="dxa"/>
            <w:vAlign w:val="bottom"/>
          </w:tcPr>
          <w:p>
            <w:pPr>
              <w:ind w:left="200"/>
              <w:spacing w:after="0"/>
              <w:rPr>
                <w:sz w:val="20"/>
                <w:szCs w:val="20"/>
                <w:color w:val="auto"/>
              </w:rPr>
            </w:pPr>
            <w:r>
              <w:rPr>
                <w:rFonts w:ascii="Arial" w:cs="Arial" w:eastAsia="Arial" w:hAnsi="Arial"/>
                <w:sz w:val="17"/>
                <w:szCs w:val="17"/>
                <w:color w:val="auto"/>
              </w:rPr>
              <w:t>Shares of common stock offered by us</w:t>
            </w:r>
          </w:p>
        </w:tc>
        <w:tc>
          <w:tcPr>
            <w:tcW w:w="1860" w:type="dxa"/>
            <w:vAlign w:val="bottom"/>
          </w:tcPr>
          <w:p>
            <w:pPr>
              <w:ind w:left="660"/>
              <w:spacing w:after="0"/>
              <w:rPr>
                <w:sz w:val="20"/>
                <w:szCs w:val="20"/>
                <w:color w:val="auto"/>
              </w:rPr>
            </w:pPr>
            <w:r>
              <w:rPr>
                <w:rFonts w:ascii="Arial" w:cs="Arial" w:eastAsia="Arial" w:hAnsi="Arial"/>
                <w:sz w:val="17"/>
                <w:szCs w:val="17"/>
                <w:color w:val="auto"/>
              </w:rPr>
              <w:t>shares.</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26"/>
        </w:trPr>
        <w:tc>
          <w:tcPr>
            <w:tcW w:w="3200" w:type="dxa"/>
            <w:vAlign w:val="bottom"/>
          </w:tcPr>
          <w:p>
            <w:pPr>
              <w:ind w:left="200"/>
              <w:spacing w:after="0"/>
              <w:rPr>
                <w:sz w:val="20"/>
                <w:szCs w:val="20"/>
                <w:color w:val="auto"/>
              </w:rPr>
            </w:pPr>
            <w:r>
              <w:rPr>
                <w:rFonts w:ascii="Arial" w:cs="Arial" w:eastAsia="Arial" w:hAnsi="Arial"/>
                <w:sz w:val="17"/>
                <w:szCs w:val="17"/>
                <w:color w:val="auto"/>
              </w:rPr>
              <w:t>Shares of our common stock to be</w:t>
            </w:r>
          </w:p>
        </w:tc>
        <w:tc>
          <w:tcPr>
            <w:tcW w:w="1860" w:type="dxa"/>
            <w:vAlign w:val="bottom"/>
          </w:tcPr>
          <w:p>
            <w:pPr>
              <w:ind w:left="660"/>
              <w:spacing w:after="0"/>
              <w:rPr>
                <w:sz w:val="20"/>
                <w:szCs w:val="20"/>
                <w:color w:val="auto"/>
              </w:rPr>
            </w:pPr>
            <w:r>
              <w:rPr>
                <w:rFonts w:ascii="Arial" w:cs="Arial" w:eastAsia="Arial" w:hAnsi="Arial"/>
                <w:sz w:val="17"/>
                <w:szCs w:val="17"/>
                <w:color w:val="auto"/>
              </w:rPr>
              <w:t>shares (or</w:t>
            </w:r>
          </w:p>
        </w:tc>
        <w:tc>
          <w:tcPr>
            <w:tcW w:w="6180" w:type="dxa"/>
            <w:vAlign w:val="bottom"/>
            <w:gridSpan w:val="6"/>
          </w:tcPr>
          <w:p>
            <w:pPr>
              <w:ind w:left="400"/>
              <w:spacing w:after="0"/>
              <w:rPr>
                <w:sz w:val="20"/>
                <w:szCs w:val="20"/>
                <w:color w:val="auto"/>
              </w:rPr>
            </w:pPr>
            <w:r>
              <w:rPr>
                <w:rFonts w:ascii="Arial" w:cs="Arial" w:eastAsia="Arial" w:hAnsi="Arial"/>
                <w:sz w:val="17"/>
                <w:szCs w:val="17"/>
                <w:color w:val="auto"/>
              </w:rPr>
              <w:t>shares if the underwriters exercise their option to purchase additional</w:t>
            </w:r>
          </w:p>
        </w:tc>
      </w:tr>
      <w:tr>
        <w:trPr>
          <w:trHeight w:val="209"/>
        </w:trPr>
        <w:tc>
          <w:tcPr>
            <w:tcW w:w="3200" w:type="dxa"/>
            <w:vAlign w:val="bottom"/>
          </w:tcPr>
          <w:p>
            <w:pPr>
              <w:ind w:left="200"/>
              <w:spacing w:after="0"/>
              <w:rPr>
                <w:sz w:val="20"/>
                <w:szCs w:val="20"/>
                <w:color w:val="auto"/>
              </w:rPr>
            </w:pPr>
            <w:r>
              <w:rPr>
                <w:rFonts w:ascii="Arial" w:cs="Arial" w:eastAsia="Arial" w:hAnsi="Arial"/>
                <w:sz w:val="17"/>
                <w:szCs w:val="17"/>
                <w:color w:val="auto"/>
              </w:rPr>
              <w:t>outstanding after this offering</w:t>
            </w:r>
          </w:p>
        </w:tc>
        <w:tc>
          <w:tcPr>
            <w:tcW w:w="1860" w:type="dxa"/>
            <w:vAlign w:val="bottom"/>
          </w:tcPr>
          <w:p>
            <w:pPr>
              <w:ind w:left="20"/>
              <w:spacing w:after="0"/>
              <w:rPr>
                <w:sz w:val="20"/>
                <w:szCs w:val="20"/>
                <w:color w:val="auto"/>
              </w:rPr>
            </w:pPr>
            <w:r>
              <w:rPr>
                <w:rFonts w:ascii="Arial" w:cs="Arial" w:eastAsia="Arial" w:hAnsi="Arial"/>
                <w:sz w:val="17"/>
                <w:szCs w:val="17"/>
                <w:color w:val="auto"/>
              </w:rPr>
              <w:t>shares in full).</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26"/>
        </w:trPr>
        <w:tc>
          <w:tcPr>
            <w:tcW w:w="3200" w:type="dxa"/>
            <w:vAlign w:val="bottom"/>
          </w:tcPr>
          <w:p>
            <w:pPr>
              <w:ind w:left="200"/>
              <w:spacing w:after="0"/>
              <w:rPr>
                <w:sz w:val="20"/>
                <w:szCs w:val="20"/>
                <w:color w:val="auto"/>
              </w:rPr>
            </w:pPr>
            <w:r>
              <w:rPr>
                <w:rFonts w:ascii="Arial" w:cs="Arial" w:eastAsia="Arial" w:hAnsi="Arial"/>
                <w:sz w:val="17"/>
                <w:szCs w:val="17"/>
                <w:color w:val="auto"/>
              </w:rPr>
              <w:t>Underwriters’ option to purchase</w:t>
            </w:r>
          </w:p>
        </w:tc>
        <w:tc>
          <w:tcPr>
            <w:tcW w:w="6080" w:type="dxa"/>
            <w:vAlign w:val="bottom"/>
            <w:gridSpan w:val="5"/>
          </w:tcPr>
          <w:p>
            <w:pPr>
              <w:ind w:left="20"/>
              <w:spacing w:after="0"/>
              <w:rPr>
                <w:sz w:val="20"/>
                <w:szCs w:val="20"/>
                <w:color w:val="auto"/>
              </w:rPr>
            </w:pPr>
            <w:r>
              <w:rPr>
                <w:rFonts w:ascii="Arial" w:cs="Arial" w:eastAsia="Arial" w:hAnsi="Arial"/>
                <w:sz w:val="17"/>
                <w:szCs w:val="17"/>
                <w:color w:val="auto"/>
              </w:rPr>
              <w:t>We have granted the underwriters a 30-day option to purchase up to</w:t>
            </w:r>
          </w:p>
        </w:tc>
        <w:tc>
          <w:tcPr>
            <w:tcW w:w="1960" w:type="dxa"/>
            <w:vAlign w:val="bottom"/>
            <w:gridSpan w:val="2"/>
          </w:tcPr>
          <w:p>
            <w:pPr>
              <w:ind w:left="80"/>
              <w:spacing w:after="0"/>
              <w:rPr>
                <w:sz w:val="20"/>
                <w:szCs w:val="20"/>
                <w:color w:val="auto"/>
              </w:rPr>
            </w:pPr>
            <w:r>
              <w:rPr>
                <w:rFonts w:ascii="Arial" w:cs="Arial" w:eastAsia="Arial" w:hAnsi="Arial"/>
                <w:sz w:val="17"/>
                <w:szCs w:val="17"/>
                <w:color w:val="auto"/>
              </w:rPr>
              <w:t>additional shares of</w:t>
            </w:r>
          </w:p>
        </w:tc>
      </w:tr>
      <w:tr>
        <w:trPr>
          <w:trHeight w:val="201"/>
        </w:trPr>
        <w:tc>
          <w:tcPr>
            <w:tcW w:w="3200" w:type="dxa"/>
            <w:vAlign w:val="bottom"/>
          </w:tcPr>
          <w:p>
            <w:pPr>
              <w:ind w:left="200"/>
              <w:spacing w:after="0"/>
              <w:rPr>
                <w:sz w:val="20"/>
                <w:szCs w:val="20"/>
                <w:color w:val="auto"/>
              </w:rPr>
            </w:pPr>
            <w:r>
              <w:rPr>
                <w:rFonts w:ascii="Arial" w:cs="Arial" w:eastAsia="Arial" w:hAnsi="Arial"/>
                <w:sz w:val="17"/>
                <w:szCs w:val="17"/>
                <w:color w:val="auto"/>
              </w:rPr>
              <w:t>additional shares</w:t>
            </w: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our common stock at the public offering price, less underwriting discounts and commissions on the</w:t>
            </w:r>
          </w:p>
        </w:tc>
      </w:tr>
      <w:tr>
        <w:trPr>
          <w:trHeight w:val="209"/>
        </w:trPr>
        <w:tc>
          <w:tcPr>
            <w:tcW w:w="3200" w:type="dxa"/>
            <w:vAlign w:val="bottom"/>
          </w:tcPr>
          <w:p>
            <w:pPr>
              <w:spacing w:after="0"/>
              <w:rPr>
                <w:sz w:val="18"/>
                <w:szCs w:val="18"/>
                <w:color w:val="auto"/>
              </w:rPr>
            </w:pPr>
          </w:p>
        </w:tc>
        <w:tc>
          <w:tcPr>
            <w:tcW w:w="3700" w:type="dxa"/>
            <w:vAlign w:val="bottom"/>
            <w:gridSpan w:val="3"/>
          </w:tcPr>
          <w:p>
            <w:pPr>
              <w:ind w:left="20"/>
              <w:spacing w:after="0"/>
              <w:rPr>
                <w:sz w:val="20"/>
                <w:szCs w:val="20"/>
                <w:color w:val="auto"/>
              </w:rPr>
            </w:pPr>
            <w:r>
              <w:rPr>
                <w:rFonts w:ascii="Arial" w:cs="Arial" w:eastAsia="Arial" w:hAnsi="Arial"/>
                <w:sz w:val="17"/>
                <w:szCs w:val="17"/>
                <w:color w:val="auto"/>
              </w:rPr>
              <w:t>same terms as set forth in this prospectus.</w:t>
            </w: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2"/>
        </w:trPr>
        <w:tc>
          <w:tcPr>
            <w:tcW w:w="3200" w:type="dxa"/>
            <w:vAlign w:val="bottom"/>
          </w:tcPr>
          <w:p>
            <w:pPr>
              <w:ind w:left="200"/>
              <w:spacing w:after="0"/>
              <w:rPr>
                <w:sz w:val="20"/>
                <w:szCs w:val="20"/>
                <w:color w:val="auto"/>
              </w:rPr>
            </w:pPr>
            <w:r>
              <w:rPr>
                <w:rFonts w:ascii="Arial" w:cs="Arial" w:eastAsia="Arial" w:hAnsi="Arial"/>
                <w:sz w:val="17"/>
                <w:szCs w:val="17"/>
                <w:color w:val="auto"/>
              </w:rPr>
              <w:t>Use of proceeds</w:t>
            </w:r>
          </w:p>
        </w:tc>
        <w:tc>
          <w:tcPr>
            <w:tcW w:w="4600" w:type="dxa"/>
            <w:vAlign w:val="bottom"/>
            <w:gridSpan w:val="4"/>
          </w:tcPr>
          <w:p>
            <w:pPr>
              <w:ind w:left="20"/>
              <w:spacing w:after="0"/>
              <w:rPr>
                <w:sz w:val="20"/>
                <w:szCs w:val="20"/>
                <w:color w:val="auto"/>
              </w:rPr>
            </w:pPr>
            <w:r>
              <w:rPr>
                <w:rFonts w:ascii="Arial" w:cs="Arial" w:eastAsia="Arial" w:hAnsi="Arial"/>
                <w:sz w:val="17"/>
                <w:szCs w:val="17"/>
                <w:color w:val="auto"/>
              </w:rPr>
              <w:t>We estimate that the net proceeds to us from the sale of</w:t>
            </w:r>
          </w:p>
        </w:tc>
        <w:tc>
          <w:tcPr>
            <w:tcW w:w="3440" w:type="dxa"/>
            <w:vAlign w:val="bottom"/>
            <w:gridSpan w:val="3"/>
          </w:tcPr>
          <w:p>
            <w:pPr>
              <w:ind w:left="520"/>
              <w:spacing w:after="0"/>
              <w:rPr>
                <w:sz w:val="20"/>
                <w:szCs w:val="20"/>
                <w:color w:val="auto"/>
              </w:rPr>
            </w:pPr>
            <w:r>
              <w:rPr>
                <w:rFonts w:ascii="Arial" w:cs="Arial" w:eastAsia="Arial" w:hAnsi="Arial"/>
                <w:sz w:val="17"/>
                <w:szCs w:val="17"/>
                <w:color w:val="auto"/>
              </w:rPr>
              <w:t>shares of our common stock in this</w:t>
            </w:r>
          </w:p>
        </w:tc>
      </w:tr>
      <w:tr>
        <w:trPr>
          <w:trHeight w:val="201"/>
        </w:trPr>
        <w:tc>
          <w:tcPr>
            <w:tcW w:w="3200" w:type="dxa"/>
            <w:vAlign w:val="bottom"/>
          </w:tcPr>
          <w:p>
            <w:pPr>
              <w:spacing w:after="0"/>
              <w:rPr>
                <w:sz w:val="17"/>
                <w:szCs w:val="17"/>
                <w:color w:val="auto"/>
              </w:rPr>
            </w:pP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offering will be approximately $</w:t>
            </w:r>
          </w:p>
        </w:tc>
        <w:tc>
          <w:tcPr>
            <w:tcW w:w="1780" w:type="dxa"/>
            <w:vAlign w:val="bottom"/>
            <w:gridSpan w:val="2"/>
          </w:tcPr>
          <w:p>
            <w:pPr>
              <w:ind w:left="360"/>
              <w:spacing w:after="0"/>
              <w:rPr>
                <w:sz w:val="20"/>
                <w:szCs w:val="20"/>
                <w:color w:val="auto"/>
              </w:rPr>
            </w:pPr>
            <w:r>
              <w:rPr>
                <w:rFonts w:ascii="Arial" w:cs="Arial" w:eastAsia="Arial" w:hAnsi="Arial"/>
                <w:sz w:val="17"/>
                <w:szCs w:val="17"/>
                <w:color w:val="auto"/>
              </w:rPr>
              <w:t>million, or $</w:t>
            </w:r>
          </w:p>
        </w:tc>
        <w:tc>
          <w:tcPr>
            <w:tcW w:w="3440" w:type="dxa"/>
            <w:vAlign w:val="bottom"/>
            <w:gridSpan w:val="3"/>
          </w:tcPr>
          <w:p>
            <w:pPr>
              <w:ind w:left="240"/>
              <w:spacing w:after="0"/>
              <w:rPr>
                <w:sz w:val="20"/>
                <w:szCs w:val="20"/>
                <w:color w:val="auto"/>
              </w:rPr>
            </w:pPr>
            <w:r>
              <w:rPr>
                <w:rFonts w:ascii="Arial" w:cs="Arial" w:eastAsia="Arial" w:hAnsi="Arial"/>
                <w:sz w:val="17"/>
                <w:szCs w:val="17"/>
                <w:color w:val="auto"/>
              </w:rPr>
              <w:t>million if the underwriters exercise their</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option to purchase additional shares in full, assuming an initial public offering price of $</w:t>
            </w:r>
          </w:p>
        </w:tc>
        <w:tc>
          <w:tcPr>
            <w:tcW w:w="620" w:type="dxa"/>
            <w:vAlign w:val="bottom"/>
          </w:tcPr>
          <w:p>
            <w:pPr>
              <w:jc w:val="center"/>
              <w:ind w:right="193"/>
              <w:spacing w:after="0"/>
              <w:rPr>
                <w:sz w:val="20"/>
                <w:szCs w:val="20"/>
                <w:color w:val="auto"/>
              </w:rPr>
            </w:pPr>
            <w:r>
              <w:rPr>
                <w:rFonts w:ascii="Arial" w:cs="Arial" w:eastAsia="Arial" w:hAnsi="Arial"/>
                <w:sz w:val="17"/>
                <w:szCs w:val="17"/>
                <w:color w:val="auto"/>
              </w:rPr>
              <w:t>per</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share, the midpoint of the price range set forth on the cover page of this prospectus, and after</w:t>
            </w:r>
          </w:p>
        </w:tc>
        <w:tc>
          <w:tcPr>
            <w:tcW w:w="6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deducting estimated underwriting discounts and commissions and estimated offering expenses</w:t>
            </w:r>
          </w:p>
        </w:tc>
        <w:tc>
          <w:tcPr>
            <w:tcW w:w="6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payable by us. We intend to use the net proceeds of this offering, together with our existing cash and</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cash equivalents to fund the continued development of our discovery programs and for working</w:t>
            </w:r>
          </w:p>
        </w:tc>
        <w:tc>
          <w:tcPr>
            <w:tcW w:w="620" w:type="dxa"/>
            <w:vAlign w:val="bottom"/>
          </w:tcPr>
          <w:p>
            <w:pPr>
              <w:spacing w:after="0"/>
              <w:rPr>
                <w:sz w:val="17"/>
                <w:szCs w:val="17"/>
                <w:color w:val="auto"/>
              </w:rPr>
            </w:pPr>
          </w:p>
        </w:tc>
      </w:tr>
      <w:tr>
        <w:trPr>
          <w:trHeight w:val="209"/>
        </w:trPr>
        <w:tc>
          <w:tcPr>
            <w:tcW w:w="3200" w:type="dxa"/>
            <w:vAlign w:val="bottom"/>
          </w:tcPr>
          <w:p>
            <w:pPr>
              <w:spacing w:after="0"/>
              <w:rPr>
                <w:sz w:val="18"/>
                <w:szCs w:val="18"/>
                <w:color w:val="auto"/>
              </w:rPr>
            </w:pPr>
          </w:p>
        </w:tc>
        <w:tc>
          <w:tcPr>
            <w:tcW w:w="6080" w:type="dxa"/>
            <w:vAlign w:val="bottom"/>
            <w:gridSpan w:val="5"/>
          </w:tcPr>
          <w:p>
            <w:pPr>
              <w:ind w:left="20"/>
              <w:spacing w:after="0"/>
              <w:rPr>
                <w:sz w:val="20"/>
                <w:szCs w:val="20"/>
                <w:color w:val="auto"/>
              </w:rPr>
            </w:pPr>
            <w:r>
              <w:rPr>
                <w:rFonts w:ascii="Arial" w:cs="Arial" w:eastAsia="Arial" w:hAnsi="Arial"/>
                <w:sz w:val="17"/>
                <w:szCs w:val="17"/>
                <w:color w:val="auto"/>
              </w:rPr>
              <w:t>capital and other general corporate purposes. See “Use of proceeds.”</w:t>
            </w: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2"/>
        </w:trPr>
        <w:tc>
          <w:tcPr>
            <w:tcW w:w="3200" w:type="dxa"/>
            <w:vAlign w:val="bottom"/>
          </w:tcPr>
          <w:p>
            <w:pPr>
              <w:ind w:left="200"/>
              <w:spacing w:after="0"/>
              <w:rPr>
                <w:sz w:val="20"/>
                <w:szCs w:val="20"/>
                <w:color w:val="auto"/>
              </w:rPr>
            </w:pPr>
            <w:r>
              <w:rPr>
                <w:rFonts w:ascii="Arial" w:cs="Arial" w:eastAsia="Arial" w:hAnsi="Arial"/>
                <w:sz w:val="17"/>
                <w:szCs w:val="17"/>
                <w:color w:val="auto"/>
              </w:rPr>
              <w:t>Directed share program</w:t>
            </w: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At our request, J.P. Morgan Securities LLC and its affiliates, or the DSP Underwriter, has reserved for</w:t>
            </w:r>
          </w:p>
        </w:tc>
      </w:tr>
      <w:tr>
        <w:trPr>
          <w:trHeight w:val="201"/>
        </w:trPr>
        <w:tc>
          <w:tcPr>
            <w:tcW w:w="3200" w:type="dxa"/>
            <w:vAlign w:val="bottom"/>
          </w:tcPr>
          <w:p>
            <w:pPr>
              <w:spacing w:after="0"/>
              <w:rPr>
                <w:sz w:val="17"/>
                <w:szCs w:val="17"/>
                <w:color w:val="auto"/>
              </w:rPr>
            </w:pPr>
          </w:p>
        </w:tc>
        <w:tc>
          <w:tcPr>
            <w:tcW w:w="3700" w:type="dxa"/>
            <w:vAlign w:val="bottom"/>
            <w:gridSpan w:val="3"/>
          </w:tcPr>
          <w:p>
            <w:pPr>
              <w:ind w:left="20"/>
              <w:spacing w:after="0"/>
              <w:rPr>
                <w:sz w:val="20"/>
                <w:szCs w:val="20"/>
                <w:color w:val="auto"/>
              </w:rPr>
            </w:pPr>
            <w:r>
              <w:rPr>
                <w:rFonts w:ascii="Arial" w:cs="Arial" w:eastAsia="Arial" w:hAnsi="Arial"/>
                <w:sz w:val="17"/>
                <w:szCs w:val="17"/>
                <w:color w:val="auto"/>
              </w:rPr>
              <w:t>sale, at the initial public offering price, up to</w:t>
            </w:r>
          </w:p>
        </w:tc>
        <w:tc>
          <w:tcPr>
            <w:tcW w:w="3720" w:type="dxa"/>
            <w:vAlign w:val="bottom"/>
            <w:gridSpan w:val="3"/>
          </w:tcPr>
          <w:p>
            <w:pPr>
              <w:ind w:left="340"/>
              <w:spacing w:after="0"/>
              <w:rPr>
                <w:sz w:val="20"/>
                <w:szCs w:val="20"/>
                <w:color w:val="auto"/>
              </w:rPr>
            </w:pPr>
            <w:r>
              <w:rPr>
                <w:rFonts w:ascii="Arial" w:cs="Arial" w:eastAsia="Arial" w:hAnsi="Arial"/>
                <w:sz w:val="17"/>
                <w:szCs w:val="17"/>
                <w:color w:val="auto"/>
              </w:rPr>
              <w:t>shares of our common stock, or up to</w:t>
            </w:r>
          </w:p>
        </w:tc>
        <w:tc>
          <w:tcPr>
            <w:tcW w:w="620" w:type="dxa"/>
            <w:vAlign w:val="bottom"/>
          </w:tcPr>
          <w:p>
            <w:pPr>
              <w:jc w:val="right"/>
              <w:ind w:right="273"/>
              <w:spacing w:after="0"/>
              <w:rPr>
                <w:sz w:val="20"/>
                <w:szCs w:val="20"/>
                <w:color w:val="auto"/>
              </w:rPr>
            </w:pPr>
            <w:r>
              <w:rPr>
                <w:rFonts w:ascii="Arial" w:cs="Arial" w:eastAsia="Arial" w:hAnsi="Arial"/>
                <w:sz w:val="17"/>
                <w:szCs w:val="17"/>
                <w:color w:val="auto"/>
              </w:rPr>
              <w:t>%</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of the shares of our common stock offered hereby, for officers, directors, employees and certain</w:t>
            </w:r>
          </w:p>
        </w:tc>
        <w:tc>
          <w:tcPr>
            <w:tcW w:w="6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related persons. Any directed shares not purchased will be offered by the DSP Underwriter to the</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general public on the same basis as all other shares offered by this prospectus. Individuals who</w:t>
            </w:r>
          </w:p>
        </w:tc>
        <w:tc>
          <w:tcPr>
            <w:tcW w:w="6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purchase shares in the directed share program will be subject to the 180-day lock-up with respect to</w:t>
            </w:r>
          </w:p>
        </w:tc>
      </w:tr>
      <w:tr>
        <w:trPr>
          <w:trHeight w:val="201"/>
        </w:trPr>
        <w:tc>
          <w:tcPr>
            <w:tcW w:w="3200" w:type="dxa"/>
            <w:vAlign w:val="bottom"/>
          </w:tcPr>
          <w:p>
            <w:pPr>
              <w:spacing w:after="0"/>
              <w:rPr>
                <w:sz w:val="17"/>
                <w:szCs w:val="17"/>
                <w:color w:val="auto"/>
              </w:rPr>
            </w:pPr>
          </w:p>
        </w:tc>
        <w:tc>
          <w:tcPr>
            <w:tcW w:w="7420" w:type="dxa"/>
            <w:vAlign w:val="bottom"/>
            <w:gridSpan w:val="6"/>
          </w:tcPr>
          <w:p>
            <w:pPr>
              <w:ind w:left="20"/>
              <w:spacing w:after="0"/>
              <w:rPr>
                <w:sz w:val="20"/>
                <w:szCs w:val="20"/>
                <w:color w:val="auto"/>
              </w:rPr>
            </w:pPr>
            <w:r>
              <w:rPr>
                <w:rFonts w:ascii="Arial" w:cs="Arial" w:eastAsia="Arial" w:hAnsi="Arial"/>
                <w:sz w:val="17"/>
                <w:szCs w:val="17"/>
                <w:color w:val="auto"/>
              </w:rPr>
              <w:t>such shares as described in the “Underwriting” section of this prospectus. We have agreed to</w:t>
            </w:r>
          </w:p>
        </w:tc>
        <w:tc>
          <w:tcPr>
            <w:tcW w:w="6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indemnify the DSP Underwriter against certain liabilities and expenses, including liabilities under the</w:t>
            </w: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Securities Act, in connection with the sales of the directed shares. See “Underwriter—Directed share</w:t>
            </w:r>
          </w:p>
        </w:tc>
      </w:tr>
      <w:tr>
        <w:trPr>
          <w:trHeight w:val="209"/>
        </w:trPr>
        <w:tc>
          <w:tcPr>
            <w:tcW w:w="32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7"/>
                <w:szCs w:val="17"/>
                <w:color w:val="auto"/>
              </w:rPr>
              <w:t>program.”</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2"/>
        </w:trPr>
        <w:tc>
          <w:tcPr>
            <w:tcW w:w="3200" w:type="dxa"/>
            <w:vAlign w:val="bottom"/>
          </w:tcPr>
          <w:p>
            <w:pPr>
              <w:ind w:left="200"/>
              <w:spacing w:after="0"/>
              <w:rPr>
                <w:sz w:val="20"/>
                <w:szCs w:val="20"/>
                <w:color w:val="auto"/>
              </w:rPr>
            </w:pPr>
            <w:r>
              <w:rPr>
                <w:rFonts w:ascii="Arial" w:cs="Arial" w:eastAsia="Arial" w:hAnsi="Arial"/>
                <w:sz w:val="17"/>
                <w:szCs w:val="17"/>
                <w:color w:val="auto"/>
              </w:rPr>
              <w:t>Proposed Nasdaq Global Market</w:t>
            </w:r>
          </w:p>
        </w:tc>
        <w:tc>
          <w:tcPr>
            <w:tcW w:w="1860" w:type="dxa"/>
            <w:vAlign w:val="bottom"/>
          </w:tcPr>
          <w:p>
            <w:pPr>
              <w:ind w:left="20"/>
              <w:spacing w:after="0"/>
              <w:rPr>
                <w:sz w:val="20"/>
                <w:szCs w:val="20"/>
                <w:color w:val="auto"/>
              </w:rPr>
            </w:pPr>
            <w:r>
              <w:rPr>
                <w:rFonts w:ascii="Arial" w:cs="Arial" w:eastAsia="Arial" w:hAnsi="Arial"/>
                <w:sz w:val="17"/>
                <w:szCs w:val="17"/>
                <w:color w:val="auto"/>
              </w:rPr>
              <w:t>“GLUE”</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9"/>
        </w:trPr>
        <w:tc>
          <w:tcPr>
            <w:tcW w:w="3200" w:type="dxa"/>
            <w:vAlign w:val="bottom"/>
          </w:tcPr>
          <w:p>
            <w:pPr>
              <w:ind w:left="200"/>
              <w:spacing w:after="0"/>
              <w:rPr>
                <w:sz w:val="20"/>
                <w:szCs w:val="20"/>
                <w:color w:val="auto"/>
              </w:rPr>
            </w:pPr>
            <w:r>
              <w:rPr>
                <w:rFonts w:ascii="Arial" w:cs="Arial" w:eastAsia="Arial" w:hAnsi="Arial"/>
                <w:sz w:val="17"/>
                <w:szCs w:val="17"/>
                <w:color w:val="auto"/>
              </w:rPr>
              <w:t>symbol</w:t>
            </w: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26"/>
        </w:trPr>
        <w:tc>
          <w:tcPr>
            <w:tcW w:w="3200" w:type="dxa"/>
            <w:vAlign w:val="bottom"/>
          </w:tcPr>
          <w:p>
            <w:pPr>
              <w:ind w:left="200"/>
              <w:spacing w:after="0"/>
              <w:rPr>
                <w:sz w:val="20"/>
                <w:szCs w:val="20"/>
                <w:color w:val="auto"/>
              </w:rPr>
            </w:pPr>
            <w:r>
              <w:rPr>
                <w:rFonts w:ascii="Arial" w:cs="Arial" w:eastAsia="Arial" w:hAnsi="Arial"/>
                <w:sz w:val="17"/>
                <w:szCs w:val="17"/>
                <w:color w:val="auto"/>
              </w:rPr>
              <w:t>Risk factors</w:t>
            </w: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Investment in our common stock involves substantial risks. You should read this prospectus carefully,</w:t>
            </w:r>
          </w:p>
        </w:tc>
      </w:tr>
      <w:tr>
        <w:trPr>
          <w:trHeight w:val="201"/>
        </w:trPr>
        <w:tc>
          <w:tcPr>
            <w:tcW w:w="320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7"/>
                <w:szCs w:val="17"/>
                <w:color w:val="auto"/>
              </w:rPr>
              <w:t>including the section entitled “Risk factors” and the financial statements and the related notes to those</w:t>
            </w:r>
          </w:p>
        </w:tc>
      </w:tr>
      <w:tr>
        <w:trPr>
          <w:trHeight w:val="208"/>
        </w:trPr>
        <w:tc>
          <w:tcPr>
            <w:tcW w:w="320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color w:val="auto"/>
              </w:rPr>
              <w:t>statements included in this prospectus, before investing in our common stock.</w:t>
            </w: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356"/>
        </w:trPr>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jc w:val="right"/>
              <w:ind w:right="253"/>
              <w:spacing w:after="0"/>
              <w:rPr>
                <w:sz w:val="20"/>
                <w:szCs w:val="20"/>
                <w:color w:val="auto"/>
              </w:rPr>
            </w:pPr>
            <w:r>
              <w:rPr>
                <w:rFonts w:ascii="Arial" w:cs="Arial" w:eastAsia="Arial" w:hAnsi="Arial"/>
                <w:sz w:val="17"/>
                <w:szCs w:val="17"/>
                <w:color w:val="auto"/>
              </w:rPr>
              <w:t>8</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3367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33674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right="20"/>
        <w:spacing w:after="0" w:line="254" w:lineRule="auto"/>
        <w:rPr>
          <w:sz w:val="20"/>
          <w:szCs w:val="20"/>
          <w:color w:val="auto"/>
        </w:rPr>
      </w:pPr>
      <w:r>
        <w:rPr>
          <w:rFonts w:ascii="Arial" w:cs="Arial" w:eastAsia="Arial" w:hAnsi="Arial"/>
          <w:sz w:val="17"/>
          <w:szCs w:val="17"/>
          <w:color w:val="auto"/>
        </w:rPr>
        <w:t>The number of shares of our common stock outstanding after this offering is based on 6,079,905 shares of our common stock outstanding as of March 31, 2021, which gives effect to the automatic conversion of all outstanding shares of our convertible preferred stock into an aggregate of 109,686,035 shares of our common stock upon the completion of this offering, and excludes:</w:t>
      </w:r>
    </w:p>
    <w:p>
      <w:pPr>
        <w:spacing w:after="0" w:line="102" w:lineRule="exact"/>
        <w:rPr>
          <w:sz w:val="20"/>
          <w:szCs w:val="20"/>
          <w:color w:val="auto"/>
        </w:rPr>
      </w:pPr>
    </w:p>
    <w:p>
      <w:pPr>
        <w:ind w:left="400" w:right="580" w:hanging="207"/>
        <w:spacing w:after="0" w:line="26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6,464,649 shares of common stock issuable upon the exercise of stock options outstanding as of March 31, 2021, with a weighted-average exercise price of $0.57 per share under our 2020 Stock Option and Grant Plan;</w:t>
      </w:r>
    </w:p>
    <w:p>
      <w:pPr>
        <w:spacing w:after="0" w:line="93" w:lineRule="exact"/>
        <w:rPr>
          <w:rFonts w:ascii="Arial" w:cs="Arial" w:eastAsia="Arial" w:hAnsi="Arial"/>
          <w:sz w:val="17"/>
          <w:szCs w:val="17"/>
          <w:color w:val="auto"/>
        </w:rPr>
      </w:pPr>
    </w:p>
    <w:p>
      <w:pPr>
        <w:ind w:left="400" w:hanging="207"/>
        <w:spacing w:after="0" w:line="26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9,470,232 shares of our common stock issuable upon the exercise of stock options granted after March 31, 2021, with a weighted-average exercise price of $1.76 per share under our 2020 Stock Option and Grant Plan; and</w:t>
      </w:r>
    </w:p>
    <w:p>
      <w:pPr>
        <w:spacing w:after="0" w:line="93" w:lineRule="exact"/>
        <w:rPr>
          <w:rFonts w:ascii="Arial" w:cs="Arial" w:eastAsia="Arial" w:hAnsi="Arial"/>
          <w:sz w:val="17"/>
          <w:szCs w:val="17"/>
          <w:color w:val="auto"/>
        </w:rPr>
      </w:pPr>
    </w:p>
    <w:p>
      <w:pPr>
        <w:ind w:left="980" w:hanging="787"/>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stock-based compensation plans, consisting of (i) 4,074,852</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of common stock reserved for future issuance under our 2020 Stock Option and Grant Plan as of March 31, 2021,</w:t>
      </w:r>
    </w:p>
    <w:p>
      <w:pPr>
        <w:spacing w:after="0" w:line="5" w:lineRule="exact"/>
        <w:rPr>
          <w:sz w:val="20"/>
          <w:szCs w:val="20"/>
          <w:color w:val="auto"/>
        </w:rPr>
      </w:pPr>
    </w:p>
    <w:p>
      <w:pPr>
        <w:ind w:left="1380" w:hanging="973"/>
        <w:spacing w:after="0"/>
        <w:tabs>
          <w:tab w:leader="none" w:pos="1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2021 Stock Option and Incentive Plan, which will become</w:t>
      </w:r>
    </w:p>
    <w:p>
      <w:pPr>
        <w:spacing w:after="0" w:line="396" w:lineRule="exact"/>
        <w:rPr>
          <w:sz w:val="20"/>
          <w:szCs w:val="20"/>
          <w:color w:val="auto"/>
        </w:rPr>
      </w:pPr>
    </w:p>
    <w:p>
      <w:pPr>
        <w:ind w:left="400" w:right="380"/>
        <w:spacing w:after="0" w:line="259" w:lineRule="auto"/>
        <w:rPr>
          <w:sz w:val="20"/>
          <w:szCs w:val="20"/>
          <w:color w:val="auto"/>
        </w:rPr>
      </w:pPr>
      <w:r>
        <w:rPr>
          <w:rFonts w:ascii="Arial" w:cs="Arial" w:eastAsia="Arial" w:hAnsi="Arial"/>
          <w:sz w:val="17"/>
          <w:szCs w:val="17"/>
          <w:color w:val="auto"/>
        </w:rPr>
        <w:t>effective on the date immediately prior to the date of this prospectus, and (iii) shares of common stock reserved for future issuance under our 2021 Employee Stock Purchase Plan, which will become effective on the date immediately prior to the date of this prospectus.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as otherwise noted, all information in this prospectus:</w:t>
      </w:r>
    </w:p>
    <w:p>
      <w:pPr>
        <w:sectPr>
          <w:pgSz w:w="11900" w:h="16838" w:orient="portrait"/>
          <w:cols w:equalWidth="0" w:num="1">
            <w:col w:w="11040"/>
          </w:cols>
          <w:pgMar w:left="320" w:top="456" w:right="539" w:bottom="1440" w:gutter="0" w:footer="0" w:header="0"/>
        </w:sectPr>
      </w:pPr>
    </w:p>
    <w:p>
      <w:pPr>
        <w:spacing w:after="0" w:line="125"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7"/>
          <w:szCs w:val="17"/>
          <w:color w:val="auto"/>
        </w:rPr>
        <w:t>•</w:t>
        <w:tab/>
        <w:t>gives effect to a 1-for-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reverse stock split of our common stock effected 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5" w:lineRule="exact"/>
        <w:rPr>
          <w:sz w:val="20"/>
          <w:szCs w:val="20"/>
          <w:color w:val="auto"/>
        </w:rPr>
      </w:pPr>
    </w:p>
    <w:p>
      <w:pPr>
        <w:sectPr>
          <w:pgSz w:w="11900" w:h="16838" w:orient="portrait"/>
          <w:cols w:equalWidth="0" w:num="3">
            <w:col w:w="2140" w:space="720"/>
            <w:col w:w="4000" w:space="720"/>
            <w:col w:w="3460"/>
          </w:cols>
          <w:pgMar w:left="320" w:top="456" w:right="53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7"/>
          <w:szCs w:val="17"/>
          <w:color w:val="auto"/>
        </w:rPr>
        <w:t>•</w:t>
        <w:tab/>
        <w:t>assumes no exercise of the underwriters’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additional shares of common stock in this offering;</w:t>
      </w:r>
    </w:p>
    <w:p>
      <w:pPr>
        <w:spacing w:after="0" w:line="125" w:lineRule="exact"/>
        <w:rPr>
          <w:sz w:val="20"/>
          <w:szCs w:val="20"/>
          <w:color w:val="auto"/>
        </w:rPr>
      </w:pPr>
    </w:p>
    <w:p>
      <w:pPr>
        <w:sectPr>
          <w:pgSz w:w="11900" w:h="16838" w:orient="portrait"/>
          <w:cols w:equalWidth="0" w:num="2">
            <w:col w:w="5540" w:space="720"/>
            <w:col w:w="4780"/>
          </w:cols>
          <w:pgMar w:left="320" w:top="456" w:right="539" w:bottom="1440" w:gutter="0" w:footer="0" w:header="0"/>
          <w:type w:val="continuous"/>
        </w:sectPr>
      </w:pPr>
    </w:p>
    <w:p>
      <w:pPr>
        <w:ind w:left="400" w:hanging="207"/>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no exercise of the outstanding options described above;</w:t>
      </w:r>
    </w:p>
    <w:p>
      <w:pPr>
        <w:spacing w:after="0" w:line="125" w:lineRule="exact"/>
        <w:rPr>
          <w:rFonts w:ascii="Arial" w:cs="Arial" w:eastAsia="Arial" w:hAnsi="Arial"/>
          <w:sz w:val="17"/>
          <w:szCs w:val="17"/>
          <w:color w:val="auto"/>
        </w:rPr>
      </w:pPr>
    </w:p>
    <w:p>
      <w:pPr>
        <w:ind w:left="400" w:right="320" w:hanging="207"/>
        <w:spacing w:after="0" w:line="263"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the filing of our amended and restated certificate of incorporation and the effectiveness of our amended and restated bylaws, which will occur upon the closing of this offering; and</w:t>
      </w:r>
    </w:p>
    <w:p>
      <w:pPr>
        <w:spacing w:after="0" w:line="93" w:lineRule="exact"/>
        <w:rPr>
          <w:rFonts w:ascii="Arial" w:cs="Arial" w:eastAsia="Arial" w:hAnsi="Arial"/>
          <w:sz w:val="17"/>
          <w:szCs w:val="17"/>
          <w:color w:val="auto"/>
        </w:rPr>
      </w:pPr>
    </w:p>
    <w:p>
      <w:pPr>
        <w:ind w:left="400" w:hanging="207"/>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no purchase of our common stock by officers, directors and stockholders through the directed share program.</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40"/>
          </w:cols>
          <w:pgMar w:left="320" w:top="456"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5439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543941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 financial information</w:t>
      </w:r>
    </w:p>
    <w:p>
      <w:pPr>
        <w:spacing w:after="0" w:line="135" w:lineRule="exact"/>
        <w:rPr>
          <w:sz w:val="20"/>
          <w:szCs w:val="20"/>
          <w:color w:val="auto"/>
        </w:rPr>
      </w:pPr>
    </w:p>
    <w:p>
      <w:pPr>
        <w:ind w:left="200" w:right="240"/>
        <w:spacing w:after="0" w:line="250" w:lineRule="auto"/>
        <w:rPr>
          <w:sz w:val="20"/>
          <w:szCs w:val="20"/>
          <w:color w:val="auto"/>
        </w:rPr>
      </w:pPr>
      <w:r>
        <w:rPr>
          <w:rFonts w:ascii="Arial" w:cs="Arial" w:eastAsia="Arial" w:hAnsi="Arial"/>
          <w:sz w:val="17"/>
          <w:szCs w:val="17"/>
          <w:i w:val="1"/>
          <w:iCs w:val="1"/>
          <w:color w:val="auto"/>
        </w:rPr>
        <w:t>The following tables present the summary financial information for our business. We derived the summary combined and consolidated statements of operations information for the years ended December 31, 2020 and 2019 from our audited combined and consolidated financial statements appearing elsewhere in this prospectus. We derived the summary combined and consolidated statements of operations information for the three months ended March 31, 2021 and 2020 and the summary combined and consolidated balance sheet data as of March 31, 2021 from our unaudited condensed combined and consolidated financial statements and related notes included elsewhere in this prospectus The following summary financial information should be read with “Selected financial Information,” “Management’s discussion and analysis of financial condition and results of operations” and our combined and consolidated financial statements and related notes included elsewhere in this prospectus. Our historical results are not necessarily indicative of the results that may be expected in any future period and our interim results are not necessarily indicative of the results that may be expected for the full fiscal year. The summary financial information included in this section are not intended to replace the combined and consolidated financial statements and are qualified in their entirety by the combined and consolidated financial statements and related notes included elsewhere in this prospectus.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jc w:val="center"/>
              <w:ind w:left="253"/>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9"/>
        </w:trPr>
        <w:tc>
          <w:tcPr>
            <w:tcW w:w="5060" w:type="dxa"/>
            <w:vAlign w:val="bottom"/>
            <w:gridSpan w:val="2"/>
            <w:vMerge w:val="restart"/>
          </w:tcPr>
          <w:p>
            <w:pPr>
              <w:ind w:left="200"/>
              <w:spacing w:after="0"/>
              <w:rPr>
                <w:sz w:val="20"/>
                <w:szCs w:val="20"/>
                <w:color w:val="auto"/>
              </w:rPr>
            </w:pPr>
            <w:r>
              <w:rPr>
                <w:rFonts w:ascii="Arial" w:cs="Arial" w:eastAsia="Arial" w:hAnsi="Arial"/>
                <w:sz w:val="17"/>
                <w:szCs w:val="17"/>
                <w:b w:val="1"/>
                <w:bCs w:val="1"/>
                <w:color w:val="auto"/>
              </w:rPr>
              <w:t>(in thousands, except share and per share data)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March 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4"/>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0" w:type="dxa"/>
            <w:vAlign w:val="bottom"/>
            <w:vMerge w:val="restart"/>
          </w:tcPr>
          <w:p>
            <w:pPr>
              <w:spacing w:after="0"/>
              <w:rPr>
                <w:sz w:val="4"/>
                <w:szCs w:val="4"/>
                <w:color w:val="auto"/>
              </w:rPr>
            </w:pPr>
          </w:p>
        </w:tc>
        <w:tc>
          <w:tcPr>
            <w:tcW w:w="48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vMerge w:val="continue"/>
          </w:tcPr>
          <w:p>
            <w:pPr>
              <w:spacing w:after="0"/>
              <w:rPr>
                <w:sz w:val="15"/>
                <w:szCs w:val="15"/>
                <w:color w:val="auto"/>
              </w:rPr>
            </w:pPr>
          </w:p>
        </w:tc>
        <w:tc>
          <w:tcPr>
            <w:tcW w:w="486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Combined and Consolidated Statements of Operations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Information:</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60" w:type="dxa"/>
            <w:vAlign w:val="bottom"/>
            <w:gridSpan w:val="2"/>
          </w:tcPr>
          <w:p>
            <w:pPr>
              <w:ind w:left="20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9,273</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24,005</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4,005</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11,504</w:t>
            </w:r>
          </w:p>
        </w:tc>
        <w:tc>
          <w:tcPr>
            <w:tcW w:w="3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3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28,010</w:t>
            </w: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7,994</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60" w:type="dxa"/>
            <w:vAlign w:val="bottom"/>
            <w:gridSpan w:val="2"/>
          </w:tcPr>
          <w:p>
            <w:pPr>
              <w:ind w:left="200"/>
              <w:spacing w:after="0"/>
              <w:rPr>
                <w:sz w:val="20"/>
                <w:szCs w:val="20"/>
                <w:color w:val="auto"/>
              </w:rPr>
            </w:pPr>
            <w:r>
              <w:rPr>
                <w:rFonts w:ascii="Arial" w:cs="Arial" w:eastAsia="Arial" w:hAnsi="Arial"/>
                <w:sz w:val="17"/>
                <w:szCs w:val="17"/>
                <w:color w:val="auto"/>
              </w:rPr>
              <w:t>Loss from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(11,504)</w:t>
            </w:r>
          </w:p>
        </w:tc>
        <w:tc>
          <w:tcPr>
            <w:tcW w:w="4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(4,293)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(28,010)</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(7,994)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0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Interest income (expense),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Foreign currency exchange loss, net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(198)</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Changes in fair value of preferred stock tranche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4860" w:type="dxa"/>
            <w:vAlign w:val="bottom"/>
          </w:tcPr>
          <w:p>
            <w:pPr>
              <w:ind w:left="420"/>
              <w:spacing w:after="0"/>
              <w:rPr>
                <w:sz w:val="20"/>
                <w:szCs w:val="20"/>
                <w:color w:val="auto"/>
              </w:rPr>
            </w:pPr>
            <w:r>
              <w:rPr>
                <w:rFonts w:ascii="Arial" w:cs="Arial" w:eastAsia="Arial" w:hAnsi="Arial"/>
                <w:sz w:val="17"/>
                <w:szCs w:val="17"/>
                <w:color w:val="auto"/>
              </w:rPr>
              <w:t>obligations, net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(960)</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(7,680)</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other (expense) income</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(772)</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(7,869)</w:t>
            </w:r>
          </w:p>
        </w:tc>
        <w:tc>
          <w:tcPr>
            <w:tcW w:w="5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gridSpan w:val="2"/>
          </w:tcPr>
          <w:p>
            <w:pPr>
              <w:ind w:left="200"/>
              <w:spacing w:after="0"/>
              <w:rPr>
                <w:sz w:val="20"/>
                <w:szCs w:val="20"/>
                <w:color w:val="auto"/>
              </w:rPr>
            </w:pPr>
            <w:r>
              <w:rPr>
                <w:rFonts w:ascii="Arial" w:cs="Arial" w:eastAsia="Arial" w:hAnsi="Arial"/>
                <w:sz w:val="17"/>
                <w:szCs w:val="17"/>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(12,276)</w:t>
            </w:r>
          </w:p>
        </w:tc>
        <w:tc>
          <w:tcPr>
            <w:tcW w:w="400" w:type="dxa"/>
            <w:vAlign w:val="bottom"/>
          </w:tcPr>
          <w:p>
            <w:pPr>
              <w:jc w:val="center"/>
              <w:ind w:left="21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(4,302)</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(35,879)</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(7,740)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 and diluted(1)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(2.03)</w:t>
            </w:r>
          </w:p>
        </w:tc>
        <w:tc>
          <w:tcPr>
            <w:tcW w:w="400" w:type="dxa"/>
            <w:vAlign w:val="bottom"/>
            <w:shd w:val="clear" w:color="auto" w:fill="CCEEFF"/>
          </w:tcPr>
          <w:p>
            <w:pPr>
              <w:jc w:val="center"/>
              <w:ind w:left="2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200"/>
              <w:spacing w:after="0"/>
              <w:rPr>
                <w:sz w:val="20"/>
                <w:szCs w:val="20"/>
                <w:color w:val="auto"/>
              </w:rPr>
            </w:pPr>
            <w:r>
              <w:rPr>
                <w:rFonts w:ascii="Arial" w:cs="Arial" w:eastAsia="Arial" w:hAnsi="Arial"/>
                <w:sz w:val="17"/>
                <w:szCs w:val="17"/>
                <w:color w:val="auto"/>
              </w:rPr>
              <w:t>Weighted-average number of shares outstanding used in</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computing net loss per common share—basic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diluted(1)</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6,034,427</w:t>
            </w: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5,355,459</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common share—basic and diluted(1)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(0.16)</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(0.91)</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200"/>
              <w:spacing w:after="0"/>
              <w:rPr>
                <w:sz w:val="20"/>
                <w:szCs w:val="20"/>
                <w:color w:val="auto"/>
              </w:rPr>
            </w:pPr>
            <w:r>
              <w:rPr>
                <w:rFonts w:ascii="Arial" w:cs="Arial" w:eastAsia="Arial" w:hAnsi="Arial"/>
                <w:sz w:val="17"/>
                <w:szCs w:val="17"/>
                <w:color w:val="auto"/>
              </w:rPr>
              <w:t>Weighted-average number of shares used in computing pro</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forma net loss per common share—basic and diluted(1)</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76,745,329</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39,345,241</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493"/>
              <w:spacing w:after="0"/>
              <w:rPr>
                <w:sz w:val="20"/>
                <w:szCs w:val="20"/>
                <w:color w:val="auto"/>
              </w:rPr>
            </w:pPr>
            <w:r>
              <w:rPr>
                <w:rFonts w:ascii="Arial" w:cs="Arial" w:eastAsia="Arial" w:hAnsi="Arial"/>
                <w:sz w:val="17"/>
                <w:szCs w:val="17"/>
                <w:color w:val="auto"/>
              </w:rPr>
              <w:t>10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8035" cy="3647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364744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20" w:right="100" w:hanging="327"/>
        <w:spacing w:after="0" w:line="239"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Note 13 to our combined and consolidated financial statements for the years ended December 31, 2020 and 2019 and Note 9 to our unaudited condensed combined and consolidated financial statements for the three months ended March 31, 2021 and 2020 appearing elsewhere in this prospectus for further details on the calculation of basic and diluted net loss per share attributable to common stockholders. The unaudited pro forma basic and diluted weighted-average common shares outstanding used in the calculation of unaudited pro forma basic and diluted net loss per share attributable to common stockholders for the year ended December 31, 2020 and the three months ended March 31, 2021 have been prepared to give effect to the automatic conversion of all outstanding shares of convertible preferred stock into common stock as if the proposed initial public offering had occurred on the later of the beginning of each period or the issuance date of the convertible preferred stock.</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As of March 31, 2021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Pro forma 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320" w:type="dxa"/>
            <w:vAlign w:val="bottom"/>
          </w:tcPr>
          <w:p>
            <w:pPr>
              <w:spacing w:after="0"/>
              <w:rPr>
                <w:sz w:val="20"/>
                <w:szCs w:val="20"/>
                <w:color w:val="auto"/>
              </w:rPr>
            </w:pPr>
          </w:p>
        </w:tc>
        <w:tc>
          <w:tcPr>
            <w:tcW w:w="920" w:type="dxa"/>
            <w:vAlign w:val="bottom"/>
          </w:tcPr>
          <w:p>
            <w:pPr>
              <w:jc w:val="right"/>
              <w:ind w:right="93"/>
              <w:spacing w:after="0"/>
              <w:rPr>
                <w:sz w:val="20"/>
                <w:szCs w:val="20"/>
                <w:color w:val="auto"/>
              </w:rPr>
            </w:pPr>
            <w:r>
              <w:rPr>
                <w:rFonts w:ascii="Arial" w:cs="Arial" w:eastAsia="Arial" w:hAnsi="Arial"/>
                <w:sz w:val="17"/>
                <w:szCs w:val="17"/>
                <w:b w:val="1"/>
                <w:bCs w:val="1"/>
                <w:color w:val="auto"/>
              </w:rPr>
              <w:t>Actual</w:t>
            </w:r>
          </w:p>
        </w:tc>
        <w:tc>
          <w:tcPr>
            <w:tcW w:w="1320" w:type="dxa"/>
            <w:vAlign w:val="bottom"/>
            <w:gridSpan w:val="2"/>
          </w:tcPr>
          <w:p>
            <w:pPr>
              <w:ind w:left="140"/>
              <w:spacing w:after="0"/>
              <w:rPr>
                <w:sz w:val="20"/>
                <w:szCs w:val="20"/>
                <w:color w:val="auto"/>
              </w:rPr>
            </w:pPr>
            <w:r>
              <w:rPr>
                <w:rFonts w:ascii="Arial" w:cs="Arial" w:eastAsia="Arial" w:hAnsi="Arial"/>
                <w:sz w:val="17"/>
                <w:szCs w:val="17"/>
                <w:b w:val="1"/>
                <w:bCs w:val="1"/>
                <w:color w:val="auto"/>
              </w:rPr>
              <w:t>Pro forma(1)</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adjusted(2)(3)</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94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Combined and Consolidated Balance Sheet Information:</w:t>
            </w:r>
          </w:p>
        </w:tc>
        <w:tc>
          <w:tcPr>
            <w:tcW w:w="1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auto"/>
              </w:rPr>
              <w:t>$168,436</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3"/>
              <w:spacing w:after="0"/>
              <w:rPr>
                <w:sz w:val="20"/>
                <w:szCs w:val="20"/>
                <w:color w:val="auto"/>
              </w:rPr>
            </w:pPr>
            <w:r>
              <w:rPr>
                <w:rFonts w:ascii="Arial" w:cs="Arial" w:eastAsia="Arial" w:hAnsi="Arial"/>
                <w:sz w:val="17"/>
                <w:szCs w:val="17"/>
                <w:color w:val="auto"/>
              </w:rPr>
              <w:t>168,436</w:t>
            </w:r>
          </w:p>
        </w:tc>
        <w:tc>
          <w:tcPr>
            <w:tcW w:w="1280" w:type="dxa"/>
            <w:vAlign w:val="bottom"/>
          </w:tcPr>
          <w:p>
            <w:pPr>
              <w:jc w:val="right"/>
              <w:ind w:right="97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180,603</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180,603</w:t>
            </w: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Working capital(4)</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auto"/>
              </w:rPr>
              <w:t>162,616</w:t>
            </w:r>
          </w:p>
        </w:tc>
        <w:tc>
          <w:tcPr>
            <w:tcW w:w="400" w:type="dxa"/>
            <w:vAlign w:val="bottom"/>
          </w:tcPr>
          <w:p>
            <w:pPr>
              <w:spacing w:after="0"/>
              <w:rPr>
                <w:sz w:val="17"/>
                <w:szCs w:val="17"/>
                <w:color w:val="auto"/>
              </w:rPr>
            </w:pPr>
          </w:p>
        </w:tc>
        <w:tc>
          <w:tcPr>
            <w:tcW w:w="920" w:type="dxa"/>
            <w:vAlign w:val="bottom"/>
          </w:tcPr>
          <w:p>
            <w:pPr>
              <w:jc w:val="right"/>
              <w:ind w:right="53"/>
              <w:spacing w:after="0"/>
              <w:rPr>
                <w:sz w:val="20"/>
                <w:szCs w:val="20"/>
                <w:color w:val="auto"/>
              </w:rPr>
            </w:pPr>
            <w:r>
              <w:rPr>
                <w:rFonts w:ascii="Arial" w:cs="Arial" w:eastAsia="Arial" w:hAnsi="Arial"/>
                <w:sz w:val="17"/>
                <w:szCs w:val="17"/>
                <w:color w:val="auto"/>
              </w:rPr>
              <w:t>162,616</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2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10,047</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10,047</w:t>
            </w: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Convertible preferred stock</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auto"/>
              </w:rPr>
              <w:t>231,172</w:t>
            </w:r>
          </w:p>
        </w:tc>
        <w:tc>
          <w:tcPr>
            <w:tcW w:w="400" w:type="dxa"/>
            <w:vAlign w:val="bottom"/>
          </w:tcPr>
          <w:p>
            <w:pPr>
              <w:spacing w:after="0"/>
              <w:rPr>
                <w:sz w:val="17"/>
                <w:szCs w:val="17"/>
                <w:color w:val="auto"/>
              </w:rPr>
            </w:pPr>
          </w:p>
        </w:tc>
        <w:tc>
          <w:tcPr>
            <w:tcW w:w="9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2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(60,616)</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170,556</w:t>
            </w: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520" w:right="220" w:hanging="327"/>
        <w:spacing w:after="0" w:line="254"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 forma balance sheet data give effect to the automatic conversion of all outstanding shares of our convertible preferred stock as of March 31, 2021 into an aggregate of 109,686,035 shares of common stock upon the closing of this offering.</w:t>
      </w:r>
    </w:p>
    <w:p>
      <w:pPr>
        <w:spacing w:after="0" w:line="4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40" w:type="dxa"/>
            <w:vAlign w:val="bottom"/>
          </w:tcPr>
          <w:p>
            <w:pPr>
              <w:jc w:val="right"/>
              <w:ind w:right="13"/>
              <w:spacing w:after="0"/>
              <w:rPr>
                <w:sz w:val="20"/>
                <w:szCs w:val="20"/>
                <w:color w:val="auto"/>
              </w:rPr>
            </w:pPr>
            <w:r>
              <w:rPr>
                <w:rFonts w:ascii="Arial" w:cs="Arial" w:eastAsia="Arial" w:hAnsi="Arial"/>
                <w:sz w:val="13"/>
                <w:szCs w:val="13"/>
                <w:color w:val="auto"/>
                <w:w w:val="87"/>
              </w:rPr>
              <w:t>(2)</w:t>
            </w:r>
          </w:p>
        </w:tc>
        <w:tc>
          <w:tcPr>
            <w:tcW w:w="8980" w:type="dxa"/>
            <w:vAlign w:val="bottom"/>
            <w:gridSpan w:val="4"/>
          </w:tcPr>
          <w:p>
            <w:pPr>
              <w:ind w:left="80"/>
              <w:spacing w:after="0"/>
              <w:rPr>
                <w:sz w:val="20"/>
                <w:szCs w:val="20"/>
                <w:color w:val="auto"/>
              </w:rPr>
            </w:pPr>
            <w:r>
              <w:rPr>
                <w:rFonts w:ascii="Arial" w:cs="Arial" w:eastAsia="Arial" w:hAnsi="Arial"/>
                <w:sz w:val="13"/>
                <w:szCs w:val="13"/>
                <w:color w:val="auto"/>
              </w:rPr>
              <w:t>The pro forma as adjusted balance sheet data give effect to (i) the pro forma adjustments above described in footnote (1) and (ii) the receipt of $</w:t>
            </w:r>
          </w:p>
        </w:tc>
        <w:tc>
          <w:tcPr>
            <w:tcW w:w="1580" w:type="dxa"/>
            <w:vAlign w:val="bottom"/>
          </w:tcPr>
          <w:p>
            <w:pPr>
              <w:ind w:left="200"/>
              <w:spacing w:after="0"/>
              <w:rPr>
                <w:sz w:val="20"/>
                <w:szCs w:val="20"/>
                <w:color w:val="auto"/>
              </w:rPr>
            </w:pPr>
            <w:r>
              <w:rPr>
                <w:rFonts w:ascii="Arial" w:cs="Arial" w:eastAsia="Arial" w:hAnsi="Arial"/>
                <w:sz w:val="13"/>
                <w:szCs w:val="13"/>
                <w:color w:val="auto"/>
              </w:rPr>
              <w:t>million in estimated net</w:t>
            </w:r>
          </w:p>
        </w:tc>
      </w:tr>
      <w:tr>
        <w:trPr>
          <w:trHeight w:val="147"/>
        </w:trPr>
        <w:tc>
          <w:tcPr>
            <w:tcW w:w="240" w:type="dxa"/>
            <w:vAlign w:val="bottom"/>
          </w:tcPr>
          <w:p>
            <w:pPr>
              <w:spacing w:after="0"/>
              <w:rPr>
                <w:sz w:val="12"/>
                <w:szCs w:val="12"/>
                <w:color w:val="auto"/>
              </w:rPr>
            </w:pPr>
          </w:p>
        </w:tc>
        <w:tc>
          <w:tcPr>
            <w:tcW w:w="1600" w:type="dxa"/>
            <w:vAlign w:val="bottom"/>
          </w:tcPr>
          <w:p>
            <w:pPr>
              <w:ind w:left="80"/>
              <w:spacing w:after="0" w:line="148" w:lineRule="exact"/>
              <w:rPr>
                <w:sz w:val="20"/>
                <w:szCs w:val="20"/>
                <w:color w:val="auto"/>
              </w:rPr>
            </w:pPr>
            <w:r>
              <w:rPr>
                <w:rFonts w:ascii="Arial" w:cs="Arial" w:eastAsia="Arial" w:hAnsi="Arial"/>
                <w:sz w:val="13"/>
                <w:szCs w:val="13"/>
                <w:color w:val="auto"/>
              </w:rPr>
              <w:t>proceeds from the sale of</w:t>
            </w:r>
          </w:p>
        </w:tc>
        <w:tc>
          <w:tcPr>
            <w:tcW w:w="5940" w:type="dxa"/>
            <w:vAlign w:val="bottom"/>
            <w:gridSpan w:val="2"/>
          </w:tcPr>
          <w:p>
            <w:pPr>
              <w:ind w:left="580"/>
              <w:spacing w:after="0" w:line="148" w:lineRule="exact"/>
              <w:rPr>
                <w:sz w:val="20"/>
                <w:szCs w:val="20"/>
                <w:color w:val="auto"/>
              </w:rPr>
            </w:pPr>
            <w:r>
              <w:rPr>
                <w:rFonts w:ascii="Arial" w:cs="Arial" w:eastAsia="Arial" w:hAnsi="Arial"/>
                <w:sz w:val="13"/>
                <w:szCs w:val="13"/>
                <w:color w:val="auto"/>
              </w:rPr>
              <w:t>shares of common stock in this offering, at an assumed initial public offering price of $</w:t>
            </w:r>
          </w:p>
        </w:tc>
        <w:tc>
          <w:tcPr>
            <w:tcW w:w="3020" w:type="dxa"/>
            <w:vAlign w:val="bottom"/>
            <w:gridSpan w:val="2"/>
          </w:tcPr>
          <w:p>
            <w:pPr>
              <w:ind w:left="300"/>
              <w:spacing w:after="0" w:line="148" w:lineRule="exact"/>
              <w:rPr>
                <w:sz w:val="20"/>
                <w:szCs w:val="20"/>
                <w:color w:val="auto"/>
              </w:rPr>
            </w:pPr>
            <w:r>
              <w:rPr>
                <w:rFonts w:ascii="Arial" w:cs="Arial" w:eastAsia="Arial" w:hAnsi="Arial"/>
                <w:sz w:val="13"/>
                <w:szCs w:val="13"/>
                <w:color w:val="auto"/>
              </w:rPr>
              <w:t>per share, the midpoint of the price range set</w:t>
            </w:r>
          </w:p>
        </w:tc>
      </w:tr>
      <w:tr>
        <w:trPr>
          <w:trHeight w:val="161"/>
        </w:trPr>
        <w:tc>
          <w:tcPr>
            <w:tcW w:w="240" w:type="dxa"/>
            <w:vAlign w:val="bottom"/>
          </w:tcPr>
          <w:p>
            <w:pPr>
              <w:spacing w:after="0"/>
              <w:rPr>
                <w:sz w:val="14"/>
                <w:szCs w:val="14"/>
                <w:color w:val="auto"/>
              </w:rPr>
            </w:pPr>
          </w:p>
        </w:tc>
        <w:tc>
          <w:tcPr>
            <w:tcW w:w="8980" w:type="dxa"/>
            <w:vAlign w:val="bottom"/>
            <w:gridSpan w:val="4"/>
          </w:tcPr>
          <w:p>
            <w:pPr>
              <w:ind w:left="80"/>
              <w:spacing w:after="0"/>
              <w:rPr>
                <w:sz w:val="20"/>
                <w:szCs w:val="20"/>
                <w:color w:val="auto"/>
              </w:rPr>
            </w:pPr>
            <w:r>
              <w:rPr>
                <w:rFonts w:ascii="Arial" w:cs="Arial" w:eastAsia="Arial" w:hAnsi="Arial"/>
                <w:sz w:val="13"/>
                <w:szCs w:val="13"/>
                <w:color w:val="auto"/>
              </w:rPr>
              <w:t>forth on the cover page of this prospectus, after deducting estimated underwriting discounts and commissions and estimated offering expenses.</w:t>
            </w:r>
          </w:p>
        </w:tc>
        <w:tc>
          <w:tcPr>
            <w:tcW w:w="1580" w:type="dxa"/>
            <w:vAlign w:val="bottom"/>
          </w:tcPr>
          <w:p>
            <w:pPr>
              <w:spacing w:after="0"/>
              <w:rPr>
                <w:sz w:val="14"/>
                <w:szCs w:val="14"/>
                <w:color w:val="auto"/>
              </w:rPr>
            </w:pPr>
          </w:p>
        </w:tc>
      </w:tr>
      <w:tr>
        <w:trPr>
          <w:trHeight w:val="200"/>
        </w:trPr>
        <w:tc>
          <w:tcPr>
            <w:tcW w:w="240" w:type="dxa"/>
            <w:vAlign w:val="bottom"/>
          </w:tcPr>
          <w:p>
            <w:pPr>
              <w:jc w:val="right"/>
              <w:ind w:right="13"/>
              <w:spacing w:after="0"/>
              <w:rPr>
                <w:sz w:val="20"/>
                <w:szCs w:val="20"/>
                <w:color w:val="auto"/>
              </w:rPr>
            </w:pPr>
            <w:r>
              <w:rPr>
                <w:rFonts w:ascii="Arial" w:cs="Arial" w:eastAsia="Arial" w:hAnsi="Arial"/>
                <w:sz w:val="13"/>
                <w:szCs w:val="13"/>
                <w:color w:val="auto"/>
                <w:w w:val="87"/>
              </w:rPr>
              <w:t>(3)</w:t>
            </w:r>
          </w:p>
        </w:tc>
        <w:tc>
          <w:tcPr>
            <w:tcW w:w="5000" w:type="dxa"/>
            <w:vAlign w:val="bottom"/>
            <w:gridSpan w:val="2"/>
          </w:tcPr>
          <w:p>
            <w:pPr>
              <w:ind w:left="80"/>
              <w:spacing w:after="0"/>
              <w:rPr>
                <w:sz w:val="20"/>
                <w:szCs w:val="20"/>
                <w:color w:val="auto"/>
              </w:rPr>
            </w:pPr>
            <w:r>
              <w:rPr>
                <w:rFonts w:ascii="Arial" w:cs="Arial" w:eastAsia="Arial" w:hAnsi="Arial"/>
                <w:sz w:val="13"/>
                <w:szCs w:val="13"/>
                <w:color w:val="auto"/>
              </w:rPr>
              <w:t>Each $1.00 increase (decrease) in the assumed initial public offering price of $</w:t>
            </w:r>
          </w:p>
        </w:tc>
        <w:tc>
          <w:tcPr>
            <w:tcW w:w="5560" w:type="dxa"/>
            <w:vAlign w:val="bottom"/>
            <w:gridSpan w:val="3"/>
          </w:tcPr>
          <w:p>
            <w:pPr>
              <w:ind w:left="300"/>
              <w:spacing w:after="0"/>
              <w:rPr>
                <w:sz w:val="20"/>
                <w:szCs w:val="20"/>
                <w:color w:val="auto"/>
              </w:rPr>
            </w:pPr>
            <w:r>
              <w:rPr>
                <w:rFonts w:ascii="Arial" w:cs="Arial" w:eastAsia="Arial" w:hAnsi="Arial"/>
                <w:sz w:val="13"/>
                <w:szCs w:val="13"/>
                <w:color w:val="auto"/>
              </w:rPr>
              <w:t>per share, which is the midpoint of the estimated price range set forth on the cover of this</w:t>
            </w:r>
          </w:p>
        </w:tc>
      </w:tr>
      <w:tr>
        <w:trPr>
          <w:trHeight w:val="147"/>
        </w:trPr>
        <w:tc>
          <w:tcPr>
            <w:tcW w:w="240" w:type="dxa"/>
            <w:vAlign w:val="bottom"/>
          </w:tcPr>
          <w:p>
            <w:pPr>
              <w:spacing w:after="0"/>
              <w:rPr>
                <w:sz w:val="12"/>
                <w:szCs w:val="12"/>
                <w:color w:val="auto"/>
              </w:rPr>
            </w:pPr>
          </w:p>
        </w:tc>
        <w:tc>
          <w:tcPr>
            <w:tcW w:w="1056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prospectus, would increase (decrease) each of our pro forma as adjusted cash and cash equivalents, total assets, working capital and total stockholders’ equity (deficit) by</w:t>
            </w:r>
          </w:p>
        </w:tc>
      </w:tr>
      <w:tr>
        <w:trPr>
          <w:trHeight w:val="147"/>
        </w:trPr>
        <w:tc>
          <w:tcPr>
            <w:tcW w:w="240" w:type="dxa"/>
            <w:vAlign w:val="bottom"/>
          </w:tcPr>
          <w:p>
            <w:pPr>
              <w:spacing w:after="0"/>
              <w:rPr>
                <w:sz w:val="12"/>
                <w:szCs w:val="12"/>
                <w:color w:val="auto"/>
              </w:rPr>
            </w:pPr>
          </w:p>
        </w:tc>
        <w:tc>
          <w:tcPr>
            <w:tcW w:w="1600" w:type="dxa"/>
            <w:vAlign w:val="bottom"/>
          </w:tcPr>
          <w:p>
            <w:pPr>
              <w:ind w:left="80"/>
              <w:spacing w:after="0" w:line="148" w:lineRule="exact"/>
              <w:rPr>
                <w:sz w:val="20"/>
                <w:szCs w:val="20"/>
                <w:color w:val="auto"/>
              </w:rPr>
            </w:pPr>
            <w:r>
              <w:rPr>
                <w:rFonts w:ascii="Arial" w:cs="Arial" w:eastAsia="Arial" w:hAnsi="Arial"/>
                <w:sz w:val="13"/>
                <w:szCs w:val="13"/>
                <w:color w:val="auto"/>
              </w:rPr>
              <w:t>approximately $</w:t>
            </w:r>
          </w:p>
        </w:tc>
        <w:tc>
          <w:tcPr>
            <w:tcW w:w="8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million, assuming that the number of shares offered, as set forth on the cover of this prospectus, remains the same and after deducting estimated</w:t>
            </w:r>
          </w:p>
        </w:tc>
      </w:tr>
      <w:tr>
        <w:trPr>
          <w:trHeight w:val="147"/>
        </w:trPr>
        <w:tc>
          <w:tcPr>
            <w:tcW w:w="240" w:type="dxa"/>
            <w:vAlign w:val="bottom"/>
          </w:tcPr>
          <w:p>
            <w:pPr>
              <w:spacing w:after="0"/>
              <w:rPr>
                <w:sz w:val="12"/>
                <w:szCs w:val="12"/>
                <w:color w:val="auto"/>
              </w:rPr>
            </w:pPr>
          </w:p>
        </w:tc>
        <w:tc>
          <w:tcPr>
            <w:tcW w:w="1056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underwriting discounts and commissions. Similarly, each increase (decrease) of 1.0 million shares in the number of shares of common stock offered would increase (decrease)</w:t>
            </w:r>
          </w:p>
        </w:tc>
      </w:tr>
      <w:tr>
        <w:trPr>
          <w:trHeight w:val="147"/>
        </w:trPr>
        <w:tc>
          <w:tcPr>
            <w:tcW w:w="240" w:type="dxa"/>
            <w:vAlign w:val="bottom"/>
          </w:tcPr>
          <w:p>
            <w:pPr>
              <w:spacing w:after="0"/>
              <w:rPr>
                <w:sz w:val="12"/>
                <w:szCs w:val="12"/>
                <w:color w:val="auto"/>
              </w:rPr>
            </w:pPr>
          </w:p>
        </w:tc>
        <w:tc>
          <w:tcPr>
            <w:tcW w:w="898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each of our pro forma as adjusted cash and cash equivalents, total assets, working capital and total stockholders’ equity (deficit) by approximately $</w:t>
            </w:r>
          </w:p>
        </w:tc>
        <w:tc>
          <w:tcPr>
            <w:tcW w:w="1580" w:type="dxa"/>
            <w:vAlign w:val="bottom"/>
          </w:tcPr>
          <w:p>
            <w:pPr>
              <w:ind w:left="400"/>
              <w:spacing w:after="0" w:line="148" w:lineRule="exact"/>
              <w:rPr>
                <w:sz w:val="20"/>
                <w:szCs w:val="20"/>
                <w:color w:val="auto"/>
              </w:rPr>
            </w:pPr>
            <w:r>
              <w:rPr>
                <w:rFonts w:ascii="Arial" w:cs="Arial" w:eastAsia="Arial" w:hAnsi="Arial"/>
                <w:sz w:val="13"/>
                <w:szCs w:val="13"/>
                <w:color w:val="auto"/>
              </w:rPr>
              <w:t>million, assuming</w:t>
            </w:r>
          </w:p>
        </w:tc>
      </w:tr>
      <w:tr>
        <w:trPr>
          <w:trHeight w:val="147"/>
        </w:trPr>
        <w:tc>
          <w:tcPr>
            <w:tcW w:w="240" w:type="dxa"/>
            <w:vAlign w:val="bottom"/>
          </w:tcPr>
          <w:p>
            <w:pPr>
              <w:spacing w:after="0"/>
              <w:rPr>
                <w:sz w:val="12"/>
                <w:szCs w:val="12"/>
                <w:color w:val="auto"/>
              </w:rPr>
            </w:pPr>
          </w:p>
        </w:tc>
        <w:tc>
          <w:tcPr>
            <w:tcW w:w="1056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the assumed initial public offering price per share as set forth on the cover of this prospectus remains the same and after deducting estimated underwriting discounts and</w:t>
            </w:r>
          </w:p>
        </w:tc>
      </w:tr>
      <w:tr>
        <w:trPr>
          <w:trHeight w:val="147"/>
        </w:trPr>
        <w:tc>
          <w:tcPr>
            <w:tcW w:w="240" w:type="dxa"/>
            <w:vAlign w:val="bottom"/>
          </w:tcPr>
          <w:p>
            <w:pPr>
              <w:spacing w:after="0"/>
              <w:rPr>
                <w:sz w:val="12"/>
                <w:szCs w:val="12"/>
                <w:color w:val="auto"/>
              </w:rPr>
            </w:pPr>
          </w:p>
        </w:tc>
        <w:tc>
          <w:tcPr>
            <w:tcW w:w="1056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commissions. The pro forma as adjusted information is illustrative only, and we will adjust this information based on the actual initial public offering price and other terms of this</w:t>
            </w:r>
          </w:p>
        </w:tc>
      </w:tr>
      <w:tr>
        <w:trPr>
          <w:trHeight w:val="161"/>
        </w:trPr>
        <w:tc>
          <w:tcPr>
            <w:tcW w:w="24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Arial" w:cs="Arial" w:eastAsia="Arial" w:hAnsi="Arial"/>
                <w:sz w:val="13"/>
                <w:szCs w:val="13"/>
                <w:color w:val="auto"/>
              </w:rPr>
              <w:t>offering determined at pricing.</w:t>
            </w:r>
          </w:p>
        </w:tc>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53" w:lineRule="exact"/>
        <w:rPr>
          <w:sz w:val="20"/>
          <w:szCs w:val="20"/>
          <w:color w:val="auto"/>
        </w:rPr>
      </w:pPr>
    </w:p>
    <w:p>
      <w:pPr>
        <w:ind w:left="520" w:hanging="327"/>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60"/>
          </w:cols>
          <w:pgMar w:left="320" w:top="456"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as well as the other information in this prospectus, including our combined and consolidated financial statements and related notes appearing elsewhere in this prospectus and the sections of this prospectus entitled “Management’s discussion and analysis of financial condition and results of operations” and “Special note regarding forward-looking statements,” before you make an investment decision.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w:t>
      </w: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position and capital needs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drug sales, and may never become profitable.</w:t>
      </w:r>
    </w:p>
    <w:p>
      <w:pPr>
        <w:spacing w:after="0" w:line="6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 xml:space="preserve">Biopharmaceutical drug development is a highly speculative undertaking and involves a substantial degree of risk. Since our formation as Monte Rosa Therapeutics AG in 2018, our operations have been limited primarily to organizing and staffing our company, business planning, raising capital, researching and developing our </w:t>
      </w:r>
      <w:r>
        <w:rPr>
          <w:rFonts w:ascii="Arial" w:cs="Arial" w:eastAsia="Arial" w:hAnsi="Arial"/>
          <w:sz w:val="17"/>
          <w:szCs w:val="17"/>
          <w:u w:val="single" w:color="auto"/>
          <w:color w:val="auto"/>
        </w:rPr>
        <w:t>Qu</w:t>
      </w:r>
      <w:r>
        <w:rPr>
          <w:rFonts w:ascii="Arial" w:cs="Arial" w:eastAsia="Arial" w:hAnsi="Arial"/>
          <w:sz w:val="17"/>
          <w:szCs w:val="17"/>
          <w:color w:val="auto"/>
        </w:rPr>
        <w:t xml:space="preserve">antitative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ngineered </w:t>
      </w:r>
      <w:r>
        <w:rPr>
          <w:rFonts w:ascii="Arial" w:cs="Arial" w:eastAsia="Arial" w:hAnsi="Arial"/>
          <w:sz w:val="17"/>
          <w:szCs w:val="17"/>
          <w:u w:val="single" w:color="auto"/>
          <w:color w:val="auto"/>
        </w:rPr>
        <w:t>E</w:t>
      </w:r>
      <w:r>
        <w:rPr>
          <w:rFonts w:ascii="Arial" w:cs="Arial" w:eastAsia="Arial" w:hAnsi="Arial"/>
          <w:sz w:val="17"/>
          <w:szCs w:val="17"/>
          <w:color w:val="auto"/>
        </w:rPr>
        <w:t xml:space="preserve">limination of </w:t>
      </w:r>
      <w:r>
        <w:rPr>
          <w:rFonts w:ascii="Arial" w:cs="Arial" w:eastAsia="Arial" w:hAnsi="Arial"/>
          <w:sz w:val="17"/>
          <w:szCs w:val="17"/>
          <w:u w:val="single" w:color="auto"/>
          <w:color w:val="auto"/>
        </w:rPr>
        <w:t>N</w:t>
      </w:r>
      <w:r>
        <w:rPr>
          <w:rFonts w:ascii="Arial" w:cs="Arial" w:eastAsia="Arial" w:hAnsi="Arial"/>
          <w:sz w:val="17"/>
          <w:szCs w:val="17"/>
          <w:color w:val="auto"/>
        </w:rPr>
        <w:t>eosubstrates drug discovery platform, or the QuEEN platform, developing our pipeline, building our intellectual property portfolio and undertaking preclinical studies of our lead program molecules. We have never generated any revenue from drug sales. We have not obtained regulatory approvals for any of our current or future product candidates.</w:t>
      </w:r>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COVID-19 pandemic. We will need to transition from a company focused on research and early stage development to a company capable of supporting late stage development and commercial activities. We may not be successful in such a transition.</w:t>
      </w:r>
    </w:p>
    <w:p>
      <w:pPr>
        <w:spacing w:after="0" w:line="273"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Since our inception, we have focused substantially all of our efforts and financial resources on developing our proprietary QuEEN platform,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our initial pipeline. To date, we have financed our operations primarily through the issuance and sale of convertible promissory notes and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convertible preferred stock to outside investors in private equity financings. From our inception through the date hereof, we raised an aggregate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$223.5 million of gross proceeds from such transactions. As of December 31, 2020, our cash and cash equivalents and investments were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$41.7 million. We have incurred net losses in each year since our inception, and we had an accumulated deficit of $48.1 million as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For the years ended December 31, 2020 and 2019, we reported net losses of $35.9 million and $7.7 million, respectively. For</w:t>
      </w:r>
    </w:p>
    <w:p>
      <w:pPr>
        <w:spacing w:after="0" w:line="5"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three months ended March 31, 2021, we reported a net loss of $12.3 million. As of March 31, 2021, we had an accumulated deficit of $60.4 million. Substantially all of our operating losses have resulted from costs incurred in connection with our research and initial pipeline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456"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and will continue to have an adverse effect on our stockholders’ deficit and working capital. We expect our expenses to significantly increase in connection with our ongoing activities, as we:</w:t>
      </w:r>
    </w:p>
    <w:p>
      <w:pPr>
        <w:spacing w:after="0" w:line="93" w:lineRule="exact"/>
        <w:rPr>
          <w:sz w:val="20"/>
          <w:szCs w:val="20"/>
          <w:color w:val="auto"/>
        </w:rPr>
      </w:pPr>
    </w:p>
    <w:p>
      <w:pPr>
        <w:ind w:left="220" w:right="100" w:hanging="213"/>
        <w:spacing w:after="0" w:line="263" w:lineRule="auto"/>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submit a planned IND application with the U.S. Food and Drug Administration, or FDA, for a GSPT1-directed MGD molecule in the first half of 2022 and, if allowed to proceed, initiate a clinical trial;</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preclinical activities for our initial GSPT1, NEK7, CDK2, VAV1 and BCL11A programs;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prepare and submit IND applications with the FDA for other current and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complete preclinical studies for current or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progress MGD molecules from our initial programs through lead optimization;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complete clinical trials for current or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and improve the capabilities of our QuEEN platform;</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contract to manufacture our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 research and development related activities to expand our product pipeline;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approval for our product candidates that successfully complete clinical development;</w:t>
      </w:r>
    </w:p>
    <w:p>
      <w:pPr>
        <w:spacing w:after="0" w:line="125" w:lineRule="exact"/>
        <w:rPr>
          <w:rFonts w:ascii="Arial" w:cs="Arial" w:eastAsia="Arial" w:hAnsi="Arial"/>
          <w:sz w:val="17"/>
          <w:szCs w:val="17"/>
          <w:color w:val="auto"/>
        </w:rPr>
      </w:pPr>
    </w:p>
    <w:p>
      <w:pPr>
        <w:ind w:left="220" w:right="560" w:hanging="213"/>
        <w:spacing w:after="0" w:line="263" w:lineRule="auto"/>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 and scale up our capabilities to support our ongoing preclinical activities and future clinical trials for our product candidates and commercialization of any of our product candidates for which we may obtain marketing approval;</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hire additional staff, including clinical, scientific and management personnel;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secure facilities to support continued growth in our research, development and commercialization efforts;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upon the completion of this offering.</w:t>
      </w:r>
    </w:p>
    <w:p>
      <w:pPr>
        <w:spacing w:after="0" w:line="11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including in light of the ongoing evolution of the COVID-19 pandemic, we are unable to predict the extent of any future losses or when we will become profitable, if at all.</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Even if we achieve profitability, we may not be able to sustain or increase our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We are very early in our development efforts. All of our programs are still in the preclinical stages of drug discovery. If we are unable to commercialize our product candidates or experience significant delays in doing so, our business will be materially harmed.</w:t>
      </w:r>
    </w:p>
    <w:p>
      <w:pPr>
        <w:spacing w:after="0" w:line="61"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drugs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180"/>
          </w:cols>
          <w:pgMar w:left="320" w:top="456"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305" w:lineRule="exact"/>
        <w:rPr>
          <w:sz w:val="20"/>
          <w:szCs w:val="20"/>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plans to submit IND applications to the FDA for the GSPT1 product candidate and future product candidates;</w:t>
      </w:r>
    </w:p>
    <w:p>
      <w:pPr>
        <w:spacing w:after="0" w:line="125" w:lineRule="exact"/>
        <w:rPr>
          <w:rFonts w:ascii="Arial" w:cs="Arial" w:eastAsia="Arial" w:hAnsi="Arial"/>
          <w:sz w:val="17"/>
          <w:szCs w:val="17"/>
          <w:color w:val="auto"/>
        </w:rPr>
      </w:pPr>
    </w:p>
    <w:p>
      <w:pPr>
        <w:ind w:left="220" w:right="80" w:hanging="213"/>
        <w:spacing w:after="0" w:line="26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timely and successfully complete preclinical studies and clinical trials for our GSPT1, NEK7, CDK2, VAV1 and BCL11A programs, and other current or future product candidates;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advance MGD molecules from our non-lead programs through lead optimization;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successful initiation, enrollment in and completion of clinical trials, including our ability to generate positive data from any such clinical trials;</w:t>
      </w:r>
    </w:p>
    <w:p>
      <w:pPr>
        <w:spacing w:after="0" w:line="125" w:lineRule="exact"/>
        <w:rPr>
          <w:rFonts w:ascii="Arial" w:cs="Arial" w:eastAsia="Arial" w:hAnsi="Arial"/>
          <w:sz w:val="17"/>
          <w:szCs w:val="17"/>
          <w:color w:val="auto"/>
        </w:rPr>
      </w:pPr>
    </w:p>
    <w:p>
      <w:pPr>
        <w:ind w:left="220" w:right="260" w:hanging="213"/>
        <w:spacing w:after="0" w:line="26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demonstrate, to the satisfaction of the FDA and comparable regulatory authorities the safety, efficacy, consistent manufacturing quality and acceptable risk-benefit profile of our product candidates for their intended uses;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timely receive necessary regulatory approvals from applicable regulatory authorities, including the FDA;</w:t>
      </w:r>
    </w:p>
    <w:p>
      <w:pPr>
        <w:spacing w:after="0" w:line="125" w:lineRule="exact"/>
        <w:rPr>
          <w:rFonts w:ascii="Arial" w:cs="Arial" w:eastAsia="Arial" w:hAnsi="Arial"/>
          <w:sz w:val="17"/>
          <w:szCs w:val="17"/>
          <w:color w:val="auto"/>
        </w:rPr>
      </w:pPr>
    </w:p>
    <w:p>
      <w:pPr>
        <w:ind w:left="220" w:right="220" w:hanging="213"/>
        <w:spacing w:after="0" w:line="26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development programs we identify in-house or acquire through collaborations or other arrangements;</w:t>
      </w:r>
    </w:p>
    <w:p>
      <w:pPr>
        <w:spacing w:after="0" w:line="93" w:lineRule="exact"/>
        <w:rPr>
          <w:rFonts w:ascii="Arial" w:cs="Arial" w:eastAsia="Arial" w:hAnsi="Arial"/>
          <w:sz w:val="17"/>
          <w:szCs w:val="17"/>
          <w:color w:val="auto"/>
        </w:rPr>
      </w:pPr>
    </w:p>
    <w:p>
      <w:pPr>
        <w:ind w:left="220" w:right="480" w:hanging="213"/>
        <w:spacing w:after="0" w:line="26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manufacturing capabilities or make arrangements with third-party manufacturers for clinical supply and commercial manufacturing;</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current and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others;</w:t>
      </w:r>
    </w:p>
    <w:p>
      <w:pPr>
        <w:spacing w:after="0" w:line="125" w:lineRule="exact"/>
        <w:rPr>
          <w:rFonts w:ascii="Arial" w:cs="Arial" w:eastAsia="Arial" w:hAnsi="Arial"/>
          <w:sz w:val="17"/>
          <w:szCs w:val="17"/>
          <w:color w:val="auto"/>
        </w:rPr>
      </w:pPr>
    </w:p>
    <w:p>
      <w:pPr>
        <w:ind w:left="220" w:right="340" w:hanging="213"/>
        <w:spacing w:after="0" w:line="26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acceptance of our product candidates, if and when approved, by patients, the medical community and third-party payors;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terms and timing of any additional collaboration, license or other arrangement, including the terms and timing of any payments thereunder;</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enforce and defend intellectual property rights and claims;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maintain a continued acceptable safety profile of our product candidates following approval.</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20"/>
          </w:cols>
          <w:pgMar w:left="320" w:top="456"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b w:val="1"/>
          <w:bCs w:val="1"/>
          <w:i w:val="1"/>
          <w:iCs w:val="1"/>
          <w:color w:val="auto"/>
        </w:rPr>
        <w:t>Even if we consummate this offering, 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currently advancing multiple discovery programs through the preclinical stages of drug discovery across a number of potential indications and we have one program in lead optimization.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significant additional costs associated with operating as a public company. Accordingly, we will need to obtain substantial additional funding in connection with our continuing operations. 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net proceeds from this offering, together with our existing cash and cash equivalents and marketable securities, will be</w:t>
      </w:r>
    </w:p>
    <w:p>
      <w:pPr>
        <w:spacing w:after="0" w:line="5"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sufficient to fund our operations through .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305" w:lineRule="exact"/>
        <w:rPr>
          <w:sz w:val="20"/>
          <w:szCs w:val="20"/>
          <w:color w:val="auto"/>
        </w:rPr>
      </w:pPr>
    </w:p>
    <w:p>
      <w:pPr>
        <w:ind w:left="220" w:hanging="213"/>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current or future product candidates;</w:t>
      </w:r>
    </w:p>
    <w:p>
      <w:pPr>
        <w:spacing w:after="0" w:line="125" w:lineRule="exact"/>
        <w:rPr>
          <w:rFonts w:ascii="Arial" w:cs="Arial" w:eastAsia="Arial" w:hAnsi="Arial"/>
          <w:sz w:val="17"/>
          <w:szCs w:val="17"/>
          <w:color w:val="auto"/>
        </w:rPr>
      </w:pPr>
    </w:p>
    <w:p>
      <w:pPr>
        <w:jc w:val="both"/>
        <w:ind w:left="220" w:right="60" w:hanging="213"/>
        <w:spacing w:after="0" w:line="254" w:lineRule="auto"/>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planned clinical trials for our current or future product candidates, including additional expenses attributable to adjusting our development plans (including any supply related matters) in response to the COVID-19 pandemic;</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25" w:lineRule="exact"/>
        <w:rPr>
          <w:rFonts w:ascii="Arial" w:cs="Arial" w:eastAsia="Arial" w:hAnsi="Arial"/>
          <w:sz w:val="17"/>
          <w:szCs w:val="17"/>
          <w:color w:val="auto"/>
        </w:rPr>
      </w:pPr>
    </w:p>
    <w:p>
      <w:pPr>
        <w:ind w:left="220" w:right="220" w:hanging="213"/>
        <w:spacing w:after="0" w:line="263" w:lineRule="auto"/>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obtain;</w:t>
      </w:r>
    </w:p>
    <w:p>
      <w:pPr>
        <w:spacing w:after="0" w:line="93" w:lineRule="exact"/>
        <w:rPr>
          <w:rFonts w:ascii="Arial" w:cs="Arial" w:eastAsia="Arial" w:hAnsi="Arial"/>
          <w:sz w:val="17"/>
          <w:szCs w:val="17"/>
          <w:color w:val="auto"/>
        </w:rPr>
      </w:pPr>
    </w:p>
    <w:p>
      <w:pPr>
        <w:ind w:left="220" w:right="200" w:hanging="213"/>
        <w:spacing w:after="0" w:line="263" w:lineRule="auto"/>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456"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500" w:hanging="213"/>
        <w:spacing w:after="0" w:line="263" w:lineRule="auto"/>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current or future product candidates and technologies;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125" w:lineRule="exact"/>
        <w:rPr>
          <w:rFonts w:ascii="Arial" w:cs="Arial" w:eastAsia="Arial" w:hAnsi="Arial"/>
          <w:sz w:val="17"/>
          <w:szCs w:val="17"/>
          <w:color w:val="auto"/>
        </w:rPr>
      </w:pPr>
    </w:p>
    <w:p>
      <w:pPr>
        <w:ind w:left="220" w:right="260" w:hanging="213"/>
        <w:spacing w:after="0" w:line="263" w:lineRule="auto"/>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clearances to market our current or future product candidates.</w:t>
      </w:r>
    </w:p>
    <w:p>
      <w:pPr>
        <w:spacing w:after="0" w:line="8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Identifying potential current or future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 Adequate additional financing may not be available to us on acceptable terms, or at all.</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industry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drug development and regulatory approval</w:t>
      </w:r>
    </w:p>
    <w:p>
      <w:pPr>
        <w:spacing w:after="0" w:line="92"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our QuEEN platform is novel, which makes it difficult to predict the time, cost of development and likelihood of successfully developing any product candidates.</w:t>
      </w:r>
    </w:p>
    <w:p>
      <w:pPr>
        <w:spacing w:after="0" w:line="6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Our QuEEN platform is a relatively new technology. Our future success depends on the successful development of this novel product candidate development approach. We have not yet succeeded and may not succeed in demonstrating the efficacy and safety of any of our product candidates in clinical trials or in obtaining marketing approval thereafter. In particular, our ability to successfully target therapeutically-relevant proteins using MGDs requires the successful development of non-heterobifunctional molecules that were rationally designed using our QuEEN platform with a rational drug development process and developing those molecules with the right combination of target proteins and E3 ligases. This is a complex process requiring a number of component parts or biological mechanisms to work in unison to achieve the desired effect. We cannot be certain that we will be able to discover MGDs by matching the right target and its degron with the ideal E3 ligase in a timely manner, or at all. We have not yet initiated a clinical trial of any product candidate and we have not yet assessed the safety of any product candidate in humans. As such, there may be adverse effects from treatment with any of our current or future product candidates that we cannot predict at this time.</w:t>
      </w:r>
    </w:p>
    <w:p>
      <w:pPr>
        <w:spacing w:after="0" w:line="29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QuEEN platform will result in the development and marketing approval of any product candidates. Any development problems we experience in the future related to our QuEEN platform or any of our discovery programs may cause significant delays or unanticipated costs or may prevent the development of a commercially viable product. Any of these factors may prevent us from completing our preclinical studies or any clinical trials that we may initiate or commercializing any product candidates we may develop on a timely or profitable basis, if at all.</w:t>
      </w:r>
    </w:p>
    <w:p>
      <w:pPr>
        <w:spacing w:after="0" w:line="27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7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A key element of our strategy is to apply our QuEEN platform and product pipeline to address a broad array of targets in various therapeutic areas. The discovery activities that we are conducting may not be successful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20" w:top="456"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identifying product candidates that are useful in treating oncology, inflammatory, immunologic and genetic diseases, and neurodegenerative or other neurologic diseases. Our discovery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9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Because we have limited financial and management resources, we focus on a limited number of discovery programs and product candidates at a time. As a result, we may forego or delay pursuit of opportunities with other current or future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Our business is dependent on the success of our lead program, and any other product candidates that we advance into the clinic. We cannot be certain that we will be able to obtain regulatory approval for, or successfully commercialize, any of our current or future product candidates.</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All of our pipeline progams are in early stages of preclinical drug discovery, including our lead molecules from the GSPT1 program. The preclinical studies and future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beyond the proceeds we raise in this offering.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are not permitted to market our current or future product candidates in the U.S. until we receive approval of a New Drug Application, or an NDA, from the FDA, in the European Economic Area, or EEA, until we receive approval of a marketing authorization applications, or an MAA, from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105" w:lineRule="exact"/>
        <w:rPr>
          <w:sz w:val="20"/>
          <w:szCs w:val="20"/>
          <w:color w:val="auto"/>
        </w:rPr>
      </w:pPr>
    </w:p>
    <w:p>
      <w:pPr>
        <w:ind w:left="220" w:right="120" w:hanging="213"/>
        <w:spacing w:after="0" w:line="263"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demonstrate that our current or future product candidates are safe and effective in treating their target indications to the satisfaction of the FDA or applicable foreign regulatory agency;</w:t>
      </w:r>
    </w:p>
    <w:p>
      <w:pPr>
        <w:spacing w:after="0" w:line="93" w:lineRule="exact"/>
        <w:rPr>
          <w:rFonts w:ascii="Arial" w:cs="Arial" w:eastAsia="Arial" w:hAnsi="Arial"/>
          <w:sz w:val="17"/>
          <w:szCs w:val="17"/>
          <w:color w:val="auto"/>
        </w:rPr>
      </w:pPr>
    </w:p>
    <w:p>
      <w:pPr>
        <w:ind w:left="220" w:right="680" w:hanging="213"/>
        <w:spacing w:after="0" w:line="263"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results of our preclinical studies and clinical trials may not meet the level of statistical or clinical significance required by the FDA or applicable foreign regulatory agency for marketing approval;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456"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46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disagree with the number, design, size, conduct or implementation of our preclinical studies and clinical trials;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require that we conduct additional preclinical studies and clinical trials;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25" w:lineRule="exact"/>
        <w:rPr>
          <w:rFonts w:ascii="Arial" w:cs="Arial" w:eastAsia="Arial" w:hAnsi="Arial"/>
          <w:sz w:val="17"/>
          <w:szCs w:val="17"/>
          <w:color w:val="auto"/>
        </w:rPr>
      </w:pPr>
    </w:p>
    <w:p>
      <w:pPr>
        <w:ind w:left="220" w:right="46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not approve the formulation, labeling or specifications of any of our current or future product candidates;</w:t>
      </w:r>
    </w:p>
    <w:p>
      <w:pPr>
        <w:spacing w:after="0" w:line="93" w:lineRule="exact"/>
        <w:rPr>
          <w:rFonts w:ascii="Arial" w:cs="Arial" w:eastAsia="Arial" w:hAnsi="Arial"/>
          <w:sz w:val="17"/>
          <w:szCs w:val="17"/>
          <w:color w:val="auto"/>
        </w:rPr>
      </w:pPr>
    </w:p>
    <w:p>
      <w:pPr>
        <w:ind w:left="22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93"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disagree with our interpretation of data from our preclinical studies and clinical trials;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not accept data generated at our preclinical studies and clinical trial sites;</w:t>
      </w:r>
    </w:p>
    <w:p>
      <w:pPr>
        <w:spacing w:after="0" w:line="125" w:lineRule="exact"/>
        <w:rPr>
          <w:rFonts w:ascii="Arial" w:cs="Arial" w:eastAsia="Arial" w:hAnsi="Arial"/>
          <w:sz w:val="17"/>
          <w:szCs w:val="17"/>
          <w:color w:val="auto"/>
        </w:rPr>
      </w:pPr>
    </w:p>
    <w:p>
      <w:pPr>
        <w:ind w:left="220" w:right="240" w:hanging="213"/>
        <w:spacing w:after="0" w:line="251"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05"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125" w:lineRule="exact"/>
        <w:rPr>
          <w:rFonts w:ascii="Arial" w:cs="Arial" w:eastAsia="Arial" w:hAnsi="Arial"/>
          <w:sz w:val="17"/>
          <w:szCs w:val="17"/>
          <w:color w:val="auto"/>
        </w:rPr>
      </w:pPr>
    </w:p>
    <w:p>
      <w:pPr>
        <w:ind w:left="220" w:right="14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93" w:lineRule="exact"/>
        <w:rPr>
          <w:rFonts w:ascii="Arial" w:cs="Arial" w:eastAsia="Arial" w:hAnsi="Arial"/>
          <w:sz w:val="17"/>
          <w:szCs w:val="17"/>
          <w:color w:val="auto"/>
        </w:rPr>
      </w:pPr>
    </w:p>
    <w:p>
      <w:pPr>
        <w:ind w:left="220" w:right="140" w:hanging="213"/>
        <w:spacing w:after="0" w:line="263"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be delayed in their review processes due to staffing or other constraints arising from the COVID-19 pandemic; or</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change its approval policies or adopt new regulations.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68" w:lineRule="exact"/>
        <w:rPr>
          <w:sz w:val="20"/>
          <w:szCs w:val="20"/>
          <w:color w:val="auto"/>
        </w:rPr>
      </w:pPr>
    </w:p>
    <w:p>
      <w:pPr>
        <w:ind w:right="980"/>
        <w:spacing w:after="0" w:line="287" w:lineRule="auto"/>
        <w:rPr>
          <w:sz w:val="20"/>
          <w:szCs w:val="20"/>
          <w:color w:val="auto"/>
        </w:rPr>
      </w:pPr>
      <w:r>
        <w:rPr>
          <w:rFonts w:ascii="Arial" w:cs="Arial" w:eastAsia="Arial" w:hAnsi="Arial"/>
          <w:sz w:val="17"/>
          <w:szCs w:val="17"/>
          <w:b w:val="1"/>
          <w:bCs w:val="1"/>
          <w:i w:val="1"/>
          <w:iCs w:val="1"/>
          <w:color w:val="auto"/>
        </w:rPr>
        <w:t>If we experience delays or difficulties in the initiation, enrollment and/or retention of patients in clinical trials, our regulatory submissions or receipt of necessary regulatory approvals could be delayed or prevented.</w:t>
      </w:r>
    </w:p>
    <w:p>
      <w:pPr>
        <w:spacing w:after="0" w:line="6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may not be able to initiate or continue our planned clinical trials on a timely basis or at all for our product candidates if we are unable to recruit and enroll a sufficient number of eligible patients to participate in these trials as required by the FDA or similar regulatory authorities outside the U.S. Patient enrollment is a significant factor in the timing of clinical trials. Our ability to enroll eligible patients may be limited or may result in slower enrollment than we anticipate.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00"/>
          </w:cols>
          <w:pgMar w:left="320" w:top="456"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Moreover, some of our clinical trials will compete with other clinical trials that are in the same therapeutic areas as our current or future product candidates, and this competition reduces the number and types of patients available to us, as some patients who would otherwise be eligible for our clinical trials may instead enroll in clinical trials of our competitors’ current or future product candidates.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Patient enrollment for any of our future clinical trials may be affected by other factors including:</w:t>
      </w:r>
    </w:p>
    <w:p>
      <w:pPr>
        <w:spacing w:after="0" w:line="125" w:lineRule="exact"/>
        <w:rPr>
          <w:sz w:val="20"/>
          <w:szCs w:val="20"/>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competition with other companies for clinical sites or patients;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willingness of participants to enroll in our clinical trials in our countries of interest;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and efficacy of approved drugs for the disease under investigation;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eligibility criteria for the clinical trial in question as defined in the protocol;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of an appropriate screening test for the indications we are pursuing;</w:t>
      </w:r>
    </w:p>
    <w:p>
      <w:pPr>
        <w:spacing w:after="0" w:line="125" w:lineRule="exact"/>
        <w:rPr>
          <w:rFonts w:ascii="Arial" w:cs="Arial" w:eastAsia="Arial" w:hAnsi="Arial"/>
          <w:sz w:val="17"/>
          <w:szCs w:val="17"/>
          <w:color w:val="auto"/>
        </w:rPr>
      </w:pPr>
    </w:p>
    <w:p>
      <w:pPr>
        <w:ind w:left="220" w:right="180" w:hanging="213"/>
        <w:spacing w:after="0" w:line="263"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 in relation to other available therapies, including any new products that may be approved for the indications we are investigating;</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efforts to facilitate timely enrollment in and completion of clinical trials;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or temporary suspension of the enrollment of patients in our future clinical trials due to the COVID-19 pandemic;</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ability to obtain and maintain patient consents;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180"/>
          </w:cols>
          <w:pgMar w:left="320" w:top="456"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40"/>
        <w:spacing w:after="0" w:line="267"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precise incidence and prevalence for the indications being pursued by our current and future product candidates is currently unknown. Our projections of both the number of people who have these diseases, as well as the subset of people with these diseases who have the potential to benefit from treatment with our product candidates, are based on estimates. Our GSPT1 program will develop a product candidate for the treatment of cancers overexpressing one of the Myc family genes, our NEK7 program will develop a product candidate for the treatment of inflammatory diseases, our CDK2 program will develop a product candidate for the treatment of cancers such as ovarian and breast cancers, our VAV1 program will develop a product candidate for the treatment of T and B cell malignancies and autoimmune diseases and our BCL11A program will develop a product candidate for the treatment of sickle cell disease and ß-Thalassemia. The total addressable market opportunity for product candidates from these discovery programs and future product candidates will ultimately depend upon, among other things, its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81"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i w:val="1"/>
          <w:iCs w:val="1"/>
          <w:color w:val="auto"/>
        </w:rPr>
        <w:t>Preclinical and clinical drug development is a lengthy and expensive process, with an uncertain outcome. Our preclinical and clinical programs may experience delays or may never advance, which would adversely affect our ability to obtain regulatory approvals or commercialize our product candidates on a timely basis or at all, which could have an adverse effect on our business.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We are currently selecting lead development candidates for preclinical development. We cannot be certain of the timely completion or outcome of our preclinical studies and cannot predict if the FDA will allow our proposed clinical programs to proceed or if the outcome of our preclinical studies will ultimately support further development of our programs. We have not yet received authorization to proceed under an IND for any product candidate, and we cannot be sure that we will be able to submit INDs or similar 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9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Conducting preclinical testing and clinical trials represents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288" w:lineRule="exact"/>
        <w:rPr>
          <w:sz w:val="20"/>
          <w:szCs w:val="20"/>
          <w:color w:val="auto"/>
        </w:rPr>
      </w:pPr>
    </w:p>
    <w:p>
      <w:pPr>
        <w:ind w:left="5520" w:right="2400" w:hanging="5513"/>
        <w:spacing w:after="0" w:line="466" w:lineRule="auto"/>
        <w:tabs>
          <w:tab w:leader="none" w:pos="2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clinical studies; 20</w:t>
      </w:r>
    </w:p>
    <w:p>
      <w:pPr>
        <w:sectPr>
          <w:pgSz w:w="11900" w:h="16838" w:orient="portrait"/>
          <w:cols w:equalWidth="0" w:num="1">
            <w:col w:w="11220"/>
          </w:cols>
          <w:pgMar w:left="320" w:top="456"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16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timely completion of preclinical laboratory tests, animal studies and formulation studies in accordance with the FDA’s good laboratory practice requirements and other applicable regulations;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ethics committee at each clinical site before each trial may be initiated;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w:t>
      </w:r>
    </w:p>
    <w:p>
      <w:pPr>
        <w:spacing w:after="0" w:line="125" w:lineRule="exact"/>
        <w:rPr>
          <w:rFonts w:ascii="Arial" w:cs="Arial" w:eastAsia="Arial" w:hAnsi="Arial"/>
          <w:sz w:val="17"/>
          <w:szCs w:val="17"/>
          <w:color w:val="auto"/>
        </w:rPr>
      </w:pPr>
    </w:p>
    <w:p>
      <w:pPr>
        <w:ind w:left="220" w:right="72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trials;</w:t>
      </w:r>
    </w:p>
    <w:p>
      <w:pPr>
        <w:spacing w:after="0" w:line="125" w:lineRule="exact"/>
        <w:rPr>
          <w:rFonts w:ascii="Arial" w:cs="Arial" w:eastAsia="Arial" w:hAnsi="Arial"/>
          <w:sz w:val="17"/>
          <w:szCs w:val="17"/>
          <w:color w:val="auto"/>
        </w:rPr>
      </w:pPr>
    </w:p>
    <w:p>
      <w:pPr>
        <w:ind w:left="220" w:right="38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93" w:lineRule="exact"/>
        <w:rPr>
          <w:rFonts w:ascii="Arial" w:cs="Arial" w:eastAsia="Arial" w:hAnsi="Arial"/>
          <w:sz w:val="17"/>
          <w:szCs w:val="17"/>
          <w:color w:val="auto"/>
        </w:rPr>
      </w:pPr>
    </w:p>
    <w:p>
      <w:pPr>
        <w:ind w:left="220" w:right="22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25" w:lineRule="exact"/>
        <w:rPr>
          <w:rFonts w:ascii="Arial" w:cs="Arial" w:eastAsia="Arial" w:hAnsi="Arial"/>
          <w:sz w:val="17"/>
          <w:szCs w:val="17"/>
          <w:color w:val="auto"/>
        </w:rPr>
      </w:pPr>
    </w:p>
    <w:p>
      <w:pPr>
        <w:ind w:left="220" w:right="200" w:hanging="213"/>
        <w:spacing w:after="0" w:line="254"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deficient to meet its stated objectives;</w:t>
      </w:r>
    </w:p>
    <w:p>
      <w:pPr>
        <w:spacing w:after="0" w:line="101" w:lineRule="exact"/>
        <w:rPr>
          <w:rFonts w:ascii="Arial" w:cs="Arial" w:eastAsia="Arial" w:hAnsi="Arial"/>
          <w:sz w:val="17"/>
          <w:szCs w:val="17"/>
          <w:color w:val="auto"/>
        </w:rPr>
      </w:pPr>
    </w:p>
    <w:p>
      <w:pPr>
        <w:ind w:left="220" w:right="18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recruiting, screening and enrolling patients and delays caused by patients withdrawing from clinical trials or failing to return for post-treatment follow-up;</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w:t>
      </w:r>
    </w:p>
    <w:p>
      <w:pPr>
        <w:spacing w:after="0" w:line="125" w:lineRule="exact"/>
        <w:rPr>
          <w:rFonts w:ascii="Arial" w:cs="Arial" w:eastAsia="Arial" w:hAnsi="Arial"/>
          <w:sz w:val="17"/>
          <w:szCs w:val="17"/>
          <w:color w:val="auto"/>
        </w:rPr>
      </w:pPr>
    </w:p>
    <w:p>
      <w:pPr>
        <w:ind w:left="22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clinical trials in accordance with the FDA’s good clinical practice requirements, or GCPs, or applicable regulatory guidelines in other countries;</w:t>
      </w:r>
    </w:p>
    <w:p>
      <w:pPr>
        <w:spacing w:after="0" w:line="93" w:lineRule="exact"/>
        <w:rPr>
          <w:rFonts w:ascii="Arial" w:cs="Arial" w:eastAsia="Arial" w:hAnsi="Arial"/>
          <w:sz w:val="17"/>
          <w:szCs w:val="17"/>
          <w:color w:val="auto"/>
        </w:rPr>
      </w:pPr>
    </w:p>
    <w:p>
      <w:pPr>
        <w:ind w:left="220" w:hanging="213"/>
        <w:spacing w:after="0" w:line="263"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occurrence of adverse events in a trial of the same class of agents conducted by other companies;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the clinical trial protocols;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clinical sites dropping out of a trial;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observation or analyses of resulting data;</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20"/>
          </w:cols>
          <w:pgMar w:left="320" w:top="456"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140" w:hanging="213"/>
        <w:spacing w:after="0" w:line="263" w:lineRule="auto"/>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93" w:lineRule="exact"/>
        <w:rPr>
          <w:rFonts w:ascii="Arial" w:cs="Arial" w:eastAsia="Arial" w:hAnsi="Arial"/>
          <w:sz w:val="17"/>
          <w:szCs w:val="17"/>
          <w:color w:val="auto"/>
        </w:rPr>
      </w:pPr>
    </w:p>
    <w:p>
      <w:pPr>
        <w:ind w:left="220" w:right="140" w:hanging="213"/>
        <w:spacing w:after="0" w:line="263" w:lineRule="auto"/>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manufacturing organization, or CMO, and delays or failure by our CMOs or us to make any necessary changes to such manufacturing process; and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w:t>
      </w:r>
    </w:p>
    <w:p>
      <w:pPr>
        <w:spacing w:after="0" w:line="11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7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The results of preclinical testing and early clinical trials may not be predictive of the results of later preclinical studies and clinical trials, and the results of our planned and future clinical trials may not satisfy the requirements of the FDA or other comparable regulatory authorities.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8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before we can seek marketing approvals for their commercial sale. Positive results from our preclinical studies of our current or future product candidates, and any positive results we may obtain from our early clinical trials of our current or future product candidates, may not necessarily be predictive of the results from required subsequent preclinical studies and clinical trials. Similarly, even if we are able to complete our planned preclinical studies or any clinical trials of our current or future product candidates according to our current development timeline, the positive results from such preclinical studies and clinical trials of our current or future product candidates may not be replicated in subsequent preclinical studies or clinical trial results.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a comparable foreign regulatory authority. If we fail to produce positive results in our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456"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 Thus, even if the results from our initial research and preclinical activities appear positive, we do not know whether subsequent clinical studies we may conduct will demonstrate adequate efficacy and safety to result in regulatory approval to market any product candidates.</w:t>
      </w:r>
    </w:p>
    <w:p>
      <w:pPr>
        <w:spacing w:after="0" w:line="72"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preclinical studies and clinical trials that we announce or publish from time to time may change as more data become available and are subject to audit and verification procedures that could result in material changes in the final data.</w:t>
      </w:r>
    </w:p>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5"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or future product candidates, we must obtain marketing approval from the regulatory authorities in the relevant jurisdictions. We have not received approval to market any of our current or future product candidates from regulatory authorities in any jurisdiction, and it is possible that none of our current product candidates, nor any product candidates we may seek to develop in the future, will ever obtain regulatory approval. Securing regulatory approval requires the submission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456"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92"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In addition, 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60"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i w:val="1"/>
          <w:iCs w:val="1"/>
          <w:color w:val="auto"/>
        </w:rPr>
        <w:t>A pandemic, epidemic, or outbreak of an infectious disease, such as COVID-19, may materially and adversely affect our business and our financial results and could cause a disruption to the development of our product candidates.</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has since spread globally and in March 2020, the World Health Organization declared COVID-19 a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implemented policies at our locations to mitigate the risk of exposure to COVID-19 by our personnel, including by limiting the number of staff in any given research and development laboratory or manufacturing facility, a work-from-home policy applicable to our non-laboratory based employees, such as clinical, manufacturing, finance, administrative, quality, regulatory and program managers, and a phased approach to bringing personnel back to our locations over time. As a result of the COVID-19 pandemic, we have experienced and we expect to continue to experience disruptions that could severely impact our business, preclinical studies, including:</w:t>
      </w:r>
    </w:p>
    <w:p>
      <w:pPr>
        <w:spacing w:after="0" w:line="107"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5" w:lineRule="exact"/>
        <w:rPr>
          <w:rFonts w:ascii="Arial" w:cs="Arial" w:eastAsia="Arial" w:hAnsi="Arial"/>
          <w:sz w:val="17"/>
          <w:szCs w:val="17"/>
          <w:color w:val="auto"/>
        </w:rPr>
      </w:pPr>
    </w:p>
    <w:p>
      <w:pPr>
        <w:ind w:left="220" w:right="520" w:hanging="213"/>
        <w:spacing w:after="0" w:line="254"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or CMOs, due to staffing shortages, production slowdowns or stoppages, disruptions in delivery systems and the diversion of resources to prioritize manufacturing products that are related to treating or preventing COVID-19;</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laboratory facility and those of our sub-contractors;</w:t>
      </w:r>
    </w:p>
    <w:p>
      <w:pPr>
        <w:spacing w:after="0" w:line="125" w:lineRule="exact"/>
        <w:rPr>
          <w:rFonts w:ascii="Arial" w:cs="Arial" w:eastAsia="Arial" w:hAnsi="Arial"/>
          <w:sz w:val="17"/>
          <w:szCs w:val="17"/>
          <w:color w:val="auto"/>
        </w:rPr>
      </w:pPr>
    </w:p>
    <w:p>
      <w:pPr>
        <w:ind w:left="220" w:right="840" w:hanging="213"/>
        <w:spacing w:after="0" w:line="263"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institutional review board, ethics committees and other important agencies and contractors due to limitations in employee resources or forced furlough of government employees;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456"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760" w:hanging="213"/>
        <w:spacing w:after="0" w:line="263" w:lineRule="auto"/>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 preclinical studies are conducted, which may result in unexpected costs, or to discontinue such preclinical studies altogether; and</w:t>
      </w:r>
    </w:p>
    <w:p>
      <w:pPr>
        <w:spacing w:after="0" w:line="93" w:lineRule="exact"/>
        <w:rPr>
          <w:rFonts w:ascii="Arial" w:cs="Arial" w:eastAsia="Arial" w:hAnsi="Arial"/>
          <w:sz w:val="17"/>
          <w:szCs w:val="17"/>
          <w:color w:val="auto"/>
        </w:rPr>
      </w:pPr>
    </w:p>
    <w:p>
      <w:pPr>
        <w:ind w:left="220" w:right="120" w:hanging="213"/>
        <w:spacing w:after="0" w:line="263" w:lineRule="auto"/>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including because of sickness of employees or their families or the desire of employees to avoid contact with large groups of people.</w:t>
      </w:r>
    </w:p>
    <w:p>
      <w:pPr>
        <w:spacing w:after="0" w:line="8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Health regulatory agencies globally may experience disruptions in their operations as a result of the COVID-19 pandemic. The FDA and comparable foreign regulatory agencies may have slower response times or be under-resourced and review, inspection, and other timelines may be materially delayed. As of June 23, 2020, the FDA noted it is continuing to ensure timely reviews of applications for medical products during the COVID-19 pandemic in line with its user fee goals. On July 16, 2020, the FDA stated that it is continuing to expedite oncology product development with its staff teleworking full-time. However, the FDA may not be able to continue its current pace and approval timelines could be extended. It is unknown how long these disruptions could continue, were they to occur. Since March 2020, foreign and domestic inspections by the FDA have largely been on hold with the FDA announcing plans in July 2020 to resume prioritized domestic inspections. Regulatory authorities outside the U.S. may adopt similar restrictions or other policy measures in response to the COVID-19 pandemic and may experience delays in their regulatory activities. Any delay in regulatory review resulting from such disruptions could materially affect the development and study of our product candidates.</w:t>
      </w:r>
    </w:p>
    <w:p>
      <w:pPr>
        <w:spacing w:after="0" w:line="295"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 global COVID-19 pandemic continues to rapidly evolve. The extent to which COVID-19 impacts our business, results of operations and financial condition will depend on future developments, which are highly uncertain and cannot be predicted with confidence, such as the ultimate geographic spread of the disease, duration of the outbreak, travel restrictions, new information that may emerge concerning the severity of COVID-19 or the effectiveness of actions taken in the United States and other countries to contain COVID-19 or treat its impact, among others. We cannot presently predict the scope and severity of any potential business shutdowns or disruptions, but if we or any of the third parties with whom we engage, including the suppliers, service providers, regulators and other third parties with whom we conduct business, were to experience prolonged business shutdowns or other business disruptions, our ability to conduct our business in the manner and on the timelines presently planned could be materially and negatively impacted.</w:t>
      </w:r>
    </w:p>
    <w:p>
      <w:pPr>
        <w:spacing w:after="0" w:line="76" w:lineRule="exact"/>
        <w:rPr>
          <w:sz w:val="20"/>
          <w:szCs w:val="20"/>
          <w:color w:val="auto"/>
        </w:rPr>
      </w:pPr>
    </w:p>
    <w:p>
      <w:pPr>
        <w:jc w:val="both"/>
        <w:ind w:right="740"/>
        <w:spacing w:after="0" w:line="267" w:lineRule="auto"/>
        <w:rPr>
          <w:sz w:val="20"/>
          <w:szCs w:val="20"/>
          <w:color w:val="auto"/>
        </w:rPr>
      </w:pPr>
      <w:r>
        <w:rPr>
          <w:rFonts w:ascii="Arial" w:cs="Arial" w:eastAsia="Arial" w:hAnsi="Arial"/>
          <w:sz w:val="17"/>
          <w:szCs w:val="17"/>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not evaluated any product candidates in human clinical trials.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cancer, inflammatory and autoimmune diseases, neurodegeneration or genetic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consequences. It is possible that healthy proteins or proteins not targeted for degradation could be degraded using our degrader molecules in any of our planned or future clinical studies. There is also the potential risk of delayed adverse events following treatment using any of our current or future product candidates.</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These side effects could arise due to off-target activity, allergic reactions in trial subjects or unwanted on-target effects in the body. Results of our planned clinical trials could reveal a high and unacceptable severity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00"/>
          </w:cols>
          <w:pgMar w:left="320" w:top="456"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In any such event, our studies could be suspended or terminated and the FDA or comparable foreign regulatory authorities could order us to cease further development of or deny approval of our product candidates for any or all targeted indications. The side effects experienced could affect patient recruitment or the ability of enrolled subjects to complete the study or result in potential product liability claims. Moreover, if we elect, or are required, not to initiate, or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9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 addition,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93" w:lineRule="exact"/>
        <w:rPr>
          <w:sz w:val="20"/>
          <w:szCs w:val="20"/>
          <w:color w:val="auto"/>
        </w:rPr>
      </w:pPr>
    </w:p>
    <w:p>
      <w:pPr>
        <w:ind w:left="220" w:right="80" w:hanging="213"/>
        <w:spacing w:after="0" w:line="263" w:lineRule="auto"/>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suspend, withdraw or limit approvals of such current or future product candidates, or seek an injunction against their manufacture or distribution;</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or warnings, such as a “boxed” warning or a contraindication;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25" w:lineRule="exact"/>
        <w:rPr>
          <w:rFonts w:ascii="Arial" w:cs="Arial" w:eastAsia="Arial" w:hAnsi="Arial"/>
          <w:sz w:val="17"/>
          <w:szCs w:val="17"/>
          <w:color w:val="auto"/>
        </w:rPr>
      </w:pPr>
    </w:p>
    <w:p>
      <w:pPr>
        <w:ind w:left="220" w:right="360" w:hanging="213"/>
        <w:spacing w:after="0" w:line="263" w:lineRule="auto"/>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change the way such current or future product candidates are distributed or administered, conduct additional clinical trials or change the labeling of the current or future product candidates;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conduct post-marketing studies or change the way the product is administered;</w:t>
      </w:r>
    </w:p>
    <w:p>
      <w:pPr>
        <w:spacing w:after="0" w:line="125" w:lineRule="exact"/>
        <w:rPr>
          <w:rFonts w:ascii="Arial" w:cs="Arial" w:eastAsia="Arial" w:hAnsi="Arial"/>
          <w:sz w:val="17"/>
          <w:szCs w:val="17"/>
          <w:color w:val="auto"/>
        </w:rPr>
      </w:pPr>
    </w:p>
    <w:p>
      <w:pPr>
        <w:ind w:left="220" w:right="300" w:hanging="213"/>
        <w:spacing w:after="0" w:line="263" w:lineRule="auto"/>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456"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decide to remove such current or future product candidates from the market;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current or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subject to fines, injunctions or imposition of criminal penalties;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68"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We may seek and fail to obtain Breakthrough Therapy Designation or Fast Track Designation from the FDA for our current or future product candidates. Even if granted for any of our current or future product candidates, these programs may not lead to a faster development, regulatory review or approval process, and such designations do not increase the likelihood that any of our product candidates will receive marketing approval in the United States.</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drugs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30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may also seek Fast Track Designation for one or more of our current or future product candidates. If a product candidate is intended for the treatment of a serious or life-threatening condition and preclinical or clinical data demonstrate the potential to address an unmet medical need for this condition, the product sponsor may apply for Fast Track Designation. 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to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The FDA has broad discretion whether or not to grant this designation, so even if we believe a particular current or future product candidate is eligible for this designation, we cannot assure you that the FDA would</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180"/>
          </w:cols>
          <w:pgMar w:left="320" w:top="456"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decide to grant it. Even if we do receive Fast Track Designation for certain current or future product candidates, we may not experience a faster development process, review or approval compared to conventional FDA procedures. The FDA may rescind fast Track Designation if it believes that the designation is no longer supported by data from our clinical development program. Fast Track Designation alone does not guarantee qualification for the FDA’s priority review procedures.</w:t>
      </w:r>
    </w:p>
    <w:p>
      <w:pPr>
        <w:spacing w:after="0" w:line="72"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6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As part of our business strategy, we may seek Orphan Drug Designation for certain indications of our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of 200,000 or more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the same indication for that time period. The applicable period is seven years in the U.S. and ten years in the European Union. The exclusivity period in the European Union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Orphan Drug Designation neither shortens the development time or regulatory review time of a drug nor gives the drug any advantage in the regulatory review or approval process. While we may seek Orphan Drug Designation for applicable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456"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indications for our current and any future product candidates, we may never receive such designations. Even if we do receive such designations, there is no guarantee that we will enjoy the benefits of those designations.</w:t>
      </w:r>
    </w:p>
    <w:p>
      <w:pPr>
        <w:spacing w:after="0" w:line="6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If the FDA or a comparable foreign regulatory authority approves any of our current or future product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GCPs for any clinical trials that we conduct post-approval.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08" w:lineRule="exact"/>
        <w:rPr>
          <w:sz w:val="20"/>
          <w:szCs w:val="20"/>
          <w:color w:val="auto"/>
        </w:rPr>
      </w:pPr>
    </w:p>
    <w:p>
      <w:pPr>
        <w:ind w:left="220" w:right="80" w:hanging="213"/>
        <w:spacing w:after="0" w:line="263" w:lineRule="auto"/>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 candidates, withdrawal of the product from the market, or voluntary or mandatory product recalls;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manufacturing delays and supply disruptions where regulatory inspections identify observations of noncompliance during remediation;</w:t>
      </w:r>
    </w:p>
    <w:p>
      <w:pPr>
        <w:spacing w:after="0" w:line="125" w:lineRule="exact"/>
        <w:rPr>
          <w:rFonts w:ascii="Arial" w:cs="Arial" w:eastAsia="Arial" w:hAnsi="Arial"/>
          <w:sz w:val="17"/>
          <w:szCs w:val="17"/>
          <w:color w:val="auto"/>
        </w:rPr>
      </w:pPr>
    </w:p>
    <w:p>
      <w:pPr>
        <w:ind w:left="220" w:right="580" w:hanging="213"/>
        <w:spacing w:after="0" w:line="263" w:lineRule="auto"/>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revisions to the labeling, including limitation on approved uses or the addition of warnings, contraindications, or other safety information, including boxed warnings;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imposition of a REMS, which may include distribution or use restrictions;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conduct additional post-market clinical trials to assess the safety of the product;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fines, warning or untitled letters or holds on clinical trials;</w:t>
      </w:r>
    </w:p>
    <w:p>
      <w:pPr>
        <w:spacing w:after="0" w:line="125" w:lineRule="exact"/>
        <w:rPr>
          <w:rFonts w:ascii="Arial" w:cs="Arial" w:eastAsia="Arial" w:hAnsi="Arial"/>
          <w:sz w:val="17"/>
          <w:szCs w:val="17"/>
          <w:color w:val="auto"/>
        </w:rPr>
      </w:pPr>
    </w:p>
    <w:p>
      <w:pPr>
        <w:ind w:left="220" w:right="620" w:hanging="213"/>
        <w:spacing w:after="0" w:line="263" w:lineRule="auto"/>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approvals;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drugs;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current or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456"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40"/>
        <w:spacing w:after="0" w:line="287"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plan to seek regulatory approval of our current or future product candidates outside of the U.S. Obtaining and maintaining regulatory approval of our product candidates in one jurisdiction does not guarantee that we will be able to obtain or maintain regulatory approval in any other jurisdiction.</w:t>
      </w:r>
    </w:p>
    <w:p>
      <w:pPr>
        <w:spacing w:after="0" w:line="28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7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4"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456"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Such requirements govern, among other things, clinical trials and commercial sales, and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105" w:lineRule="exact"/>
        <w:rPr>
          <w:sz w:val="20"/>
          <w:szCs w:val="20"/>
          <w:color w:val="auto"/>
        </w:rPr>
      </w:pPr>
    </w:p>
    <w:p>
      <w:pPr>
        <w:ind w:left="220" w:right="40" w:hanging="213"/>
        <w:spacing w:after="0" w:line="263"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 such that obtaining regulatory approvals outside of the U.S. may take longer and be more costly than obtaining approval in the U.S.;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current or future product candidates in foreign markets;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125" w:lineRule="exact"/>
        <w:rPr>
          <w:rFonts w:ascii="Arial" w:cs="Arial" w:eastAsia="Arial" w:hAnsi="Arial"/>
          <w:sz w:val="17"/>
          <w:szCs w:val="17"/>
          <w:color w:val="auto"/>
        </w:rPr>
      </w:pPr>
    </w:p>
    <w:p>
      <w:pPr>
        <w:ind w:left="220" w:right="100" w:hanging="213"/>
        <w:spacing w:after="0" w:line="263"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of 1977 or comparable foreign regulations;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456"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Foreign sales of our current or future product candidates could also be adversely affected by the imposition of governmental controls, political and economic instability, trade restrictions and changes in tariffs.</w:t>
      </w:r>
    </w:p>
    <w:p>
      <w:pPr>
        <w:spacing w:after="0" w:line="60"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8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w:t>
      </w:r>
    </w:p>
    <w:p>
      <w:pPr>
        <w:spacing w:after="0" w:line="9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Since March 2020,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 manufacturing or bioresearch monitoring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77"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61"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We may in the future choose to conduct one or more clinical trials outside the U.S., including in Europe. The acceptance of study data from clinical trials conducted outside the U.S. or another jurisdiction by the FDA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456"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80"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00"/>
          </w:cols>
          <w:pgMar w:left="320" w:top="456"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commercialization</w:t>
      </w:r>
    </w:p>
    <w:p>
      <w:pPr>
        <w:spacing w:after="0" w:line="12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6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If our product candidates do not achieve an adequate level of acceptance, we may not generate significant revenue and we may not become profitable. Market acceptance of our current or future product candidates, if approved, will depend on a number of factors, including, among others:</w:t>
      </w:r>
    </w:p>
    <w:p>
      <w:pPr>
        <w:spacing w:after="0" w:line="105" w:lineRule="exact"/>
        <w:rPr>
          <w:sz w:val="20"/>
          <w:szCs w:val="20"/>
          <w:color w:val="auto"/>
        </w:rPr>
      </w:pPr>
    </w:p>
    <w:p>
      <w:pPr>
        <w:ind w:left="220" w:right="140" w:hanging="213"/>
        <w:spacing w:after="0" w:line="254"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candidates and potential advantages to alternative treatments;</w:t>
      </w:r>
    </w:p>
    <w:p>
      <w:pPr>
        <w:spacing w:after="0" w:line="125"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25" w:lineRule="exact"/>
        <w:rPr>
          <w:rFonts w:ascii="Arial" w:cs="Arial" w:eastAsia="Arial" w:hAnsi="Arial"/>
          <w:sz w:val="17"/>
          <w:szCs w:val="17"/>
          <w:color w:val="auto"/>
        </w:rPr>
      </w:pPr>
    </w:p>
    <w:p>
      <w:pPr>
        <w:ind w:left="220" w:right="340" w:hanging="213"/>
        <w:spacing w:after="0" w:line="263"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93" w:lineRule="exact"/>
        <w:rPr>
          <w:rFonts w:ascii="Arial" w:cs="Arial" w:eastAsia="Arial" w:hAnsi="Arial"/>
          <w:sz w:val="17"/>
          <w:szCs w:val="17"/>
          <w:color w:val="auto"/>
        </w:rPr>
      </w:pPr>
    </w:p>
    <w:p>
      <w:pPr>
        <w:ind w:left="220" w:right="420" w:hanging="213"/>
        <w:spacing w:after="0" w:line="263"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or treatment methods and of physicians to prescribe these therapies or methods;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pricing and cost effectiveness;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effectiveness of our sales and marketing strategies;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increase awareness of our current or future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obtain sufficient third-party coverage or reimbursement; or</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w:t>
      </w:r>
    </w:p>
    <w:p>
      <w:pPr>
        <w:spacing w:after="0" w:line="11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20"/>
          </w:cols>
          <w:pgMar w:left="320" w:top="456"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60"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do not have sales or marketing infrastructure. To achieve commercial success for any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market our products on our own include:</w:t>
      </w:r>
    </w:p>
    <w:p>
      <w:pPr>
        <w:spacing w:after="0" w:line="125" w:lineRule="exact"/>
        <w:rPr>
          <w:sz w:val="20"/>
          <w:szCs w:val="20"/>
          <w:color w:val="auto"/>
        </w:rPr>
      </w:pPr>
    </w:p>
    <w:p>
      <w:pPr>
        <w:ind w:left="220" w:hanging="213"/>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in order to educate physicians about our product candidates, once approved;</w:t>
      </w:r>
    </w:p>
    <w:p>
      <w:pPr>
        <w:spacing w:after="0" w:line="125" w:lineRule="exact"/>
        <w:rPr>
          <w:rFonts w:ascii="Arial" w:cs="Arial" w:eastAsia="Arial" w:hAnsi="Arial"/>
          <w:sz w:val="17"/>
          <w:szCs w:val="17"/>
          <w:color w:val="auto"/>
        </w:rPr>
      </w:pPr>
    </w:p>
    <w:p>
      <w:pPr>
        <w:ind w:left="220" w:right="220" w:hanging="213"/>
        <w:spacing w:after="0" w:line="263" w:lineRule="auto"/>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2"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6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our product candidates we develop as a therapy for patients who have received one or more prior treatments. Subsequently, for those products that prove to be sufficiently beneficial, if any, we would expect to seek approval potentially as a first-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180"/>
          </w:cols>
          <w:pgMar w:left="320" w:top="456"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line therapy, but there is no guarantee that product candidates we develop, even if approved, would be approved for first-line therapy, and, prior to any such approvals, we may have to conduct additional clinical trials.</w:t>
      </w:r>
    </w:p>
    <w:p>
      <w:pPr>
        <w:spacing w:after="0" w:line="80"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in both oncology and non-oncology indications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72" w:lineRule="exact"/>
        <w:rPr>
          <w:sz w:val="20"/>
          <w:szCs w:val="20"/>
          <w:color w:val="auto"/>
        </w:rPr>
      </w:pPr>
    </w:p>
    <w:p>
      <w:pPr>
        <w:ind w:right="820"/>
        <w:spacing w:after="0" w:line="28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drugs before or more successfully than we do.</w:t>
      </w:r>
    </w:p>
    <w:p>
      <w:pPr>
        <w:spacing w:after="0" w:line="6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are aware of several biotechnology companies focused on developing molecular glue degraders or MGD therapeutics for patients, including BioTheryX Therapeutics, C4 Therapeutics, Inc., Nurix Therapeutics, Inc., Kymera Therapeutics, Inc., Arvinas, Inc. and Seed Therapeutics, Inc., all of which are currently in development. In addition, lenalidomide and pomalidomide, which are both marketed by Bristol-Myers Squibb, are believed to function as MGDs. Further, several large pharmaceutical companies have disclosed investments in this field.</w:t>
      </w:r>
    </w:p>
    <w:p>
      <w:pPr>
        <w:spacing w:after="0" w:line="9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Many of our current or future competitors have significantly greater financial resources and expertise in research and development, manufacturing, preclinical testing, conducting clinical trials, obtaining regulatory approvals and reimbursement and marketing of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recruitment for clinical trials, as well as in acquiring technologies complementary to, or necessary for, our programs.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61"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We will face an inherent risk of product liability exposure related to the testing of our current or future product candidates in human clinical trials and will face an even greater risk if we commercially sell any current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456"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93" w:lineRule="exact"/>
        <w:rPr>
          <w:sz w:val="20"/>
          <w:szCs w:val="20"/>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decreased demand for any current or future product candidates that we may develop;</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to commercialize any current or future product candidates that we may develop.</w:t>
      </w:r>
    </w:p>
    <w:p>
      <w:pPr>
        <w:spacing w:after="0" w:line="112"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the United States, no uniform policy exists for coverage and reimbursement for products among third-party payors. Therefore, decisions regarding the extent of coverage and amount of reimbursement to be provided can differ significantly from payor to payor. Third-party payors often follow Medicare coverage policy and payment limitations in setting their own reimbursement rates, but also have their own methods and approval process apart from Medicare determinations. Factors payors consider in determining reimbursement are based on whether the product is:</w:t>
      </w:r>
    </w:p>
    <w:p>
      <w:pPr>
        <w:spacing w:after="0" w:line="105" w:lineRule="exact"/>
        <w:rPr>
          <w:sz w:val="20"/>
          <w:szCs w:val="20"/>
          <w:color w:val="auto"/>
        </w:rPr>
      </w:pPr>
    </w:p>
    <w:p>
      <w:pPr>
        <w:ind w:left="220" w:hanging="213"/>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20"/>
          </w:cols>
          <w:pgMar w:left="320" w:top="456"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 We cannot be sure that coverage will be available for any product candidate that we commercialize.</w:t>
      </w:r>
    </w:p>
    <w:p>
      <w:pPr>
        <w:spacing w:after="0" w:line="92"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Moreover, the process for determining whether a payor will provide coverage for a product may be separate from the process for setting the reimbursement rate a payor will pay for the product. A payor’s decision to provide coverage for a product does not imply that an adequate reimbursement rate will be approved. If coverage is available, but reimbursement is available only to limited levels, we may not be able to successfully commercialize any product candidate for which we obtain marketing approval.</w:t>
      </w:r>
    </w:p>
    <w:p>
      <w:pPr>
        <w:spacing w:after="0" w:line="9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9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Finally, in some foreign countries, the proposed pricing for a product candidate must be approved before it may be lawfully marketed. The requirements governing product pricing vary widely from country to country. For example, in the European Union, or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and reimbursement levels of medicinal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80" w:lineRule="exact"/>
        <w:rPr>
          <w:sz w:val="20"/>
          <w:szCs w:val="20"/>
          <w:color w:val="auto"/>
        </w:rPr>
      </w:pPr>
    </w:p>
    <w:p>
      <w:pPr>
        <w:ind w:right="920"/>
        <w:spacing w:after="0" w:line="287" w:lineRule="auto"/>
        <w:rPr>
          <w:sz w:val="20"/>
          <w:szCs w:val="20"/>
          <w:color w:val="auto"/>
        </w:rPr>
      </w:pPr>
      <w:r>
        <w:rPr>
          <w:rFonts w:ascii="Arial" w:cs="Arial" w:eastAsia="Arial" w:hAnsi="Arial"/>
          <w:sz w:val="17"/>
          <w:szCs w:val="17"/>
          <w:b w:val="1"/>
          <w:bCs w:val="1"/>
          <w:i w:val="1"/>
          <w:iCs w:val="1"/>
          <w:color w:val="auto"/>
        </w:rPr>
        <w:t>Current and future healthcare legislative reform measures may have a material adverse effect on our business and results of operations.</w:t>
      </w:r>
    </w:p>
    <w:p>
      <w:pPr>
        <w:spacing w:after="0" w:line="61"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320" w:top="456"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ACA, was passed, which substantially changed the way healthcare is financed by both governmental and private insurers, and significantly impacted the U.S. pharmaceutical industry. The ACA, among other things, subjected drug products to potential competition by lower-cost biosimilars, expanded the types of entities eligible for the 340B drug discount program, addressed a new methodology by which rebates owed by manufacturers under the Medicaid Drug Rebate Program are calculated for drugs that are inhaled, infused, instilled, implanted or injected, increased rebates owed by manufacturers under the Medicaid Drug Rebate Program and extended the rebate program to individuals enrolled in Medicaid managed care organizations, establishes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29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Various portions of the ACA are currently undergoing legal and constitutional challenges in the United States Supreme Court and members of Congress have introduced several pieces of legislation aimed at significantly revising or repealing the ACA. The United States Supreme Court is expected to rule on a legal challenge to the constitutionality of the ACA in early 2021. The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w:t>
      </w:r>
    </w:p>
    <w:p>
      <w:pPr>
        <w:spacing w:after="0" w:line="94"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of up to 2% per fiscal year, which went into effect in April 2013, and, due to subsequent legislative amendments, will remain in effect through 2030, with the exception of a temporary suspension from May 1, 2020 through March 31, 2021, unless additional Congressional action is taken. Proposed legislation, if enacted, would extend this suspension through the end of the year; the Centers for Medicare &amp; Medicaid Services, or CMS, has signaled that it is delaying the processing of claims in April 2021 to allow Congress to prevent the reimposition of the 2% cuts during the pandemic.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pharmaceutical and biological products. At the federal level, the previous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456"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460"/>
        <w:spacing w:after="0" w:line="254" w:lineRule="auto"/>
        <w:rPr>
          <w:sz w:val="20"/>
          <w:szCs w:val="20"/>
          <w:color w:val="auto"/>
        </w:rPr>
      </w:pPr>
      <w:r>
        <w:rPr>
          <w:rFonts w:ascii="Arial" w:cs="Arial" w:eastAsia="Arial" w:hAnsi="Arial"/>
          <w:sz w:val="17"/>
          <w:szCs w:val="17"/>
          <w:color w:val="auto"/>
        </w:rPr>
        <w:t>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 Further, it is possible that additional governmental action is taken in response to the COVID-19 pandemic.</w:t>
      </w:r>
    </w:p>
    <w:p>
      <w:pPr>
        <w:spacing w:after="0" w:line="88"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These laws may impact, among other things, the business or financial arrangements and relationships through which we market, sell and distribute any current or future product candidates for which we obtain marketing approval. Restrictions under applicable federal and state healthcare laws and regulations, include, among others:</w:t>
      </w:r>
    </w:p>
    <w:p>
      <w:pPr>
        <w:spacing w:after="0" w:line="107" w:lineRule="exact"/>
        <w:rPr>
          <w:sz w:val="20"/>
          <w:szCs w:val="20"/>
          <w:color w:val="auto"/>
        </w:rPr>
      </w:pPr>
    </w:p>
    <w:p>
      <w:pPr>
        <w:ind w:left="220" w:right="60" w:hanging="213"/>
        <w:spacing w:after="0" w:line="248"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soliciting, offering, receiving, providing or paying remuneration, directly or indirectly, overtly or covertly, in cash or in kind, to induce or reward, or in return for, either the referral of an individual for, or the purchase, lease, order or recommendation of, or arranging for, any item, good, facility, or service, for which payment may be made under a federal healthcare program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 Further, a violation of the federal Anti-Kickback Statute can also form the basis for False Claims Act liability. On December 2, 2020, OIG published further modifications to the federal Anti-Kickback Statute. Under the final rules, OIG added safe harbor protections under the Anti-Kickback Statute for certain coordinated care and value-based arrangements among clinicians, providers, and others. Implementation of this change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456"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left="220" w:right="40"/>
        <w:spacing w:after="0" w:line="254" w:lineRule="auto"/>
        <w:rPr>
          <w:sz w:val="20"/>
          <w:szCs w:val="20"/>
          <w:color w:val="auto"/>
        </w:rPr>
      </w:pPr>
      <w:r>
        <w:rPr>
          <w:rFonts w:ascii="Arial" w:cs="Arial" w:eastAsia="Arial" w:hAnsi="Arial"/>
          <w:sz w:val="17"/>
          <w:szCs w:val="17"/>
          <w:color w:val="auto"/>
        </w:rPr>
        <w:t>new safe harbors for point-of-sale reductions in price for prescription pharmaceutical products and pharmacy benefit manager service fees has been delayed by the Biden administration until January 1, 2023, and may be amended or repealed. We continue to evaluate what effect, if any, the rule will have on our business;</w:t>
      </w:r>
    </w:p>
    <w:p>
      <w:pPr>
        <w:spacing w:after="0" w:line="102" w:lineRule="exact"/>
        <w:rPr>
          <w:sz w:val="20"/>
          <w:szCs w:val="20"/>
          <w:color w:val="auto"/>
        </w:rPr>
      </w:pPr>
    </w:p>
    <w:p>
      <w:pPr>
        <w:ind w:left="220" w:right="120" w:hanging="213"/>
        <w:spacing w:after="0" w:line="248"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federal False Claims Act, which prohibits individuals or entities for knowingly presenting, or causing to be presented, to the federal government, claims for payment that are false or fraudulent or making a false statement to avoid, decrease or conceal an obligation to pay money to the federal government. Actions under the False Claims Act may be brought by the Attorney General or as a qui tam action by a private individual in the name of the government. Violations of the False Claims Act can result in very significant monetary penalties for each false claim and three times the amount of the government’s damages.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w:t>
      </w:r>
    </w:p>
    <w:p>
      <w:pPr>
        <w:spacing w:after="0" w:line="309" w:lineRule="exact"/>
        <w:rPr>
          <w:rFonts w:ascii="Arial" w:cs="Arial" w:eastAsia="Arial" w:hAnsi="Arial"/>
          <w:sz w:val="17"/>
          <w:szCs w:val="17"/>
          <w:color w:val="auto"/>
        </w:rPr>
      </w:pPr>
    </w:p>
    <w:p>
      <w:pPr>
        <w:ind w:left="220" w:right="20" w:hanging="213"/>
        <w:spacing w:after="0" w:line="249"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04" w:lineRule="exact"/>
        <w:rPr>
          <w:rFonts w:ascii="Arial" w:cs="Arial" w:eastAsia="Arial" w:hAnsi="Arial"/>
          <w:sz w:val="17"/>
          <w:szCs w:val="17"/>
          <w:color w:val="auto"/>
        </w:rPr>
      </w:pPr>
    </w:p>
    <w:p>
      <w:pPr>
        <w:ind w:left="220" w:right="80" w:hanging="213"/>
        <w:spacing w:after="0" w:line="248"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 transparency laws, including the federal Physician Payment Sunshine Act created under the ACA, which requires manufacturers of certain drugs, devices, biologics and medical supplies, among others, to track and disclose payments under Medicare, Medicaid, or the Children’s Health Insurance Program (with certain exceptions) and other transfers of value they make to U.S.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This information is subsequently made publicly available in a searchable format on a CMS website. Failure to disclose required information may result in civil monetary penalties for all payments, transfers of value or ownership or investment interests that are not timely, accurately and completely reported in an annual submission;</w:t>
      </w:r>
    </w:p>
    <w:p>
      <w:pPr>
        <w:spacing w:after="0" w:line="107" w:lineRule="exact"/>
        <w:rPr>
          <w:rFonts w:ascii="Arial" w:cs="Arial" w:eastAsia="Arial" w:hAnsi="Arial"/>
          <w:sz w:val="17"/>
          <w:szCs w:val="17"/>
          <w:color w:val="auto"/>
        </w:rPr>
      </w:pPr>
    </w:p>
    <w:p>
      <w:pPr>
        <w:ind w:left="220" w:hanging="213"/>
        <w:spacing w:after="0" w:line="248"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including the final omnibus rule published on January 25, 2013, which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20"/>
          </w:cols>
          <w:pgMar w:left="320" w:top="456"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60"/>
        <w:spacing w:after="0" w:line="263" w:lineRule="auto"/>
        <w:rPr>
          <w:sz w:val="20"/>
          <w:szCs w:val="20"/>
          <w:color w:val="auto"/>
        </w:rPr>
      </w:pPr>
      <w:r>
        <w:rPr>
          <w:rFonts w:ascii="Arial" w:cs="Arial" w:eastAsia="Arial" w:hAnsi="Arial"/>
          <w:sz w:val="17"/>
          <w:szCs w:val="17"/>
          <w:color w:val="auto"/>
        </w:rPr>
        <w:t>privacy and security of health and other personal information in certain circumstances, many of which differ from each other in significant ways and may not have the same effect, thus complicating compliance efforts; and</w:t>
      </w:r>
    </w:p>
    <w:p>
      <w:pPr>
        <w:spacing w:after="0" w:line="93" w:lineRule="exact"/>
        <w:rPr>
          <w:sz w:val="20"/>
          <w:szCs w:val="20"/>
          <w:color w:val="auto"/>
        </w:rPr>
      </w:pPr>
    </w:p>
    <w:p>
      <w:pPr>
        <w:ind w:left="220" w:right="20" w:hanging="213"/>
        <w:spacing w:after="0" w:line="248"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law equivalents of each of the above U.S. federal laws, such as state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often are not preempted by HIPAA, thus complicating compliance efforts.</w:t>
      </w:r>
    </w:p>
    <w:p>
      <w:pPr>
        <w:spacing w:after="0" w:line="95"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It is possible that governmental authorities will conclude that our business practices, including our arrangements with certain physicians, some of whom are compensated in the form of stock or stock options for services provided to us, do not comply with current or future statutes, regulations or case law involving applicable fraud and abuse or other healthcare laws and regulations. If our operations are to be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any of which could adversely affect our ability to operate our business and our financial results. If any of the physicians or other healthcare providers or entities with whom we expect to do business is found to be not in compliance with applicable laws, they may be subject to similar actions, penalties, and sanctions.</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dependence on third parties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We currently rely, and plan to rely on in the future, on third parties to conduct and support our preclinical studies, and we expect to rely on third parties to conduct our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00"/>
          </w:cols>
          <w:pgMar w:left="320" w:top="456"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utilize and depend upon independent investigators and collaborators, such as medical institutions, CROs, CMOs and strategic partners to help conduct our preclinical studies. For example, we contract with Ridgeline Therapeutics GmbH, or Ridgeline, for services related to our drug discovery and preclinical work, but we are continuing to build our internal chemistry, manufacturing and controls, biology and preclinical development capabilities to assume activities conducted by Ridgeline on our behalf. We do not have the ability to independently conduct clinical trials. We expect to rely on medical institutions, clinical investigators, contract laboratories, and other third parties, including collaboration partners, to conduct or otherwise support clinical trials for our current or future product candidates. We expect to rely heavily on these parties for execution of clinical trials for our product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w:t>
      </w:r>
    </w:p>
    <w:p>
      <w:pPr>
        <w:spacing w:after="0" w:line="9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and any third parties that we contract with are required to comply with regulations and requirements, including GCP requirements, which are regulations and guidelines enforced by the FDA and comparable foreign regulatory authorities for product candidates in clinical development,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Regulatory authorities enforce these GCP requirements through periodic inspections of clinical trial sponsors, principal investigators and trial sites. If we or the third parties we contract with fail to comply with applicable GCP requirements,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requirements. In addition, our clinical trials must be conducted with current or future product candidates produced under cGMP regulations and will require a large number of study subjects. Our failure or the failure of third parties that we may contract with to comply with these regulations or to recruit a sufficient number of subjects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29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Although we intend to design the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timing and response to the ongoing COVID-19 pandemic, will be outside of our direct control. Our reliance on third parties to conduct future clinical trials will also result in less direct control over the management of data developed through clinical trials than would be the case if we were relying entirely upon our own staff, and we cannot control whether or not they will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Communicating with outside parties can also be challenging, potentially leading to mistakes as well as difficulties in coordinating activities. Outside parties may:</w:t>
      </w:r>
    </w:p>
    <w:p>
      <w:pPr>
        <w:spacing w:after="0" w:line="109" w:lineRule="exact"/>
        <w:rPr>
          <w:sz w:val="20"/>
          <w:szCs w:val="20"/>
          <w:color w:val="auto"/>
        </w:rPr>
      </w:pPr>
    </w:p>
    <w:p>
      <w:pPr>
        <w:ind w:left="220" w:hanging="213"/>
        <w:spacing w:after="0"/>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20"/>
          </w:cols>
          <w:pgMar w:left="320" w:top="456"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experience regulatory compliance issues;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11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The third parties upon whom we rely on for the supply of drug product and starting materials used in our product candidates are limited in number, and the loss of any of these suppliers, or their noncompliance with regulatory requirements or our quality standards, could significantly harm our business.</w:t>
      </w:r>
    </w:p>
    <w:p>
      <w:pPr>
        <w:spacing w:after="0" w:line="76" w:lineRule="exact"/>
        <w:rPr>
          <w:sz w:val="20"/>
          <w:szCs w:val="20"/>
          <w:color w:val="auto"/>
        </w:rPr>
      </w:pPr>
    </w:p>
    <w:p>
      <w:pPr>
        <w:jc w:val="both"/>
        <w:ind w:right="220"/>
        <w:spacing w:after="0" w:line="251" w:lineRule="auto"/>
        <w:rPr>
          <w:sz w:val="20"/>
          <w:szCs w:val="20"/>
          <w:color w:val="auto"/>
        </w:rPr>
      </w:pPr>
      <w:r>
        <w:rPr>
          <w:rFonts w:ascii="Arial" w:cs="Arial" w:eastAsia="Arial" w:hAnsi="Arial"/>
          <w:sz w:val="17"/>
          <w:szCs w:val="17"/>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facilities used by our contract manufacturers to manufacture our product candidates will be identified in, and subject to inspections that will be conducted after we submit, any marketing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our marketing applications identifying these facilities for the manufacture of our product candidates or if it withdraws any approval in the future, we may need to find alternative manufacturing facilities, which would require that we incur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00"/>
          </w:cols>
          <w:pgMar w:left="320" w:top="456"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Further,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w:t>
      </w:r>
    </w:p>
    <w:p>
      <w:pPr>
        <w:spacing w:after="0" w:line="8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For all of our current or future product candidates, we intend to identify and qualify additional manufacturers to provide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Establishing additional or replacement suppliers for the drug product and drug substance used in our current or future product candidates, if required, may not be accomplished quickly. In some cases, the technical skills required to manufacture our products or product candidates may be unique or proprietary to the original supplier and we may have difficulty, or there may be contractual restrictions prohibiting us from, transferring such skills to a back-up or alternate supplier, or we may be unable to transfer such skills at all. If we are able to find a replacement supplier, such replacement supplier would need to be qualified and may require additional regulatory approval, which could result in further delay.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While we seek to maintain adequate inventory of the drug product and drug substance used in our current or future product candidates, any interruption or delay in the supply of components or materials, or our inability to obtain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7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Our success is dependent on our executive management team’s ability to successfully pursue business development, strategic partnerships and investment opportunities as our company matures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8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9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20"/>
          </w:cols>
          <w:pgMar w:left="320" w:top="456"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Further, collaborations involving our technologies or current or future product candidates are subject to numerous risks, which may include the following:</w:t>
      </w:r>
    </w:p>
    <w:p>
      <w:pPr>
        <w:spacing w:after="0" w:line="93" w:lineRule="exact"/>
        <w:rPr>
          <w:sz w:val="20"/>
          <w:szCs w:val="20"/>
          <w:color w:val="auto"/>
        </w:rPr>
      </w:pPr>
    </w:p>
    <w:p>
      <w:pPr>
        <w:ind w:left="220" w:hanging="213"/>
        <w:spacing w:after="0"/>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a collaboration;</w:t>
      </w:r>
    </w:p>
    <w:p>
      <w:pPr>
        <w:spacing w:after="0" w:line="125" w:lineRule="exact"/>
        <w:rPr>
          <w:rFonts w:ascii="Arial" w:cs="Arial" w:eastAsia="Arial" w:hAnsi="Arial"/>
          <w:sz w:val="17"/>
          <w:szCs w:val="17"/>
          <w:color w:val="auto"/>
        </w:rPr>
      </w:pPr>
    </w:p>
    <w:p>
      <w:pPr>
        <w:ind w:left="220" w:hanging="213"/>
        <w:spacing w:after="0" w:line="251"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05" w:lineRule="exact"/>
        <w:rPr>
          <w:rFonts w:ascii="Arial" w:cs="Arial" w:eastAsia="Arial" w:hAnsi="Arial"/>
          <w:sz w:val="17"/>
          <w:szCs w:val="17"/>
          <w:color w:val="auto"/>
        </w:rPr>
      </w:pPr>
    </w:p>
    <w:p>
      <w:pPr>
        <w:ind w:left="220" w:right="12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93" w:lineRule="exact"/>
        <w:rPr>
          <w:rFonts w:ascii="Arial" w:cs="Arial" w:eastAsia="Arial" w:hAnsi="Arial"/>
          <w:sz w:val="17"/>
          <w:szCs w:val="17"/>
          <w:color w:val="auto"/>
        </w:rPr>
      </w:pPr>
    </w:p>
    <w:p>
      <w:pPr>
        <w:ind w:left="220" w:right="24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current or future product candidates;</w:t>
      </w:r>
    </w:p>
    <w:p>
      <w:pPr>
        <w:spacing w:after="0" w:line="93" w:lineRule="exact"/>
        <w:rPr>
          <w:rFonts w:ascii="Arial" w:cs="Arial" w:eastAsia="Arial" w:hAnsi="Arial"/>
          <w:sz w:val="17"/>
          <w:szCs w:val="17"/>
          <w:color w:val="auto"/>
        </w:rPr>
      </w:pPr>
    </w:p>
    <w:p>
      <w:pPr>
        <w:ind w:left="220" w:right="64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their marketing and distribution;</w:t>
      </w:r>
    </w:p>
    <w:p>
      <w:pPr>
        <w:spacing w:after="0" w:line="93" w:lineRule="exact"/>
        <w:rPr>
          <w:rFonts w:ascii="Arial" w:cs="Arial" w:eastAsia="Arial" w:hAnsi="Arial"/>
          <w:sz w:val="17"/>
          <w:szCs w:val="17"/>
          <w:color w:val="auto"/>
        </w:rPr>
      </w:pPr>
    </w:p>
    <w:p>
      <w:pPr>
        <w:jc w:val="both"/>
        <w:ind w:left="220" w:right="80" w:hanging="213"/>
        <w:spacing w:after="0" w:line="254"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1"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93" w:lineRule="exact"/>
        <w:rPr>
          <w:rFonts w:ascii="Arial" w:cs="Arial" w:eastAsia="Arial" w:hAnsi="Arial"/>
          <w:sz w:val="17"/>
          <w:szCs w:val="17"/>
          <w:color w:val="auto"/>
        </w:rPr>
      </w:pPr>
    </w:p>
    <w:p>
      <w:pPr>
        <w:ind w:left="220" w:right="122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current or future product candidates;</w:t>
      </w:r>
    </w:p>
    <w:p>
      <w:pPr>
        <w:spacing w:after="0" w:line="93" w:lineRule="exact"/>
        <w:rPr>
          <w:rFonts w:ascii="Arial" w:cs="Arial" w:eastAsia="Arial" w:hAnsi="Arial"/>
          <w:sz w:val="17"/>
          <w:szCs w:val="17"/>
          <w:color w:val="auto"/>
        </w:rPr>
      </w:pPr>
    </w:p>
    <w:p>
      <w:pPr>
        <w:ind w:left="220" w:right="220" w:hanging="213"/>
        <w:spacing w:after="0" w:line="263"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not pay milestones and royalties due to the company in a timely manner.</w:t>
      </w:r>
    </w:p>
    <w:p>
      <w:pPr>
        <w:spacing w:after="0" w:line="11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 a result, we may not be able to realize the benefits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20"/>
          </w:cols>
          <w:pgMar w:left="320" w:top="456"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future clinical trials or for commercial purposes could be delayed or stopped.</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process of manufacturing of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manufacturing providers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either of which could significantly increase the cost of and significantly delay the manufacture of our current or future product candidates.</w:t>
      </w:r>
    </w:p>
    <w:p>
      <w:pPr>
        <w:spacing w:after="0" w:line="9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and may not be successful.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future clinical programs and suspension or withdrawal of any regulatory approvals.</w:t>
      </w:r>
    </w:p>
    <w:p>
      <w:pPr>
        <w:spacing w:after="0" w:line="76"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and our third party manufacturers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future clinical trials or the termination of or suspension of a future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80"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If our third-party manufacturers use hazardous and biological materials in a manner that causes injury or violates applicable law, we may be liable for damages.</w:t>
      </w:r>
    </w:p>
    <w:p>
      <w:pPr>
        <w:spacing w:after="0" w:line="6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materials, by our third-party manufacturers. Our manufacturers are subject to federal, state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456"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intellectual property</w:t>
      </w:r>
    </w:p>
    <w:p>
      <w:pPr>
        <w:spacing w:after="0" w:line="12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8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or other intellectual property protection in the U.S. and other countries for our current or future product candidates and our core technologies, including our proprietary QuEEN platform, our initial GSPT1, NEK7, CDK2, VAV1 and BCL11A programs, which are our five most advanced preclinical stage pipeline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own patent applications related to our QuEEN platform and our GSPT1 program, including GSPT1-directed MGDs, biomarkers related to these compounds, and methods of reading through nonsense mutations. We currently do not own any issued patents. Further, patent prosecution related to our pending patent applications is in the early stages and, as such, no patent examiner has yet fully scrutinized the merits of any of our pending patent applications.</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As of April 19, 2021, our patent portfolio covering GSPT1-directed MGDs and uses thereof includes seven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88"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such, we cannot guarantee that our pending and future patent applications will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degree of patent protection we require to successfully commercialize our current or future product candidates may be unavailable or severely limited in some cases and may not adequately protect our rights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20"/>
          </w:cols>
          <w:pgMar w:left="320" w:top="456"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permit us to gain or keep any competitive advantage. We cannot provide any assurances that any of our pending patent applications that mature into issued patents will include claims with a scope sufficient to protect our QuEEN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9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acquired or may acquire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In addition, the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cannot be predicted with any certainty.</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and as such, no patent examiner has scrutinized the merits of such pending patent applications.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9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challenging our patent rights or the patent rights of others from whom we may in the future obtain licenses to such rights, in the U.S. Patent and Trademark Office, or USPTO, the European Patent Office, or EPO, or the relevant patent authorities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arguing before an administrative patent authority or judge that the invention was not patent-eligible, was not novel, was obvious, and/or lacked inventive steps, and/or that the patent application failed to meet relevant requirements relating to description, basis, enablement, and/or support; in litigation, a competitor could assert that our patents are not valid or are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00"/>
          </w:cols>
          <w:pgMar w:left="320" w:top="456"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unenforceable for a number of reasons. If a court or administrative patent authority agrees, we would lose our protection of those challenged patents.</w:t>
      </w:r>
    </w:p>
    <w:p>
      <w:pPr>
        <w:spacing w:after="0" w:line="8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9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or product that provides benefits similar to one or more of our current or future product candidates but that has a different composition or otherwise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7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8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including due to the effect of the COVID-19 pandemic on us or our maintenance vendors,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r>
        <w:rPr>
          <w:rFonts w:ascii="Arial" w:cs="Arial" w:eastAsia="Arial" w:hAnsi="Arial"/>
          <w:sz w:val="17"/>
          <w:szCs w:val="17"/>
          <w:color w:val="auto"/>
        </w:rPr>
        <w:t>.</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456"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commercializing drugs similar or identical to our current or future product candidates, including generic versions of such drugs.</w:t>
      </w:r>
    </w:p>
    <w:p>
      <w:pPr>
        <w:spacing w:after="0" w:line="11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7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In addition, there could be potential trade name or trademark infringement claims brought by owners of other trademarks or trademarks that incorporate variations of our registered or unregistered trademarks or trade names. Over the long run, if we are unable to obtain a registered trademark or establish name recognition based on our trademarks and trade names, we may not be able to compete effectively and our business may be adversely affected.</w:t>
      </w:r>
    </w:p>
    <w:p>
      <w:pPr>
        <w:spacing w:after="0" w:line="100"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Additionally,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adequately protect and enforce our trade secrets, our business and competitive position would be harmed.</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addition to the protection afforded by patents we may own or in-license, we seek to rely on trade secret protection, confidentiality agreements, and license agreements to protect proprietary know-how that may not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20"/>
          </w:cols>
          <w:pgMar w:left="320" w:top="456"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non-disclosure and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9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Moreover, any of these parties might breach the agreements and intentionally or inadvertently disclose our trade secret information and we may not be able to obtain adequate remedies for such breaches. In addition, competitors may otherwise gain access (such as through a cybersecurity breach)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0"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Competitors may infringe or otherwise violate any patents or other intellectual property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Any such claims could provoke these parties to assert counterclaims against us, including claims alleging that we infringe their patents or other intellectual property rights.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 Moreover, with respect to challenges to the validity of our patents, there might be invalidating prior art, of which we and the patent examiner were unaware during prosecution.</w:t>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456"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9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We may be required to protect our patents through procedures created to attack the validity of a patent at the USPTO.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9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Intellectual property litigation and administrative patent office patent validity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Uncertainties resulting from the initiation and continuation of patent litigation or other proceedings could compromise our ability to compete in the marketplace, including compromising our ability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20"/>
          </w:cols>
          <w:pgMar w:left="320" w:top="456"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raise the funds necessary to continue our preclinical studies and future clinical trials, continue our discovery programs, license necessary technology from third parties, or enter into development collaborations that would help us commercialize our current or future product candidates, if approved.</w:t>
      </w:r>
    </w:p>
    <w:p>
      <w:pPr>
        <w:spacing w:after="0" w:line="8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events would harm our business, financial condition, results of operations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93"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Our current and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20"/>
          </w:cols>
          <w:pgMar w:left="320" w:top="456"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The intellectual property landscape relevant to our products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QuEEN platform, and other technologies that we have developed, are developing or may develop in the future do not or will not infringe, misappropriate or otherwise violate existing or future patents or other intellectual property rights owned by third parties.</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93" w:lineRule="exact"/>
        <w:rPr>
          <w:sz w:val="20"/>
          <w:szCs w:val="20"/>
          <w:color w:val="auto"/>
        </w:rPr>
      </w:pPr>
    </w:p>
    <w:p>
      <w:pPr>
        <w:ind w:right="660"/>
        <w:spacing w:after="0" w:line="263" w:lineRule="auto"/>
        <w:rPr>
          <w:sz w:val="20"/>
          <w:szCs w:val="20"/>
          <w:color w:val="auto"/>
        </w:rPr>
      </w:pPr>
      <w:r>
        <w:rPr>
          <w:rFonts w:ascii="Arial" w:cs="Arial" w:eastAsia="Arial" w:hAnsi="Arial"/>
          <w:sz w:val="17"/>
          <w:szCs w:val="17"/>
          <w:color w:val="auto"/>
        </w:rPr>
        <w:t>If a third party claims that we infringe, misappropriate or otherwise violate its intellectual property rights, we may face a number of issues, including, but not limited to:</w:t>
      </w:r>
    </w:p>
    <w:p>
      <w:pPr>
        <w:spacing w:after="0" w:line="93" w:lineRule="exact"/>
        <w:rPr>
          <w:sz w:val="20"/>
          <w:szCs w:val="20"/>
          <w:color w:val="auto"/>
        </w:rPr>
      </w:pPr>
    </w:p>
    <w:p>
      <w:pPr>
        <w:ind w:left="220" w:right="400" w:hanging="213"/>
        <w:spacing w:after="0" w:line="263"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93" w:lineRule="exact"/>
        <w:rPr>
          <w:rFonts w:ascii="Arial" w:cs="Arial" w:eastAsia="Arial" w:hAnsi="Arial"/>
          <w:sz w:val="17"/>
          <w:szCs w:val="17"/>
          <w:color w:val="auto"/>
        </w:rPr>
      </w:pPr>
    </w:p>
    <w:p>
      <w:pPr>
        <w:ind w:left="220" w:right="180" w:hanging="213"/>
        <w:spacing w:after="0" w:line="254"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180"/>
          </w:cols>
          <w:pgMar w:left="320" w:top="456"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100" w:hanging="213"/>
        <w:spacing w:after="0" w:line="254"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current or future product candidates, or from using our proprietary technologies, including our QuEEN platform, unless the third-party licenses its product rights to us, which it is not required to do on commercially reasonable terms or at all;</w:t>
      </w:r>
    </w:p>
    <w:p>
      <w:pPr>
        <w:spacing w:after="0" w:line="101" w:lineRule="exact"/>
        <w:rPr>
          <w:rFonts w:ascii="Arial" w:cs="Arial" w:eastAsia="Arial" w:hAnsi="Arial"/>
          <w:sz w:val="17"/>
          <w:szCs w:val="17"/>
          <w:color w:val="auto"/>
        </w:rPr>
      </w:pPr>
    </w:p>
    <w:p>
      <w:pPr>
        <w:ind w:left="220" w:hanging="213"/>
        <w:spacing w:after="0" w:line="254"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01" w:lineRule="exact"/>
        <w:rPr>
          <w:rFonts w:ascii="Arial" w:cs="Arial" w:eastAsia="Arial" w:hAnsi="Arial"/>
          <w:sz w:val="17"/>
          <w:szCs w:val="17"/>
          <w:color w:val="auto"/>
        </w:rPr>
      </w:pPr>
    </w:p>
    <w:p>
      <w:pPr>
        <w:ind w:left="220" w:right="500" w:hanging="213"/>
        <w:spacing w:after="0" w:line="263"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93" w:lineRule="exact"/>
        <w:rPr>
          <w:rFonts w:ascii="Arial" w:cs="Arial" w:eastAsia="Arial" w:hAnsi="Arial"/>
          <w:sz w:val="17"/>
          <w:szCs w:val="17"/>
          <w:color w:val="auto"/>
        </w:rPr>
      </w:pPr>
    </w:p>
    <w:p>
      <w:pPr>
        <w:ind w:left="220" w:right="560" w:hanging="213"/>
        <w:spacing w:after="0" w:line="263"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9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20"/>
          </w:cols>
          <w:pgMar w:left="320" w:top="456"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the QuEEN platform may be impaired or delayed, which could in turn significantly harm our business. Even if we obtain a license, it may be nonexclusive, thereby giving our competitors access to the same technologies licensed to us.</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which licenses may not be available on commercially reasonable terms, or at all. In that event, we would be unable to further develop and commercialize our current or future product candidates or technologies, which could harm our business significantly.</w:t>
      </w:r>
    </w:p>
    <w:p>
      <w:pPr>
        <w:spacing w:after="0" w:line="73"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and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QuEEN platform, or other technologies, are rightfully owned by their former or concurrent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w:t>
      </w:r>
    </w:p>
    <w:p>
      <w:pPr>
        <w:spacing w:after="0" w:line="274"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We will not obtain patent or other intellectual property protection for any current or future product candidates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We may not be able to pursue patent coverage of our current or future product candidates, the QuEEN platform, or other technologies in all countries. Filing, prosecuting and defending patents on current or future product candidates, the QuEEN 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20"/>
          </w:cols>
          <w:pgMar w:left="320" w:top="456"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9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2"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i w:val="1"/>
          <w:iCs w:val="1"/>
          <w:color w:val="auto"/>
        </w:rPr>
        <w:t>We may not obtain or grant licenses or sublicenses to intellectual property rights in all markets on equally or sufficiently favorable terms with third parties.</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20"/>
          </w:cols>
          <w:pgMar w:left="320" w:top="456"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competitors access to the same technologies licensed to us. Any of the foregoing could harm our competitive position, business, financial condition, results of operations and prospects.</w:t>
      </w:r>
    </w:p>
    <w:p>
      <w:pPr>
        <w:spacing w:after="0" w:line="8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7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dependent on patents, know-how and proprietary technology, both our own and in-licensed from collaborators. We may in the future enter into more license agreements with third parties under which we receive rights to intellectual property that are important to our business. Our commercial success depends upon our ability to develop, manufacture, market and sell our current or future product candidates and use our and our licensors’ proprietary technologies without infringing the proprietary rights of third parties. Our success will also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our current and future intellectual property license agreements may require us various development, regulatory and/or commercial diligence obligations, payment of milestones and/or royalties and other obligations. If we fail to comply with our obligations under these agreements (including as a result of COVID-19 impacting our operations), we use the licensed intellectual property in an unauthorized manner or we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456"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are subject to bankruptcy-related proceedings, the terms of the licenses may be materially modified, such as by rendering currently exclusive licenses non-exclusive, or it may give our licensors the right to terminate their respective agreement with us. Any termination of these licenses, or if the underlying patents fail to provide the intended exclusivity, could result in the loss of significant rights and could harm our ability to commercialize our current or future product candidates, the QuEEN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Disputes may also arise between us and our current or future licensors regarding intellectual property subject to a license agreement, including:</w:t>
      </w:r>
    </w:p>
    <w:p>
      <w:pPr>
        <w:spacing w:after="0" w:line="125" w:lineRule="exact"/>
        <w:rPr>
          <w:sz w:val="20"/>
          <w:szCs w:val="20"/>
          <w:color w:val="auto"/>
        </w:rPr>
      </w:pPr>
    </w:p>
    <w:p>
      <w:pPr>
        <w:ind w:left="220" w:hanging="213"/>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25" w:lineRule="exact"/>
        <w:rPr>
          <w:rFonts w:ascii="Arial" w:cs="Arial" w:eastAsia="Arial" w:hAnsi="Arial"/>
          <w:sz w:val="17"/>
          <w:szCs w:val="17"/>
          <w:color w:val="auto"/>
        </w:rPr>
      </w:pPr>
    </w:p>
    <w:p>
      <w:pPr>
        <w:ind w:left="220" w:right="240" w:hanging="213"/>
        <w:spacing w:after="0" w:line="263"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infringe, misappropriate or otherwise violate intellectual property rights of the licensor that is not subject to the licensing agreement;</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right to transfer or assign the license;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priority of invention of any patented technology; and</w:t>
      </w:r>
    </w:p>
    <w:p>
      <w:pPr>
        <w:spacing w:after="0" w:line="125" w:lineRule="exact"/>
        <w:rPr>
          <w:rFonts w:ascii="Arial" w:cs="Arial" w:eastAsia="Arial" w:hAnsi="Arial"/>
          <w:sz w:val="17"/>
          <w:szCs w:val="17"/>
          <w:color w:val="auto"/>
        </w:rPr>
      </w:pPr>
    </w:p>
    <w:p>
      <w:pPr>
        <w:ind w:left="220" w:right="100" w:hanging="213"/>
        <w:spacing w:after="0" w:line="263"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current or future licensors and us and our partners.</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76"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61"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United States, the first to file a patent application was entitled to the patent. On March 16, 2013, under the Leahy-Smith America Invents Act, or the America Invents Act, enacted in September 2011, the United States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00"/>
          </w:cols>
          <w:pgMar w:left="320" w:top="456" w:right="3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00"/>
          </w:cols>
          <w:pgMar w:left="320" w:top="456"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guarantee commercial success of current or future product candidates or other business activities.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Numerous factors may limit any potential competitive advantage provided by our intellectual property rights.</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05" w:lineRule="exact"/>
        <w:rPr>
          <w:sz w:val="20"/>
          <w:szCs w:val="20"/>
          <w:color w:val="auto"/>
        </w:rPr>
      </w:pPr>
    </w:p>
    <w:p>
      <w:pPr>
        <w:ind w:left="220" w:hanging="213"/>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patent applications that we own or may in-license may not lead to issued patents;</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patents, should they issue, that we may own or in-license, may not provide us with any competitive advantages, may be narrowed in scope, or may be challenged and held invalid or unenforceable;</w:t>
      </w:r>
    </w:p>
    <w:p>
      <w:pPr>
        <w:spacing w:after="0" w:line="93" w:lineRule="exact"/>
        <w:rPr>
          <w:rFonts w:ascii="Arial" w:cs="Arial" w:eastAsia="Arial" w:hAnsi="Arial"/>
          <w:sz w:val="17"/>
          <w:szCs w:val="17"/>
          <w:color w:val="auto"/>
        </w:rPr>
      </w:pPr>
    </w:p>
    <w:p>
      <w:pPr>
        <w:jc w:val="both"/>
        <w:ind w:left="220" w:right="60" w:hanging="213"/>
        <w:spacing w:after="0" w:line="254"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 parties may compete with us in jurisdictions where we do not pursue and obtain patent protection;</w:t>
      </w:r>
    </w:p>
    <w:p>
      <w:pPr>
        <w:spacing w:after="0" w:line="125"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make the inventions covered by a patent application that we own or may in-license;</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25" w:lineRule="exact"/>
        <w:rPr>
          <w:rFonts w:ascii="Arial" w:cs="Arial" w:eastAsia="Arial" w:hAnsi="Arial"/>
          <w:sz w:val="17"/>
          <w:szCs w:val="17"/>
          <w:color w:val="auto"/>
        </w:rPr>
      </w:pPr>
    </w:p>
    <w:p>
      <w:pPr>
        <w:ind w:left="220" w:right="120" w:hanging="213"/>
        <w:spacing w:after="0" w:line="263"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without infringing, misappropriating or otherwise violating our intellectual property rights;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00"/>
          </w:cols>
          <w:pgMar w:left="320" w:top="456"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120" w:hanging="213"/>
        <w:spacing w:after="0" w:line="254" w:lineRule="auto"/>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be able to obtain and/or maintain necessary licenses on reasonable terms or at all;</w:t>
      </w:r>
    </w:p>
    <w:p>
      <w:pPr>
        <w:spacing w:after="0" w:line="125" w:lineRule="exact"/>
        <w:rPr>
          <w:rFonts w:ascii="Arial" w:cs="Arial" w:eastAsia="Arial" w:hAnsi="Arial"/>
          <w:sz w:val="17"/>
          <w:szCs w:val="17"/>
          <w:color w:val="auto"/>
        </w:rPr>
      </w:pPr>
    </w:p>
    <w:p>
      <w:pPr>
        <w:ind w:left="220" w:right="320" w:hanging="213"/>
        <w:spacing w:after="0" w:line="263" w:lineRule="auto"/>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third parties may assert an ownership interest in our intellectual property and, if successful, such disputes may preclude us from exercising exclusive rights, or any rights at all, over that intellectual property;</w:t>
      </w:r>
    </w:p>
    <w:p>
      <w:pPr>
        <w:spacing w:after="0" w:line="93" w:lineRule="exact"/>
        <w:rPr>
          <w:rFonts w:ascii="Arial" w:cs="Arial" w:eastAsia="Arial" w:hAnsi="Arial"/>
          <w:sz w:val="17"/>
          <w:szCs w:val="17"/>
          <w:color w:val="auto"/>
        </w:rPr>
      </w:pPr>
    </w:p>
    <w:p>
      <w:pPr>
        <w:ind w:left="220" w:right="380" w:hanging="213"/>
        <w:spacing w:after="0" w:line="263" w:lineRule="auto"/>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trade secrets or know-how;</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be able to maintain the confidentiality of our trade secrets or other proprietary information;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develop or in-license additional proprietary technologies that are patentable;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employee matters, managing growth and other risks related to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3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Markus Warmuth, M.D., our Chief Executive Officer, Owen Wallace, Ph.D., our Chief Scientific Officer, John Castle, Ph.D., our Chief Data Scientist, Sharon Townson, our Chief Technology Officer, Filip Janku, our Chief Medical Officer and Ajim Tamboli, our Chief Financial Officer, as well as the other principal members of our management and scientific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In addition, in order to induce employees to continue their employment with us, we have provided equity awards that vest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180"/>
          </w:cols>
          <w:pgMar w:left="320" w:top="456"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over time and the value to our employees of such equity awards may be significantly affected by movements in our stock price that are beyond our control and may be at any time insufficient to counteract more lucrative offers from other companies. If we are unable to continue to attract and retain high quality personnel, the rate and success at which we can develop and commercialize product candidates will be limited.</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i w:val="1"/>
          <w:iCs w:val="1"/>
          <w:color w:val="auto"/>
        </w:rPr>
        <w:t>We will need to develop and expand our company, and we may encounter difficulties in managing this development and expansion, which could disrupt our operations.</w:t>
      </w:r>
    </w:p>
    <w:p>
      <w:pPr>
        <w:spacing w:after="0" w:line="6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of April 19, 2021, we had 60 full-time employees. We also contract for the services of 3.2 full-time equivalent employees through our agreement with Ridgeline. We intend to hire new employees to assume activities and responsibilities from Ridgeline personnel and conduct our research and development activities in the future. Any delay in hiring such new employees or disruption in the transition of activities and responsibilities from Ridgeline personnel could result in delays in our research and development activities and would harm our business. In connection with becoming a public company, we expect to increase our number of employees and the scope of our operations, including the areas of data sciences, platform biology and chemistry, drug discovery, clinical development, finance, business development, and legal.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279"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We have offices in multiple countries and we may further expand in the future, which presents challenges in managing our business operations.</w:t>
      </w:r>
    </w:p>
    <w:p>
      <w:pPr>
        <w:spacing w:after="0" w:line="6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are headquartered in Boston, Massachusetts and have offices in Basel, Switzerland.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102" w:lineRule="exact"/>
        <w:rPr>
          <w:sz w:val="20"/>
          <w:szCs w:val="20"/>
          <w:color w:val="auto"/>
        </w:rPr>
      </w:pPr>
    </w:p>
    <w:p>
      <w:pPr>
        <w:ind w:left="220" w:hanging="213"/>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increased complexity and costs inherent in managing international operations;</w:t>
      </w:r>
    </w:p>
    <w:p>
      <w:pPr>
        <w:spacing w:after="0" w:line="125" w:lineRule="exact"/>
        <w:rPr>
          <w:rFonts w:ascii="Arial" w:cs="Arial" w:eastAsia="Arial" w:hAnsi="Arial"/>
          <w:sz w:val="17"/>
          <w:szCs w:val="17"/>
          <w:color w:val="auto"/>
        </w:rPr>
      </w:pPr>
    </w:p>
    <w:p>
      <w:pPr>
        <w:ind w:left="220" w:right="460" w:hanging="213"/>
        <w:spacing w:after="0" w:line="263" w:lineRule="auto"/>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diverse regulatory, financial and legal requirements, and any future changes to such requirements, in one or more countries where we are located or do business;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country-specific tax, labor and employment laws and regulations;</w:t>
      </w:r>
    </w:p>
    <w:p>
      <w:pPr>
        <w:spacing w:after="0" w:line="125" w:lineRule="exact"/>
        <w:rPr>
          <w:rFonts w:ascii="Arial" w:cs="Arial" w:eastAsia="Arial" w:hAnsi="Arial"/>
          <w:sz w:val="17"/>
          <w:szCs w:val="17"/>
          <w:color w:val="auto"/>
        </w:rPr>
      </w:pPr>
    </w:p>
    <w:p>
      <w:pPr>
        <w:ind w:left="220" w:right="460" w:hanging="213"/>
        <w:spacing w:after="0" w:line="263" w:lineRule="auto"/>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challenges inherent in efficiently managing employees in diverse geographies, including the need to adapt systems, policies, benefits and compliance programs to differing labor and other regulations;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liabilities for activities of, or related to, our international operations or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currency rates;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456"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tab/>
        <w:t>regulations relating to data security and the unauthorized use of, or access to, commercial and personal information.</w:t>
      </w:r>
    </w:p>
    <w:p>
      <w:pPr>
        <w:spacing w:after="0" w:line="11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continue to expand our operations, and our corporate structure and tax structure is complex. In connection with our current and future potential partnerships, we are actively engaged in developing and applying technologies and intellectual property with a view toward commercialization of products globally, often with commercialization partners. In connection with those activities, we already have and will likely continue to engage in complex cross-border and global transactions involving our technology, intellectual property and other assets, between us and other entities such as partners and licensees, and between us and our subsidiaries. Such cross-border and global arrangements are both difficult to manage and can potentially give rise to complexities in areas such as tax treatment, particularly since we are subject to multiple tax regimes and different tax authorities can also take different views from each other, even as regards the same cross-border transaction or arrangement. There can be no assurance that we will effectively manage this increased complexity without experiencing operating inefficiencies, control deficiencies or tax liabilities.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274"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76"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 widely reported, global credit and financial markets have experienced extreme volatility and disruptions in the past several years, declines in consumer confidence, declines in economic growth, increases in unemployment rates and uncertainty about economic stability, including most recently in connection with the COVID-19 pandemic. There can be no assurance that further volatility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continue to be volatile it may make any necessary debt or equity financing more difficult, more costly, and more dilutive. Furthermore, our stock price may decline due in part to the volatility of the stock market and a general economic downturn.</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20"/>
          </w:cols>
          <w:pgMar w:left="320" w:top="456"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current service providers, manufacturers and other partners may not survive these difficult economic times, which could directly affect our ability to attain our operating goals on schedule and on budget.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3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74"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6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future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6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456"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material adverse effect on our results of operations and financial condition. Any failure to prevent or mitigate security breaches or improper access to, use of, or disclosure of our clinical data or patients’ personal data could result in significant liability under state (</w:t>
      </w:r>
      <w:r>
        <w:rPr>
          <w:rFonts w:ascii="Arial" w:cs="Arial" w:eastAsia="Arial" w:hAnsi="Arial"/>
          <w:sz w:val="17"/>
          <w:szCs w:val="17"/>
          <w:i w:val="1"/>
          <w:iCs w:val="1"/>
          <w:color w:val="auto"/>
        </w:rPr>
        <w:t>e.g.</w:t>
      </w:r>
      <w:r>
        <w:rPr>
          <w:rFonts w:ascii="Arial" w:cs="Arial" w:eastAsia="Arial" w:hAnsi="Arial"/>
          <w:sz w:val="17"/>
          <w:szCs w:val="17"/>
          <w:color w:val="auto"/>
        </w:rPr>
        <w:t>, state breach notification laws), federal (</w:t>
      </w:r>
      <w:r>
        <w:rPr>
          <w:rFonts w:ascii="Arial" w:cs="Arial" w:eastAsia="Arial" w:hAnsi="Arial"/>
          <w:sz w:val="17"/>
          <w:szCs w:val="17"/>
          <w:i w:val="1"/>
          <w:iCs w:val="1"/>
          <w:color w:val="auto"/>
        </w:rPr>
        <w:t>e.g.</w:t>
      </w:r>
      <w:r>
        <w:rPr>
          <w:rFonts w:ascii="Arial" w:cs="Arial" w:eastAsia="Arial" w:hAnsi="Arial"/>
          <w:sz w:val="17"/>
          <w:szCs w:val="17"/>
          <w:color w:val="auto"/>
        </w:rPr>
        <w:t>, HIPAA, as amended by HITECH), and international law (</w:t>
      </w:r>
      <w:r>
        <w:rPr>
          <w:rFonts w:ascii="Arial" w:cs="Arial" w:eastAsia="Arial" w:hAnsi="Arial"/>
          <w:sz w:val="17"/>
          <w:szCs w:val="17"/>
          <w:i w:val="1"/>
          <w:iCs w:val="1"/>
          <w:color w:val="auto"/>
        </w:rPr>
        <w:t>e.g.</w:t>
      </w:r>
      <w:r>
        <w:rPr>
          <w:rFonts w:ascii="Arial" w:cs="Arial" w:eastAsia="Arial" w:hAnsi="Arial"/>
          <w:sz w:val="17"/>
          <w:szCs w:val="17"/>
          <w:color w:val="auto"/>
        </w:rPr>
        <w:t>, the EU General Data Protection Regulation, or GDPR) and may cause a material adverse impact to our reputation, affect our ability to use collected data, conduct new studies and potentially disrupt our business.</w:t>
      </w:r>
    </w:p>
    <w:p>
      <w:pPr>
        <w:spacing w:after="0" w:line="2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72"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6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20"/>
          </w:cols>
          <w:pgMar w:left="320" w:top="456"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9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subject to certain limitations.</w:t>
      </w:r>
    </w:p>
    <w:p>
      <w:pPr>
        <w:spacing w:after="0" w:line="6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As of December 31, 2020, we had federal and state net operating loss carryforwards of $2.8 million and $2.8 million, respectively, which begin to expire in various amounts in 2039 (other than federal net operating loss carryforwards arising in taxable years beginning after December 31, 2019, which are not subject to expiration). As of December 31, 2020, we had foreign net operating loss carryforwards of $38.5 million that expire in 2026. As of December 31, 2020, we also had federal and state research and development tax credit carryforwards of $0.3 million and</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$0.1 million, respectively, which begin to expire in 2034.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existing NOLs or credits may be subject to limitations arising from previous ownership changes, and if we undergo an ownership change in connection with or after this offering,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9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Furthermore, our ability to utilize our NOLs or credits is conditioned upon our attaining profitability and generating U. S. federal and state taxable income. As described above under “Risk factors—Risks related to our financial position and capital needs,” we have incurred significant net losses since our inception and anticipate that we will continue to incur significant losses for the foreseeable future; and therefore, we do not know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20"/>
          </w:cols>
          <w:pgMar w:left="320" w:top="456"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whether or when we will generate the U.S. federal or state taxable income necessary to utilize our NOL or credit carryforwards that are subject to limitation by Sections 382 and 383 of the Code.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may adversely affect us or our investors.</w:t>
      </w:r>
    </w:p>
    <w:p>
      <w:pPr>
        <w:spacing w:after="0" w:line="13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9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It cannot be predicted whether, when, in what form, or with what effective dates, new tax laws may be enacted, or regulations and rulings may be enacted,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common stock and this offering</w:t>
      </w:r>
    </w:p>
    <w:p>
      <w:pPr>
        <w:spacing w:after="0" w:line="12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6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05" w:lineRule="exact"/>
        <w:rPr>
          <w:sz w:val="20"/>
          <w:szCs w:val="20"/>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competitive drugs or technologies;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current or future product candidates or those of our competitors;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unanticipated safety concerns related to the use of any of our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level of expenses related to any of our current or future product candidates or clinical development programs;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current or future product candidates or drugs;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product liability claims or other litigation;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20"/>
          </w:cols>
          <w:pgMar w:left="320" w:top="456"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stock market in general, and the Nasdaq Global Market and biopharmaceutical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278"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6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Prior to this offering, there has been no public market for shares of our common stock. Although we intend to apply to list our common stock on The Nasdaq Global Market, an active trading market for our common stock may never develop or be sustained following this offering. The initial public offering price of our common stock was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You will suffer immediate and substantial dilution in the net tangible book value of the common stock you purchase in this offering. Based on the</w:t>
      </w:r>
    </w:p>
    <w:p>
      <w:pPr>
        <w:spacing w:after="0" w:line="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assumed initial public offering price of $ per share, the midpoint of the range set forth on the cover of this prospectus, purchasers of common stock in this offering will experience immediate dilution of $ per share in net tangible book value of the common stock. In addition, investors purchasing common stock in this offering will contribute % of the total amount invested by stockholders since inception but will only own % of the shares of common stock outstanding. In the past, we issued options and other securities to acquire common stock at prices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significantly below the initial public offering price. To the extent these outstanding securities are ultimately exercised, investors purchasing common stock in this offering will sustain further dilution. See the section of this prospectus entitled “Dilution” for a more detailed description of the dilution to new investors in the offering.</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current or future product candidates.</w:t>
      </w:r>
    </w:p>
    <w:p>
      <w:pPr>
        <w:spacing w:after="0" w:line="6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456"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340"/>
        <w:spacing w:after="0" w:line="254" w:lineRule="auto"/>
        <w:rPr>
          <w:sz w:val="20"/>
          <w:szCs w:val="20"/>
          <w:color w:val="auto"/>
        </w:rPr>
      </w:pPr>
      <w:r>
        <w:rPr>
          <w:rFonts w:ascii="Arial" w:cs="Arial" w:eastAsia="Arial" w:hAnsi="Arial"/>
          <w:sz w:val="17"/>
          <w:szCs w:val="17"/>
          <w:color w:val="auto"/>
        </w:rPr>
        <w:t>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88"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discovery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6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In the event we do have research analyst coverage, we will not have any control over the analysts or the content and opinions included in their reports.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successfully remediate these material weaknesses in our internal control over financial reporting, it could have an adverse effect on our company.</w:t>
      </w:r>
    </w:p>
    <w:p>
      <w:pPr>
        <w:spacing w:after="0" w:line="6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have identified material weaknesses in our internal control over financial reporting for the years ended December 31, 2020 and 2019. The material weaknesses we identified were (i) we did not maintain an effective control environment as we did not maintain a sufficient complement of accounting and financial reporting resources commensurate with our financial reporting requirements, (ii) we did not maintain an effective risk assessment process, which led to improperly designed controls, (iii) we did not maintain appropriate control activities to support the appropriate segregation of duties over the review of account reconciliations and manual journal entries, and (iv) we did not document, thoroughly communicate and monitor controls processes and relevant accounting policies and procedures. These material weaknesses could result in a misstatement of account balances or disclosures that would result in a material misstatement to the annual or interim financial statements that would not be prevented or detected. Had we performed an evaluation of our internal control over financial reporting in accordance with</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Section 404, additional control deficiencies may have been identified by management, and those control deficiencies could have also represented one or more material weaknesses.</w:t>
      </w:r>
    </w:p>
    <w:p>
      <w:pPr>
        <w:spacing w:after="0" w:line="80"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 an effort to remediate the material weaknesses, we have retained an accounting consulting firm to provide additional depth and breadth in our technical accounting and financial reporting capabilities. We have also hired additional qualified accounting and finance personnel to provide needed levels of expertise in our internal accounting function and maintain appropriate segregation of duties. We intend to complete an appropriate risk assessment to identify relevant risks and specify needed objectives. We intend to formalize and communicate our policies and procedures surrounding our financial close, financial reporting and other accounting processes.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20"/>
          </w:cols>
          <w:pgMar w:left="320" w:top="456"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intend to further develop and document necessary policies and procedures regarding our internal control over financial reporting, such that we are able to perform a Section 404 analysis of our internal control over financial reporting when and as required following the completion of this offering. We cannot assure you that these measures will significantly improve or remediate the material weaknesses described above. We also cannot assure you that we have identified all or that we will not have additional material weaknesses in the future. Accordingly, a material weakness may still exist when we report on the effectiveness of our internal control over financial reporting for purposes of our attestation when required by reporting requirements under the Exchange Act or Section 404 after this offering. Further, while we remain an emerging growth company, we will not be required to include an attestation report on internal control over financial reporting issued by our independent registered public accounting firm.</w:t>
      </w:r>
    </w:p>
    <w:p>
      <w:pPr>
        <w:spacing w:after="0" w:line="29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will represent beneficial ownership, in the aggregate, of</w:t>
      </w:r>
    </w:p>
    <w:p>
      <w:pPr>
        <w:spacing w:after="0" w:line="248" w:lineRule="auto"/>
        <w:rPr>
          <w:sz w:val="20"/>
          <w:szCs w:val="20"/>
          <w:color w:val="auto"/>
        </w:rPr>
      </w:pPr>
      <w:r>
        <w:rPr>
          <w:rFonts w:ascii="Arial" w:cs="Arial" w:eastAsia="Arial" w:hAnsi="Arial"/>
          <w:sz w:val="17"/>
          <w:szCs w:val="17"/>
          <w:color w:val="auto"/>
        </w:rPr>
        <w:t>approximately % of our outstanding common stock, assuming no exercise of the underwriters’ option to acquire additional common stock in this offering and assuming we issue the number of shares of common stock as set forth on the cover page of this prospectus. In addition, six of our directors, including our chief executive officer, are affiliated with our principal stockholders.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The concentration of voting power among these stockholders may have an adverse effect on the price of our common stock. In addition, this concentration of ownership might adversely affect the market price of our common stock by:</w:t>
      </w:r>
    </w:p>
    <w:p>
      <w:pPr>
        <w:spacing w:after="0" w:line="108" w:lineRule="exact"/>
        <w:rPr>
          <w:sz w:val="20"/>
          <w:szCs w:val="20"/>
          <w:color w:val="auto"/>
        </w:rPr>
      </w:pPr>
    </w:p>
    <w:p>
      <w:pPr>
        <w:ind w:left="220" w:hanging="213"/>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See the section of this prospectus titled “Principal stockholders” for more information regarding the ownership of our outstanding common stock by our executive officers, directors, principal stockholders and their affiliates.</w:t>
      </w:r>
    </w:p>
    <w:p>
      <w:pPr>
        <w:spacing w:after="0" w:line="60"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6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requirements of the Securities Exchange Act of 1934, as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20"/>
          </w:cols>
          <w:pgMar w:left="320" w:top="456"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amended, or the Exchange Act, which will require, among other things, that we file with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this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7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Our fourth amended and restated certificate of incorporation, which will become effective immediately prior to the closing of this offering, and the effectiveness of our second amended and restated bylaws, which will become effective upon the effectiveness of the registration statement of which this prospectus is a part, will contain provisions that could delay or prevent a change of control of our company or changes in our board of directors that our stockholders might consider favorable. Some of these provisions include:</w:t>
      </w:r>
    </w:p>
    <w:p>
      <w:pPr>
        <w:spacing w:after="0" w:line="105" w:lineRule="exact"/>
        <w:rPr>
          <w:sz w:val="20"/>
          <w:szCs w:val="20"/>
          <w:color w:val="auto"/>
        </w:rPr>
      </w:pPr>
    </w:p>
    <w:p>
      <w:pPr>
        <w:ind w:left="220" w:right="20" w:hanging="213"/>
        <w:spacing w:after="0" w:line="263" w:lineRule="auto"/>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93" w:lineRule="exact"/>
        <w:rPr>
          <w:rFonts w:ascii="Arial" w:cs="Arial" w:eastAsia="Arial" w:hAnsi="Arial"/>
          <w:sz w:val="17"/>
          <w:szCs w:val="17"/>
          <w:color w:val="auto"/>
        </w:rPr>
      </w:pPr>
    </w:p>
    <w:p>
      <w:pPr>
        <w:ind w:left="220" w:right="980" w:hanging="213"/>
        <w:spacing w:after="0" w:line="263" w:lineRule="auto"/>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93" w:lineRule="exact"/>
        <w:rPr>
          <w:rFonts w:ascii="Arial" w:cs="Arial" w:eastAsia="Arial" w:hAnsi="Arial"/>
          <w:sz w:val="17"/>
          <w:szCs w:val="17"/>
          <w:color w:val="auto"/>
        </w:rPr>
      </w:pPr>
    </w:p>
    <w:p>
      <w:pPr>
        <w:ind w:left="220" w:right="320" w:hanging="213"/>
        <w:spacing w:after="0" w:line="263" w:lineRule="auto"/>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20"/>
          </w:cols>
          <w:pgMar w:left="320" w:top="456"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20" w:hanging="213"/>
        <w:spacing w:after="0" w:line="254"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1" w:lineRule="exact"/>
        <w:rPr>
          <w:rFonts w:ascii="Arial" w:cs="Arial" w:eastAsia="Arial" w:hAnsi="Arial"/>
          <w:sz w:val="17"/>
          <w:szCs w:val="17"/>
          <w:color w:val="auto"/>
        </w:rPr>
      </w:pPr>
    </w:p>
    <w:p>
      <w:pPr>
        <w:ind w:left="220" w:right="40" w:hanging="213"/>
        <w:spacing w:after="0" w:line="263"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93" w:lineRule="exact"/>
        <w:rPr>
          <w:rFonts w:ascii="Arial" w:cs="Arial" w:eastAsia="Arial" w:hAnsi="Arial"/>
          <w:sz w:val="17"/>
          <w:szCs w:val="17"/>
          <w:color w:val="auto"/>
        </w:rPr>
      </w:pPr>
    </w:p>
    <w:p>
      <w:pPr>
        <w:ind w:left="220" w:right="140" w:hanging="213"/>
        <w:spacing w:after="0" w:line="263"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effectiveness of our registration statement designate specific courts as the exclusive forum for certain litigation that may be initiated by our stockholders, which could limit stockholders’ ability to obtain a favorable judicial forum for disputes with us.</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Pursuant to our amended and restated bylaws that will become effective upon the effectiveness of our registration statement,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or our amended and restated bylaws; or (iv) any action asserting a claim governed by the internal affairs doctrine, or the Delaware Forum Provision. The Delaware Forum Provision will not apply to any causes of action arising under the Securities Act of 1933, as amended, or the Securities Act or the Securities Exchange Act of 1934, as amended,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0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20"/>
          </w:cols>
          <w:pgMar w:left="320" w:top="456"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3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w:t>
      </w:r>
    </w:p>
    <w:p>
      <w:pPr>
        <w:ind w:right="20"/>
        <w:spacing w:after="0" w:line="246" w:lineRule="auto"/>
        <w:rPr>
          <w:sz w:val="20"/>
          <w:szCs w:val="20"/>
          <w:color w:val="auto"/>
        </w:rPr>
      </w:pPr>
      <w:r>
        <w:rPr>
          <w:rFonts w:ascii="Arial" w:cs="Arial" w:eastAsia="Arial" w:hAnsi="Arial"/>
          <w:sz w:val="17"/>
          <w:szCs w:val="17"/>
          <w:color w:val="auto"/>
        </w:rPr>
        <w:t>of shares of common stock, on an as-converted basis, outstanding as of , upon the completion of this offering, we will have outstanding a total of shares of common stock, assuming no exercise of the underwriters’ option to purchase an additional shares. Of these shares, as of the date of this prospectus, approximately shares of our common stock, plus any shares sold upon exercise of the</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underwriters’ option to 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based upon the number of shares of common stock, on an as-converted basis, outstanding as of , up to an additional shares of common stock will be eligible for sale in the public market, approximately % of which shares are held by directors, executive officers and other affiliates and will be subject to certain limitations of Rule 144 under the Securities Act.</w:t>
      </w:r>
    </w:p>
    <w:p>
      <w:pPr>
        <w:spacing w:after="0" w:line="88" w:lineRule="exact"/>
        <w:rPr>
          <w:sz w:val="20"/>
          <w:szCs w:val="20"/>
          <w:color w:val="auto"/>
        </w:rPr>
      </w:pPr>
    </w:p>
    <w:p>
      <w:pPr>
        <w:spacing w:after="0"/>
        <w:tabs>
          <w:tab w:leader="none" w:pos="3260" w:val="left"/>
        </w:tabs>
        <w:rPr>
          <w:sz w:val="20"/>
          <w:szCs w:val="20"/>
          <w:color w:val="auto"/>
        </w:rPr>
      </w:pPr>
      <w:r>
        <w:rPr>
          <w:rFonts w:ascii="Arial" w:cs="Arial" w:eastAsia="Arial" w:hAnsi="Arial"/>
          <w:sz w:val="17"/>
          <w:szCs w:val="17"/>
          <w:color w:val="auto"/>
        </w:rPr>
        <w:t>Upon completion of this offering,</w:t>
      </w:r>
      <w:r>
        <w:rPr>
          <w:sz w:val="20"/>
          <w:szCs w:val="20"/>
          <w:color w:val="auto"/>
        </w:rPr>
        <w:tab/>
      </w:r>
      <w:r>
        <w:rPr>
          <w:rFonts w:ascii="Arial" w:cs="Arial" w:eastAsia="Arial" w:hAnsi="Arial"/>
          <w:sz w:val="17"/>
          <w:szCs w:val="17"/>
          <w:color w:val="auto"/>
        </w:rPr>
        <w:t>shares of common stock that are either subject to outstanding options, reserved for future issuance</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8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After this offering, the holders of approximately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6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will have considerable discretion in the application of the net proceeds of this offering and the concurrent private placements, including for any of the purposes described in the section of this prospectus entitled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and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20"/>
          </w:cols>
          <w:pgMar w:left="320" w:top="456"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concurrent private placements. We may use the net proceeds for purposes that do not yield a significant return or any return at all for our stockholders. In addition, pending their use, we may invest the net proceeds from this offering and the concurrent private placements in a manner that does not produce income or that loses value.</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w:t>
      </w:r>
    </w:p>
    <w:p>
      <w:pPr>
        <w:spacing w:after="0" w:line="9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20"/>
          </w:cols>
          <w:pgMar w:left="320" w:top="456"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(i)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94"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61"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After the completion of this offering, we may be at an increased risk of securities class action litigation.</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72"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20"/>
          </w:cols>
          <w:pgMar w:left="320" w:top="456"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105" w:lineRule="exact"/>
        <w:rPr>
          <w:sz w:val="20"/>
          <w:szCs w:val="20"/>
          <w:color w:val="auto"/>
        </w:rPr>
      </w:pPr>
    </w:p>
    <w:p>
      <w:pPr>
        <w:ind w:left="220" w:right="6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initiation, timing, progress, results, cost and success of our current and future research and development programs and preclinical studies, including our expectations for our GSPT1-directed MGD molecules;</w:t>
      </w:r>
    </w:p>
    <w:p>
      <w:pPr>
        <w:spacing w:after="0" w:line="93" w:lineRule="exact"/>
        <w:rPr>
          <w:rFonts w:ascii="Arial" w:cs="Arial" w:eastAsia="Arial" w:hAnsi="Arial"/>
          <w:sz w:val="17"/>
          <w:szCs w:val="17"/>
          <w:color w:val="auto"/>
        </w:rPr>
      </w:pPr>
    </w:p>
    <w:p>
      <w:pPr>
        <w:ind w:left="220" w:right="10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initiation, timing, progress, results, cost and success of our future clinical trials, including statements regarding the period during which the results of the clinical trials will become available;</w:t>
      </w:r>
    </w:p>
    <w:p>
      <w:pPr>
        <w:spacing w:after="0" w:line="93" w:lineRule="exact"/>
        <w:rPr>
          <w:rFonts w:ascii="Arial" w:cs="Arial" w:eastAsia="Arial" w:hAnsi="Arial"/>
          <w:sz w:val="17"/>
          <w:szCs w:val="17"/>
          <w:color w:val="auto"/>
        </w:rPr>
      </w:pPr>
    </w:p>
    <w:p>
      <w:pPr>
        <w:ind w:left="220" w:right="28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continue to develop our proprietary protein degradation platform called QuEEN and to expand our proteomics and translational medicine capabilities;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potential advantages of our platform technology and product candidates;</w:t>
      </w:r>
    </w:p>
    <w:p>
      <w:pPr>
        <w:spacing w:after="0" w:line="125" w:lineRule="exact"/>
        <w:rPr>
          <w:rFonts w:ascii="Arial" w:cs="Arial" w:eastAsia="Arial" w:hAnsi="Arial"/>
          <w:sz w:val="17"/>
          <w:szCs w:val="17"/>
          <w:color w:val="auto"/>
        </w:rPr>
      </w:pPr>
    </w:p>
    <w:p>
      <w:pPr>
        <w:ind w:left="220" w:right="98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extent to which our scientific approach and platform technology may target proteins that have been considered undruggable or inadequately drugged;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plans to submit an IND application to the FDA for our lead GSPT1-directed MGD product candidate and future product candidates;</w:t>
      </w:r>
    </w:p>
    <w:p>
      <w:pPr>
        <w:spacing w:after="0" w:line="125" w:lineRule="exact"/>
        <w:rPr>
          <w:rFonts w:ascii="Arial" w:cs="Arial" w:eastAsia="Arial" w:hAnsi="Arial"/>
          <w:sz w:val="17"/>
          <w:szCs w:val="17"/>
          <w:color w:val="auto"/>
        </w:rPr>
      </w:pPr>
    </w:p>
    <w:p>
      <w:pPr>
        <w:ind w:left="220" w:right="8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potential benefits of strategic collaborations and our ability to enter into strategic collaborations with third parties who have the expertise to enable us to further develop our biological targets, product candidates and platform technology;</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product candidates;</w:t>
      </w:r>
    </w:p>
    <w:p>
      <w:pPr>
        <w:spacing w:after="0" w:line="125" w:lineRule="exact"/>
        <w:rPr>
          <w:rFonts w:ascii="Arial" w:cs="Arial" w:eastAsia="Arial" w:hAnsi="Arial"/>
          <w:sz w:val="17"/>
          <w:szCs w:val="17"/>
          <w:color w:val="auto"/>
        </w:rPr>
      </w:pPr>
    </w:p>
    <w:p>
      <w:pPr>
        <w:ind w:left="220" w:right="480" w:hanging="213"/>
        <w:spacing w:after="0" w:line="263"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manufacture, including through third-party manufacturers, our product candidates for preclinical use, future clinical trials and commercial use, if approved;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commercialize our product candidates, including our ability to establish sales, marketing and distribution capabilities;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rights covering our current and future product candidates and technologies;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product candidates, and technology;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estimates of our future expenses, revenues, capital requirements, and our needs for additional financing;</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obtain funding for our operations necessary to complete further development and commercialization of our product candidates;</w:t>
      </w:r>
    </w:p>
    <w:p>
      <w:pPr>
        <w:spacing w:after="0" w:line="152"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78</w:t>
      </w:r>
    </w:p>
    <w:p>
      <w:pPr>
        <w:sectPr>
          <w:pgSz w:w="11900" w:h="16838" w:orient="portrait"/>
          <w:cols w:equalWidth="0" w:num="1">
            <w:col w:w="11200"/>
          </w:cols>
          <w:pgMar w:left="320" w:top="456"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developments in laws and regulations in the United States and foreign countries;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use of the proceeds from this offering;</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impact of the COVID-19 pandemic on our business and operations;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section entitled “Risk factors.”</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9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9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160"/>
          </w:cols>
          <w:pgMar w:left="320" w:top="456"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7"/>
          <w:szCs w:val="17"/>
          <w:color w:val="auto"/>
        </w:rPr>
        <w:t>We estimate that the net proceeds to us from the sale of</w:t>
      </w:r>
      <w:r>
        <w:rPr>
          <w:sz w:val="20"/>
          <w:szCs w:val="20"/>
          <w:color w:val="auto"/>
        </w:rPr>
        <w:tab/>
      </w:r>
      <w:r>
        <w:rPr>
          <w:rFonts w:ascii="Arial" w:cs="Arial" w:eastAsia="Arial" w:hAnsi="Arial"/>
          <w:sz w:val="17"/>
          <w:szCs w:val="17"/>
          <w:color w:val="auto"/>
        </w:rPr>
        <w:t>shares of our common stock in this offering will be approximately</w:t>
      </w:r>
    </w:p>
    <w:p>
      <w:pPr>
        <w:spacing w:after="0" w:line="5" w:lineRule="exact"/>
        <w:rPr>
          <w:sz w:val="20"/>
          <w:szCs w:val="20"/>
          <w:color w:val="auto"/>
        </w:rPr>
      </w:pPr>
    </w:p>
    <w:p>
      <w:pPr>
        <w:spacing w:after="0"/>
        <w:tabs>
          <w:tab w:leader="none" w:pos="860" w:val="left"/>
          <w:tab w:leader="none" w:pos="3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million, or approximately $</w:t>
      </w:r>
      <w:r>
        <w:rPr>
          <w:sz w:val="20"/>
          <w:szCs w:val="20"/>
          <w:color w:val="auto"/>
        </w:rPr>
        <w:tab/>
      </w:r>
      <w:r>
        <w:rPr>
          <w:rFonts w:ascii="Arial" w:cs="Arial" w:eastAsia="Arial" w:hAnsi="Arial"/>
          <w:sz w:val="17"/>
          <w:szCs w:val="17"/>
          <w:color w:val="auto"/>
        </w:rPr>
        <w:t>if the underwriters exercise in full their option to purchase additional shares, assuming an initial</w:t>
      </w:r>
    </w:p>
    <w:p>
      <w:pPr>
        <w:spacing w:after="0" w:line="5"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public offering price of $</w:t>
      </w:r>
      <w:r>
        <w:rPr>
          <w:sz w:val="20"/>
          <w:szCs w:val="20"/>
          <w:color w:val="auto"/>
        </w:rPr>
        <w:tab/>
      </w:r>
      <w:r>
        <w:rPr>
          <w:rFonts w:ascii="Arial" w:cs="Arial" w:eastAsia="Arial" w:hAnsi="Arial"/>
          <w:sz w:val="17"/>
          <w:szCs w:val="17"/>
          <w:color w:val="auto"/>
        </w:rPr>
        <w:t>per share, the midpoint of the price range set forth on the cover page of this prospectus, and after deducting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estimated underwriting discounts and commissions and estimated offering expenses payable by us.</w:t>
      </w:r>
    </w:p>
    <w:p>
      <w:pPr>
        <w:spacing w:after="0" w:line="11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the net proceeds to us from this offering by $ million, assuming the number of</w:t>
      </w:r>
    </w:p>
    <w:p>
      <w:pPr>
        <w:spacing w:after="0" w:line="246" w:lineRule="auto"/>
        <w:rPr>
          <w:sz w:val="20"/>
          <w:szCs w:val="20"/>
          <w:color w:val="auto"/>
        </w:rPr>
      </w:pPr>
      <w:r>
        <w:rPr>
          <w:rFonts w:ascii="Arial" w:cs="Arial" w:eastAsia="Arial" w:hAnsi="Arial"/>
          <w:sz w:val="17"/>
          <w:szCs w:val="17"/>
          <w:color w:val="auto"/>
        </w:rPr>
        <w:t>shares offered by us, as set forth on the cover page of this prospectus, remains the same and after deducting estimated underwriting discounts and commissions and estimated offering expenses payable by us. An increase (decrease) of 1.0 million shares in the number of shares offered by</w:t>
      </w:r>
    </w:p>
    <w:p>
      <w:pPr>
        <w:ind w:right="100"/>
        <w:spacing w:after="0" w:line="250" w:lineRule="auto"/>
        <w:rPr>
          <w:sz w:val="20"/>
          <w:szCs w:val="20"/>
          <w:color w:val="auto"/>
        </w:rPr>
      </w:pPr>
      <w:r>
        <w:rPr>
          <w:rFonts w:ascii="Arial" w:cs="Arial" w:eastAsia="Arial" w:hAnsi="Arial"/>
          <w:sz w:val="17"/>
          <w:szCs w:val="17"/>
          <w:color w:val="auto"/>
        </w:rPr>
        <w:t>us, as set forth on the cover page of this prospectus, would increase (decrease) net proceeds to us from this offering by $ million, assuming no change in the assumed initial public offering price per share, the midpoint of the price range set forth on the cover page of this prospectus,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92"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As of March 31, 2021, we had cash and cash equivalents of $168.4 million. We currently intend to use the net proceeds from this offering, together with our existing cash and cash equivalents,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tcPr>
          <w:p>
            <w:pPr>
              <w:ind w:left="80"/>
              <w:spacing w:after="0"/>
              <w:rPr>
                <w:sz w:val="20"/>
                <w:szCs w:val="20"/>
                <w:color w:val="auto"/>
              </w:rPr>
            </w:pPr>
            <w:r>
              <w:rPr>
                <w:rFonts w:ascii="Arial" w:cs="Arial" w:eastAsia="Arial" w:hAnsi="Arial"/>
                <w:sz w:val="17"/>
                <w:szCs w:val="17"/>
                <w:color w:val="auto"/>
              </w:rPr>
              <w:t>approximately $</w:t>
            </w:r>
          </w:p>
        </w:tc>
        <w:tc>
          <w:tcPr>
            <w:tcW w:w="6000" w:type="dxa"/>
            <w:vAlign w:val="bottom"/>
          </w:tcPr>
          <w:p>
            <w:pPr>
              <w:ind w:left="380"/>
              <w:spacing w:after="0"/>
              <w:rPr>
                <w:sz w:val="20"/>
                <w:szCs w:val="20"/>
                <w:color w:val="auto"/>
              </w:rPr>
            </w:pPr>
            <w:r>
              <w:rPr>
                <w:rFonts w:ascii="Arial" w:cs="Arial" w:eastAsia="Arial" w:hAnsi="Arial"/>
                <w:sz w:val="17"/>
                <w:szCs w:val="17"/>
                <w:color w:val="auto"/>
              </w:rPr>
              <w:t>million to fund the development of our GSPT1 program through</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rPr>
              <w:t>;</w:t>
            </w:r>
          </w:p>
        </w:tc>
      </w:tr>
      <w:tr>
        <w:trPr>
          <w:trHeight w:val="321"/>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tcPr>
          <w:p>
            <w:pPr>
              <w:ind w:left="80"/>
              <w:spacing w:after="0"/>
              <w:rPr>
                <w:sz w:val="20"/>
                <w:szCs w:val="20"/>
                <w:color w:val="auto"/>
              </w:rPr>
            </w:pPr>
            <w:r>
              <w:rPr>
                <w:rFonts w:ascii="Arial" w:cs="Arial" w:eastAsia="Arial" w:hAnsi="Arial"/>
                <w:sz w:val="17"/>
                <w:szCs w:val="17"/>
                <w:color w:val="auto"/>
              </w:rPr>
              <w:t>approximately $</w:t>
            </w:r>
          </w:p>
        </w:tc>
        <w:tc>
          <w:tcPr>
            <w:tcW w:w="6000" w:type="dxa"/>
            <w:vAlign w:val="bottom"/>
          </w:tcPr>
          <w:p>
            <w:pPr>
              <w:ind w:left="380"/>
              <w:spacing w:after="0"/>
              <w:rPr>
                <w:sz w:val="20"/>
                <w:szCs w:val="20"/>
                <w:color w:val="auto"/>
              </w:rPr>
            </w:pPr>
            <w:r>
              <w:rPr>
                <w:rFonts w:ascii="Arial" w:cs="Arial" w:eastAsia="Arial" w:hAnsi="Arial"/>
                <w:sz w:val="17"/>
                <w:szCs w:val="17"/>
                <w:color w:val="auto"/>
              </w:rPr>
              <w:t>million to continue to develop our QuEEN platform;</w:t>
            </w:r>
          </w:p>
        </w:tc>
        <w:tc>
          <w:tcPr>
            <w:tcW w:w="1160" w:type="dxa"/>
            <w:vAlign w:val="bottom"/>
          </w:tcPr>
          <w:p>
            <w:pPr>
              <w:spacing w:after="0"/>
              <w:rPr>
                <w:sz w:val="24"/>
                <w:szCs w:val="24"/>
                <w:color w:val="auto"/>
              </w:rPr>
            </w:pPr>
          </w:p>
        </w:tc>
      </w:tr>
      <w:tr>
        <w:trPr>
          <w:trHeight w:val="321"/>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tcPr>
          <w:p>
            <w:pPr>
              <w:ind w:left="80"/>
              <w:spacing w:after="0"/>
              <w:rPr>
                <w:sz w:val="20"/>
                <w:szCs w:val="20"/>
                <w:color w:val="auto"/>
              </w:rPr>
            </w:pPr>
            <w:r>
              <w:rPr>
                <w:rFonts w:ascii="Arial" w:cs="Arial" w:eastAsia="Arial" w:hAnsi="Arial"/>
                <w:sz w:val="17"/>
                <w:szCs w:val="17"/>
                <w:color w:val="auto"/>
              </w:rPr>
              <w:t>approximately $</w:t>
            </w:r>
          </w:p>
        </w:tc>
        <w:tc>
          <w:tcPr>
            <w:tcW w:w="6000" w:type="dxa"/>
            <w:vAlign w:val="bottom"/>
          </w:tcPr>
          <w:p>
            <w:pPr>
              <w:ind w:left="380"/>
              <w:spacing w:after="0"/>
              <w:rPr>
                <w:sz w:val="20"/>
                <w:szCs w:val="20"/>
                <w:color w:val="auto"/>
              </w:rPr>
            </w:pPr>
            <w:r>
              <w:rPr>
                <w:rFonts w:ascii="Arial" w:cs="Arial" w:eastAsia="Arial" w:hAnsi="Arial"/>
                <w:sz w:val="17"/>
                <w:szCs w:val="17"/>
                <w:color w:val="auto"/>
              </w:rPr>
              <w:t>million for the continued development of our discovery programs through</w:t>
            </w:r>
          </w:p>
        </w:tc>
        <w:tc>
          <w:tcPr>
            <w:tcW w:w="1160" w:type="dxa"/>
            <w:vAlign w:val="bottom"/>
          </w:tcPr>
          <w:p>
            <w:pPr>
              <w:jc w:val="right"/>
              <w:spacing w:after="0"/>
              <w:rPr>
                <w:sz w:val="20"/>
                <w:szCs w:val="20"/>
                <w:color w:val="auto"/>
              </w:rPr>
            </w:pPr>
            <w:r>
              <w:rPr>
                <w:rFonts w:ascii="Arial" w:cs="Arial" w:eastAsia="Arial" w:hAnsi="Arial"/>
                <w:sz w:val="17"/>
                <w:szCs w:val="17"/>
                <w:color w:val="auto"/>
              </w:rPr>
              <w:t>; and</w:t>
            </w:r>
          </w:p>
        </w:tc>
      </w:tr>
    </w:tbl>
    <w:p>
      <w:pPr>
        <w:spacing w:after="0" w:line="112"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tab/>
        <w:t>the remaining proceeds for working capital and other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Based on our current plans, we believe our existing cash and cash equivalents, together with the net proceeds from this offering, will be sufficient</w:t>
      </w:r>
    </w:p>
    <w:p>
      <w:pPr>
        <w:spacing w:after="0" w:line="5" w:lineRule="exact"/>
        <w:rPr>
          <w:sz w:val="20"/>
          <w:szCs w:val="20"/>
          <w:color w:val="auto"/>
        </w:rPr>
      </w:pPr>
    </w:p>
    <w:p>
      <w:pPr>
        <w:spacing w:after="0"/>
        <w:tabs>
          <w:tab w:leader="none" w:pos="6000" w:val="left"/>
        </w:tabs>
        <w:rPr>
          <w:sz w:val="20"/>
          <w:szCs w:val="20"/>
          <w:color w:val="auto"/>
        </w:rPr>
      </w:pPr>
      <w:r>
        <w:rPr>
          <w:rFonts w:ascii="Arial" w:cs="Arial" w:eastAsia="Arial" w:hAnsi="Arial"/>
          <w:sz w:val="17"/>
          <w:szCs w:val="17"/>
          <w:color w:val="auto"/>
        </w:rPr>
        <w:t>to fund our operations and capital expenditure requirements through</w:t>
      </w:r>
      <w:r>
        <w:rPr>
          <w:sz w:val="20"/>
          <w:szCs w:val="20"/>
          <w:color w:val="auto"/>
        </w:rPr>
        <w:tab/>
      </w:r>
      <w:r>
        <w:rPr>
          <w:rFonts w:ascii="Arial" w:cs="Arial" w:eastAsia="Arial" w:hAnsi="Arial"/>
          <w:sz w:val="14"/>
          <w:szCs w:val="14"/>
          <w:color w:val="auto"/>
        </w:rPr>
        <w:t>.</w:t>
      </w:r>
    </w:p>
    <w:p>
      <w:pPr>
        <w:spacing w:after="0" w:line="11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research and development, the status of and results from pre-clinical studies or clinical trials we may commence in the future,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w:t>
      </w:r>
    </w:p>
    <w:p>
      <w:pPr>
        <w:spacing w:after="0" w:line="92"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20"/>
          </w:cols>
          <w:pgMar w:left="320" w:top="456"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and other factors deemed relevant by our board of directors.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040"/>
          </w:cols>
          <w:pgMar w:left="320" w:top="456"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capitalization as of March 31, 2021 on:</w:t>
      </w:r>
    </w:p>
    <w:p>
      <w:pPr>
        <w:spacing w:after="0" w:line="125" w:lineRule="exact"/>
        <w:rPr>
          <w:sz w:val="20"/>
          <w:szCs w:val="20"/>
          <w:color w:val="auto"/>
        </w:rPr>
      </w:pPr>
    </w:p>
    <w:p>
      <w:pPr>
        <w:ind w:left="220" w:hanging="213"/>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125" w:lineRule="exact"/>
        <w:rPr>
          <w:rFonts w:ascii="Arial" w:cs="Arial" w:eastAsia="Arial" w:hAnsi="Arial"/>
          <w:sz w:val="17"/>
          <w:szCs w:val="17"/>
          <w:color w:val="auto"/>
        </w:rPr>
      </w:pPr>
    </w:p>
    <w:p>
      <w:pPr>
        <w:ind w:left="220" w:right="100" w:hanging="213"/>
        <w:spacing w:after="0" w:line="254"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pro forma basis to give effect to (i) the automatic conversion of all outstanding shares of our convertible preferred stock into an aggregate of 109,686,035 shares of common stock upon the closing of this offering and (ii) the filing and effectiveness of our amended and restated certificate of incorporation in connection with the completion of this offering; and</w:t>
      </w:r>
    </w:p>
    <w:p>
      <w:pPr>
        <w:spacing w:after="0" w:line="102" w:lineRule="exact"/>
        <w:rPr>
          <w:sz w:val="20"/>
          <w:szCs w:val="20"/>
          <w:color w:val="auto"/>
        </w:rPr>
      </w:pPr>
    </w:p>
    <w:p>
      <w:pPr>
        <w:spacing w:after="0"/>
        <w:tabs>
          <w:tab w:leader="none" w:pos="200" w:val="left"/>
          <w:tab w:leader="none" w:pos="10400" w:val="left"/>
        </w:tabs>
        <w:rPr>
          <w:sz w:val="20"/>
          <w:szCs w:val="20"/>
          <w:color w:val="auto"/>
        </w:rPr>
      </w:pPr>
      <w:r>
        <w:rPr>
          <w:rFonts w:ascii="Arial" w:cs="Arial" w:eastAsia="Arial" w:hAnsi="Arial"/>
          <w:sz w:val="17"/>
          <w:szCs w:val="17"/>
          <w:color w:val="auto"/>
        </w:rPr>
        <w:t>•</w:t>
        <w:tab/>
        <w:t>a pro forma as adjusted basis to give further effect to (i) the pro forma adjustments described above and (ii) the receipt of $</w:t>
      </w:r>
      <w:r>
        <w:rPr>
          <w:sz w:val="20"/>
          <w:szCs w:val="20"/>
          <w:color w:val="auto"/>
        </w:rPr>
        <w:tab/>
      </w:r>
      <w:r>
        <w:rPr>
          <w:rFonts w:ascii="Arial" w:cs="Arial" w:eastAsia="Arial" w:hAnsi="Arial"/>
          <w:sz w:val="17"/>
          <w:szCs w:val="17"/>
          <w:color w:val="auto"/>
        </w:rPr>
        <w:t>million in</w:t>
      </w:r>
    </w:p>
    <w:p>
      <w:pPr>
        <w:spacing w:after="0" w:line="5" w:lineRule="exact"/>
        <w:rPr>
          <w:sz w:val="20"/>
          <w:szCs w:val="20"/>
          <w:color w:val="auto"/>
        </w:rPr>
      </w:pPr>
    </w:p>
    <w:p>
      <w:pPr>
        <w:ind w:left="220"/>
        <w:spacing w:after="0"/>
        <w:tabs>
          <w:tab w:leader="none" w:pos="4020" w:val="left"/>
        </w:tabs>
        <w:rPr>
          <w:sz w:val="20"/>
          <w:szCs w:val="20"/>
          <w:color w:val="auto"/>
        </w:rPr>
      </w:pPr>
      <w:r>
        <w:rPr>
          <w:rFonts w:ascii="Arial" w:cs="Arial" w:eastAsia="Arial" w:hAnsi="Arial"/>
          <w:sz w:val="17"/>
          <w:szCs w:val="17"/>
          <w:color w:val="auto"/>
        </w:rPr>
        <w:t>estimated net proceeds from the sale of</w:t>
      </w:r>
      <w:r>
        <w:rPr>
          <w:sz w:val="20"/>
          <w:szCs w:val="20"/>
          <w:color w:val="auto"/>
        </w:rPr>
        <w:tab/>
      </w:r>
      <w:r>
        <w:rPr>
          <w:rFonts w:ascii="Arial" w:cs="Arial" w:eastAsia="Arial" w:hAnsi="Arial"/>
          <w:sz w:val="17"/>
          <w:szCs w:val="17"/>
          <w:color w:val="auto"/>
        </w:rPr>
        <w:t>shares of common stock in this offering at an assumed initial public offering price of</w:t>
      </w:r>
    </w:p>
    <w:p>
      <w:pPr>
        <w:spacing w:after="0" w:line="5" w:lineRule="exact"/>
        <w:rPr>
          <w:sz w:val="20"/>
          <w:szCs w:val="20"/>
          <w:color w:val="auto"/>
        </w:rPr>
      </w:pPr>
    </w:p>
    <w:p>
      <w:pPr>
        <w:ind w:left="220" w:right="40" w:firstLine="1"/>
        <w:spacing w:after="0" w:line="263" w:lineRule="auto"/>
        <w:tabs>
          <w:tab w:leader="none" w:pos="109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of this prospectus after deducting estimated underwriting discounts and commissions and estimated offering expenses payable by us.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and our audited financial statements and related notes, each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As of March 31, 2021</w:t>
            </w:r>
          </w:p>
        </w:tc>
      </w:tr>
      <w:tr>
        <w:trPr>
          <w:trHeight w:val="175"/>
        </w:trPr>
        <w:tc>
          <w:tcPr>
            <w:tcW w:w="7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Pro forma</w:t>
            </w:r>
          </w:p>
        </w:tc>
      </w:tr>
      <w:tr>
        <w:trPr>
          <w:trHeight w:val="245"/>
        </w:trPr>
        <w:tc>
          <w:tcPr>
            <w:tcW w:w="7960" w:type="dxa"/>
            <w:vAlign w:val="bottom"/>
          </w:tcPr>
          <w:p>
            <w:pPr>
              <w:spacing w:after="0"/>
              <w:rPr>
                <w:sz w:val="20"/>
                <w:szCs w:val="20"/>
                <w:color w:val="auto"/>
              </w:rPr>
            </w:pPr>
            <w:r>
              <w:rPr>
                <w:rFonts w:ascii="Arial" w:cs="Arial" w:eastAsia="Arial" w:hAnsi="Arial"/>
                <w:sz w:val="17"/>
                <w:szCs w:val="17"/>
                <w:b w:val="1"/>
                <w:bCs w:val="1"/>
                <w:color w:val="auto"/>
              </w:rPr>
              <w:t>(in thousands, except share amounts and par value share amounts)</w:t>
            </w:r>
          </w:p>
        </w:tc>
        <w:tc>
          <w:tcPr>
            <w:tcW w:w="920" w:type="dxa"/>
            <w:vAlign w:val="bottom"/>
          </w:tcPr>
          <w:p>
            <w:pPr>
              <w:ind w:left="200"/>
              <w:spacing w:after="0"/>
              <w:rPr>
                <w:sz w:val="20"/>
                <w:szCs w:val="20"/>
                <w:color w:val="auto"/>
              </w:rPr>
            </w:pPr>
            <w:r>
              <w:rPr>
                <w:rFonts w:ascii="Arial" w:cs="Arial" w:eastAsia="Arial" w:hAnsi="Arial"/>
                <w:sz w:val="17"/>
                <w:szCs w:val="17"/>
                <w:b w:val="1"/>
                <w:bCs w:val="1"/>
                <w:color w:val="auto"/>
              </w:rPr>
              <w:t>Actual</w:t>
            </w:r>
          </w:p>
        </w:tc>
        <w:tc>
          <w:tcPr>
            <w:tcW w:w="1160" w:type="dxa"/>
            <w:vAlign w:val="bottom"/>
          </w:tcPr>
          <w:p>
            <w:pPr>
              <w:ind w:left="160"/>
              <w:spacing w:after="0"/>
              <w:rPr>
                <w:sz w:val="20"/>
                <w:szCs w:val="20"/>
                <w:color w:val="auto"/>
              </w:rPr>
            </w:pPr>
            <w:r>
              <w:rPr>
                <w:rFonts w:ascii="Arial" w:cs="Arial" w:eastAsia="Arial" w:hAnsi="Arial"/>
                <w:sz w:val="17"/>
                <w:szCs w:val="17"/>
                <w:b w:val="1"/>
                <w:bCs w:val="1"/>
                <w:color w:val="auto"/>
              </w:rPr>
              <w:t>Pro forma</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as adjusted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3590" cy="135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ectPr>
          <w:pgSz w:w="11900" w:h="16838" w:orient="portrait"/>
          <w:cols w:equalWidth="0" w:num="1">
            <w:col w:w="11180"/>
          </w:cols>
          <w:pgMar w:left="320" w:top="456" w:right="39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32" w:lineRule="exact"/>
        <w:rPr>
          <w:sz w:val="20"/>
          <w:szCs w:val="20"/>
          <w:color w:val="auto"/>
        </w:rPr>
      </w:pPr>
    </w:p>
    <w:p>
      <w:pPr>
        <w:ind w:left="220" w:right="240" w:hanging="213"/>
        <w:spacing w:after="0" w:line="254" w:lineRule="auto"/>
        <w:rPr>
          <w:sz w:val="20"/>
          <w:szCs w:val="20"/>
          <w:color w:val="auto"/>
        </w:rPr>
      </w:pPr>
      <w:r>
        <w:rPr>
          <w:rFonts w:ascii="Arial" w:cs="Arial" w:eastAsia="Arial" w:hAnsi="Arial"/>
          <w:sz w:val="17"/>
          <w:szCs w:val="17"/>
          <w:color w:val="auto"/>
        </w:rPr>
        <w:t>Convertible preferred stock (Series A, A-2, B and C), $0.0001 par value; 109,686,035 shares authorized; 109,686,035 shares issued and outstanding, actual; shares authorized, issued and outstanding, 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33590" cy="127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 (deficit):</w:t>
      </w:r>
    </w:p>
    <w:p>
      <w:pPr>
        <w:spacing w:after="0" w:line="5" w:lineRule="exact"/>
        <w:rPr>
          <w:sz w:val="20"/>
          <w:szCs w:val="20"/>
          <w:color w:val="auto"/>
        </w:rPr>
      </w:pPr>
    </w:p>
    <w:p>
      <w:pPr>
        <w:ind w:left="440" w:right="140" w:hanging="213"/>
        <w:spacing w:after="0" w:line="246" w:lineRule="auto"/>
        <w:rPr>
          <w:sz w:val="20"/>
          <w:szCs w:val="20"/>
          <w:color w:val="auto"/>
        </w:rPr>
      </w:pPr>
      <w:r>
        <w:rPr>
          <w:rFonts w:ascii="Arial" w:cs="Arial" w:eastAsia="Arial" w:hAnsi="Arial"/>
          <w:sz w:val="17"/>
          <w:szCs w:val="17"/>
          <w:color w:val="auto"/>
        </w:rPr>
        <w:t>Preferred stock, $0.0001 par value: no shares authorized, issued and outstanding, actual; 10,000,000 shares authorized, no shares issued and outstanding 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509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509270"/>
                    </a:xfrm>
                    <a:prstGeom prst="rect">
                      <a:avLst/>
                    </a:prstGeom>
                    <a:noFill/>
                  </pic:spPr>
                </pic:pic>
              </a:graphicData>
            </a:graphic>
          </wp:anchor>
        </w:drawing>
      </w:r>
    </w:p>
    <w:p>
      <w:pPr>
        <w:ind w:left="440" w:right="20" w:hanging="213"/>
        <w:spacing w:after="0" w:line="246" w:lineRule="auto"/>
        <w:rPr>
          <w:sz w:val="20"/>
          <w:szCs w:val="20"/>
          <w:color w:val="auto"/>
        </w:rPr>
      </w:pPr>
      <w:r>
        <w:rPr>
          <w:rFonts w:ascii="Arial" w:cs="Arial" w:eastAsia="Arial" w:hAnsi="Arial"/>
          <w:sz w:val="17"/>
          <w:szCs w:val="17"/>
          <w:color w:val="auto"/>
        </w:rPr>
        <w:t>Common stock, $0.0001 par value: 136,654,851 shares authorized; 7,699,359 shares issued and outstanding, actual; 136,654,851 shares authorized, 117,385,394 shares issued and</w:t>
      </w:r>
    </w:p>
    <w:p>
      <w:pPr>
        <w:ind w:left="440"/>
        <w:spacing w:after="0" w:line="246" w:lineRule="auto"/>
        <w:rPr>
          <w:sz w:val="20"/>
          <w:szCs w:val="20"/>
          <w:color w:val="auto"/>
        </w:rPr>
      </w:pPr>
      <w:r>
        <w:rPr>
          <w:rFonts w:ascii="Arial" w:cs="Arial" w:eastAsia="Arial" w:hAnsi="Arial"/>
          <w:sz w:val="17"/>
          <w:szCs w:val="17"/>
          <w:color w:val="auto"/>
        </w:rPr>
        <w:t>outstanding, pro forma; shares authorized, shares issued and outstanding, pro forma as adjusted</w:t>
      </w:r>
    </w:p>
    <w:p>
      <w:pPr>
        <w:ind w:left="22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Accumulated other comprehensive loss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276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stockholders’ equity (deficit)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0910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40" w:val="left"/>
          <w:tab w:leader="none" w:pos="2200" w:val="left"/>
        </w:tabs>
        <w:rPr>
          <w:sz w:val="20"/>
          <w:szCs w:val="20"/>
          <w:color w:val="auto"/>
        </w:rPr>
      </w:pPr>
      <w:r>
        <w:rPr>
          <w:rFonts w:ascii="Arial" w:cs="Arial" w:eastAsia="Arial" w:hAnsi="Arial"/>
          <w:sz w:val="17"/>
          <w:szCs w:val="17"/>
          <w:color w:val="auto"/>
        </w:rPr>
        <w:t>$168,436</w:t>
      </w:r>
      <w:r>
        <w:rPr>
          <w:sz w:val="20"/>
          <w:szCs w:val="20"/>
          <w:color w:val="auto"/>
        </w:rPr>
        <w:tab/>
      </w:r>
      <w:r>
        <w:rPr>
          <w:rFonts w:ascii="Arial" w:cs="Arial" w:eastAsia="Arial" w:hAnsi="Arial"/>
          <w:sz w:val="17"/>
          <w:szCs w:val="17"/>
          <w:color w:val="auto"/>
        </w:rPr>
        <w:t>$ 168,436</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20383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1040" w:val="left"/>
          <w:tab w:leader="none" w:pos="1700" w:val="left"/>
          <w:tab w:leader="none" w:pos="2200" w:val="left"/>
        </w:tabs>
        <w:rPr>
          <w:sz w:val="20"/>
          <w:szCs w:val="20"/>
          <w:color w:val="auto"/>
        </w:rPr>
      </w:pPr>
      <w:r>
        <w:rPr>
          <w:rFonts w:ascii="Arial" w:cs="Arial" w:eastAsia="Arial" w:hAnsi="Arial"/>
          <w:sz w:val="17"/>
          <w:szCs w:val="17"/>
          <w:color w:val="auto"/>
        </w:rPr>
        <w:t>$231,172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20383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20" w:hanging="1077"/>
        <w:spacing w:after="0"/>
        <w:tabs>
          <w:tab w:leader="none" w:pos="1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12</w:t>
      </w:r>
    </w:p>
    <w:p>
      <w:pPr>
        <w:spacing w:after="0" w:line="5"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656231,817</w:t>
      </w:r>
    </w:p>
    <w:p>
      <w:pPr>
        <w:spacing w:after="0" w:line="5" w:lineRule="exact"/>
        <w:rPr>
          <w:sz w:val="20"/>
          <w:szCs w:val="20"/>
          <w:color w:val="auto"/>
        </w:rPr>
      </w:pPr>
    </w:p>
    <w:p>
      <w:pPr>
        <w:ind w:left="1560" w:hanging="1168"/>
        <w:spacing w:after="0"/>
        <w:tabs>
          <w:tab w:leader="none" w:pos="15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(920)</w:t>
      </w:r>
    </w:p>
    <w:p>
      <w:pPr>
        <w:spacing w:after="0" w:line="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(60,353)(60,353)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20383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12"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7"/>
          <w:szCs w:val="17"/>
          <w:color w:val="auto"/>
        </w:rPr>
        <w:t>(60,616)</w:t>
      </w:r>
      <w:r>
        <w:rPr>
          <w:sz w:val="20"/>
          <w:szCs w:val="20"/>
          <w:color w:val="auto"/>
        </w:rPr>
        <w:tab/>
      </w:r>
      <w:r>
        <w:rPr>
          <w:rFonts w:ascii="Arial" w:cs="Arial" w:eastAsia="Arial" w:hAnsi="Arial"/>
          <w:sz w:val="17"/>
          <w:szCs w:val="17"/>
          <w:color w:val="auto"/>
        </w:rPr>
        <w:t>170,556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20383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12" w:lineRule="exact"/>
        <w:rPr>
          <w:sz w:val="20"/>
          <w:szCs w:val="20"/>
          <w:color w:val="auto"/>
        </w:rPr>
      </w:pPr>
    </w:p>
    <w:p>
      <w:pPr>
        <w:spacing w:after="0"/>
        <w:tabs>
          <w:tab w:leader="none" w:pos="1040" w:val="left"/>
          <w:tab w:leader="none" w:pos="2200" w:val="left"/>
        </w:tabs>
        <w:rPr>
          <w:sz w:val="20"/>
          <w:szCs w:val="20"/>
          <w:color w:val="auto"/>
        </w:rPr>
      </w:pPr>
      <w:r>
        <w:rPr>
          <w:rFonts w:ascii="Arial" w:cs="Arial" w:eastAsia="Arial" w:hAnsi="Arial"/>
          <w:sz w:val="17"/>
          <w:szCs w:val="17"/>
          <w:color w:val="auto"/>
        </w:rPr>
        <w:t>$170,556</w:t>
      </w:r>
      <w:r>
        <w:rPr>
          <w:sz w:val="20"/>
          <w:szCs w:val="20"/>
          <w:color w:val="auto"/>
        </w:rPr>
        <w:tab/>
      </w:r>
      <w:r>
        <w:rPr>
          <w:rFonts w:ascii="Arial" w:cs="Arial" w:eastAsia="Arial" w:hAnsi="Arial"/>
          <w:sz w:val="17"/>
          <w:szCs w:val="17"/>
          <w:color w:val="auto"/>
        </w:rPr>
        <w:t>$ 170,556</w:t>
      </w:r>
      <w:r>
        <w:rPr>
          <w:sz w:val="20"/>
          <w:szCs w:val="20"/>
          <w:color w:val="auto"/>
        </w:rPr>
        <w:tab/>
      </w:r>
      <w:r>
        <w:rPr>
          <w:rFonts w:ascii="Arial" w:cs="Arial" w:eastAsia="Arial" w:hAnsi="Arial"/>
          <w:sz w:val="17"/>
          <w:szCs w:val="17"/>
          <w:color w:val="auto"/>
        </w:rPr>
        <w:t>$</w:t>
      </w:r>
    </w:p>
    <w:p>
      <w:pPr>
        <w:spacing w:after="0" w:line="139" w:lineRule="exact"/>
        <w:rPr>
          <w:sz w:val="20"/>
          <w:szCs w:val="20"/>
          <w:color w:val="auto"/>
        </w:rPr>
      </w:pPr>
    </w:p>
    <w:p>
      <w:pPr>
        <w:sectPr>
          <w:pgSz w:w="11900" w:h="16838" w:orient="portrait"/>
          <w:cols w:equalWidth="0" w:num="2">
            <w:col w:w="7720" w:space="240"/>
            <w:col w:w="3220"/>
          </w:cols>
          <w:pgMar w:left="320" w:top="456" w:right="399" w:bottom="1440" w:gutter="0" w:footer="0" w:header="0"/>
          <w:type w:val="continuous"/>
        </w:sectPr>
      </w:pPr>
    </w:p>
    <w:p>
      <w:pPr>
        <w:spacing w:after="0"/>
        <w:tabs>
          <w:tab w:leader="none" w:pos="6780" w:val="left"/>
        </w:tabs>
        <w:rPr>
          <w:sz w:val="20"/>
          <w:szCs w:val="20"/>
          <w:color w:val="auto"/>
        </w:rPr>
      </w:pPr>
      <w:r>
        <w:rPr>
          <w:rFonts w:ascii="Arial" w:cs="Arial" w:eastAsia="Arial" w:hAnsi="Arial"/>
          <w:sz w:val="17"/>
          <w:szCs w:val="17"/>
          <w:color w:val="auto"/>
        </w:rPr>
        <w:t>Each $1.00 increase (decrease) in the assumed initial public offering price of $</w:t>
      </w:r>
      <w:r>
        <w:rPr>
          <w:sz w:val="20"/>
          <w:szCs w:val="20"/>
          <w:color w:val="auto"/>
        </w:rPr>
        <w:tab/>
      </w:r>
      <w:r>
        <w:rPr>
          <w:rFonts w:ascii="Arial" w:cs="Arial" w:eastAsia="Arial" w:hAnsi="Arial"/>
          <w:sz w:val="17"/>
          <w:szCs w:val="17"/>
          <w:color w:val="auto"/>
        </w:rPr>
        <w:t>per share, which is the midpoint of the estimated price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range set forth on the cover of this prospectus, would increase (decrease) each of our pro forma as adjusted cash and cash equivalents,</w:t>
      </w:r>
    </w:p>
    <w:p>
      <w:pPr>
        <w:spacing w:after="0" w:line="5" w:lineRule="exact"/>
        <w:rPr>
          <w:sz w:val="20"/>
          <w:szCs w:val="20"/>
          <w:color w:val="auto"/>
        </w:rPr>
      </w:pPr>
    </w:p>
    <w:p>
      <w:pPr>
        <w:spacing w:after="0"/>
        <w:tabs>
          <w:tab w:leader="none" w:pos="8520" w:val="left"/>
        </w:tabs>
        <w:rPr>
          <w:sz w:val="20"/>
          <w:szCs w:val="20"/>
          <w:color w:val="auto"/>
        </w:rPr>
      </w:pPr>
      <w:r>
        <w:rPr>
          <w:rFonts w:ascii="Arial" w:cs="Arial" w:eastAsia="Arial" w:hAnsi="Arial"/>
          <w:sz w:val="17"/>
          <w:szCs w:val="17"/>
          <w:color w:val="auto"/>
        </w:rPr>
        <w:t>additional paid-in capital, total stockholders’ equity (deficit) and total capitalization by approximately $</w:t>
      </w:r>
      <w:r>
        <w:rPr>
          <w:sz w:val="20"/>
          <w:szCs w:val="20"/>
          <w:color w:val="auto"/>
        </w:rPr>
        <w:tab/>
      </w:r>
      <w:r>
        <w:rPr>
          <w:rFonts w:ascii="Arial" w:cs="Arial" w:eastAsia="Arial" w:hAnsi="Arial"/>
          <w:sz w:val="17"/>
          <w:szCs w:val="17"/>
          <w:color w:val="auto"/>
        </w:rPr>
        <w:t>million, assuming that the number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 shares offered, as set forth on the cover of this prospectus, remains the same and after deducting estimated</w:t>
      </w:r>
    </w:p>
    <w:p>
      <w:pPr>
        <w:spacing w:after="0" w:line="15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180"/>
          </w:cols>
          <w:pgMar w:left="320" w:top="456" w:right="39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underwriting discounts and commissions and estimated offering expenses payable by us. Similarly, each increase (decrease) of 1.0 million shares in the number of shares of common stock offered would increase (decrease) each of our pro forma as adjusted cash and cash equivalents, total</w:t>
      </w:r>
    </w:p>
    <w:p>
      <w:pPr>
        <w:spacing w:after="0" w:line="251" w:lineRule="auto"/>
        <w:rPr>
          <w:sz w:val="20"/>
          <w:szCs w:val="20"/>
          <w:color w:val="auto"/>
        </w:rPr>
      </w:pPr>
      <w:r>
        <w:rPr>
          <w:rFonts w:ascii="Arial" w:cs="Arial" w:eastAsia="Arial" w:hAnsi="Arial"/>
          <w:sz w:val="17"/>
          <w:szCs w:val="17"/>
          <w:color w:val="auto"/>
        </w:rPr>
        <w:t>assets, additional paid-in capital, total stockholders’ equity (deficit) and total capitalization by approximately $ million, assuming the assumed initial public offering price per share as set forth on the cover of this prospectus remains the same and after deducting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excludes the following shares:</w:t>
      </w:r>
    </w:p>
    <w:p>
      <w:pPr>
        <w:spacing w:after="0" w:line="125" w:lineRule="exact"/>
        <w:rPr>
          <w:sz w:val="20"/>
          <w:szCs w:val="20"/>
          <w:color w:val="auto"/>
        </w:rPr>
      </w:pPr>
    </w:p>
    <w:p>
      <w:pPr>
        <w:ind w:left="220" w:right="340" w:hanging="213"/>
        <w:spacing w:after="0" w:line="263"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6,464,649 shares of common stock issuable upon the exercise of stock options outstanding as of March 31, 2021, with a weighted-average exercise price of $0.57 per share under our 2020 Stock Option and Grant Plan;</w:t>
      </w:r>
    </w:p>
    <w:p>
      <w:pPr>
        <w:spacing w:after="0" w:line="93" w:lineRule="exact"/>
        <w:rPr>
          <w:rFonts w:ascii="Arial" w:cs="Arial" w:eastAsia="Arial" w:hAnsi="Arial"/>
          <w:sz w:val="17"/>
          <w:szCs w:val="17"/>
          <w:color w:val="auto"/>
        </w:rPr>
      </w:pPr>
    </w:p>
    <w:p>
      <w:pPr>
        <w:ind w:left="220" w:right="380" w:hanging="213"/>
        <w:spacing w:after="0" w:line="263"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9,470,232 shares of our common stock issuable upon the exercise of stock options granted after March 31, 2021, with a weighted-average exercise price of $1.76 per share under our 2020 Stock Option and Grant Plan; and</w:t>
      </w:r>
    </w:p>
    <w:p>
      <w:pPr>
        <w:spacing w:after="0" w:line="93" w:lineRule="exact"/>
        <w:rPr>
          <w:rFonts w:ascii="Arial" w:cs="Arial" w:eastAsia="Arial" w:hAnsi="Arial"/>
          <w:sz w:val="17"/>
          <w:szCs w:val="17"/>
          <w:color w:val="auto"/>
        </w:rPr>
      </w:pPr>
    </w:p>
    <w:p>
      <w:pPr>
        <w:ind w:left="800" w:hanging="793"/>
        <w:spacing w:after="0"/>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stock-based compensation plans, consisting of (i) 4,074,852 shares of</w:t>
      </w:r>
    </w:p>
    <w:p>
      <w:pPr>
        <w:spacing w:after="0" w:line="5" w:lineRule="exact"/>
        <w:rPr>
          <w:sz w:val="20"/>
          <w:szCs w:val="20"/>
          <w:color w:val="auto"/>
        </w:rPr>
      </w:pPr>
    </w:p>
    <w:p>
      <w:pPr>
        <w:ind w:left="220" w:right="40"/>
        <w:spacing w:after="0" w:line="246" w:lineRule="auto"/>
        <w:rPr>
          <w:sz w:val="20"/>
          <w:szCs w:val="20"/>
          <w:color w:val="auto"/>
        </w:rPr>
      </w:pPr>
      <w:r>
        <w:rPr>
          <w:rFonts w:ascii="Arial" w:cs="Arial" w:eastAsia="Arial" w:hAnsi="Arial"/>
          <w:sz w:val="17"/>
          <w:szCs w:val="17"/>
          <w:color w:val="auto"/>
        </w:rPr>
        <w:t>common stock reserved for future issuance under our 2020 Stock Option and Grant Plan as of March 31, 2021, (ii) shares of common stock reserved for future issuance under our 2021 Stock Option and Incentive Plan, which will become effective on the date immediately prior</w:t>
      </w:r>
    </w:p>
    <w:p>
      <w:pPr>
        <w:ind w:left="220" w:right="720"/>
        <w:spacing w:after="0" w:line="263" w:lineRule="auto"/>
        <w:rPr>
          <w:sz w:val="20"/>
          <w:szCs w:val="20"/>
          <w:color w:val="auto"/>
        </w:rPr>
      </w:pPr>
      <w:r>
        <w:rPr>
          <w:rFonts w:ascii="Arial" w:cs="Arial" w:eastAsia="Arial" w:hAnsi="Arial"/>
          <w:sz w:val="17"/>
          <w:szCs w:val="17"/>
          <w:color w:val="auto"/>
        </w:rPr>
        <w:t>to the date of this prospectus, and (iii) shares of common stock reserved for future issuance under our 2021 Employee Stock Purchase Plan, which will become effective on the date immediately prior to the date of this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456"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amount per share paid by purchasers of shares of common stock in this offering and the pro forma as adjusted net tangible book value per share of common stock immediately after this offering.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Net tangible book value (deficit) per share is determined by dividing our total tangible assets (which excludes deferred offering costs) less our total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convertible preferred stock by the number of shares of common stock outstanding. Our historical net tangible book value (deficit) 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 March 31, 2021 was $(60.6) million, or $(7.87) per share. Our pro forma net tangible book value as of March 31, 2021 was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$170.6 million, or $1.45 per share of common stock. Our pro forma net tangible book value per share represents the amount of our total tangible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assets (which excludes deferred offering costs) reduced by the amount of our total liabilities and divided by the total number of shares of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as of March 31, 2021, after giving effect to the automatic conversion of all outstanding shares of our convertible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into an aggregate of 109,686,035 shares of common stock upon the closing of this offering.</w:t>
      </w:r>
    </w:p>
    <w:p>
      <w:pPr>
        <w:spacing w:after="0" w:line="11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 After giving effect to (i) the pro forma adjustments set forth above and (ii) our sale of shares of common stock in this offering at an</w:t>
      </w:r>
    </w:p>
    <w:p>
      <w:pPr>
        <w:spacing w:after="0" w:line="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assumed initial public offering price of $ per share, the midpoint of the price range set forth on the cover of this prospectus, and after deducting estimated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201"/>
        </w:trPr>
        <w:tc>
          <w:tcPr>
            <w:tcW w:w="6120" w:type="dxa"/>
            <w:vAlign w:val="bottom"/>
            <w:gridSpan w:val="2"/>
          </w:tcPr>
          <w:p>
            <w:pPr>
              <w:spacing w:after="0"/>
              <w:rPr>
                <w:sz w:val="20"/>
                <w:szCs w:val="20"/>
                <w:color w:val="auto"/>
              </w:rPr>
            </w:pPr>
            <w:r>
              <w:rPr>
                <w:rFonts w:ascii="Arial" w:cs="Arial" w:eastAsia="Arial" w:hAnsi="Arial"/>
                <w:sz w:val="17"/>
                <w:szCs w:val="17"/>
                <w:color w:val="auto"/>
              </w:rPr>
              <w:t>tangible book value as of March 31, 2021 would have been approximately $</w:t>
            </w:r>
          </w:p>
        </w:tc>
        <w:tc>
          <w:tcPr>
            <w:tcW w:w="1540" w:type="dxa"/>
            <w:vAlign w:val="bottom"/>
          </w:tcPr>
          <w:p>
            <w:pPr>
              <w:ind w:left="340"/>
              <w:spacing w:after="0"/>
              <w:rPr>
                <w:sz w:val="20"/>
                <w:szCs w:val="20"/>
                <w:color w:val="auto"/>
              </w:rPr>
            </w:pPr>
            <w:r>
              <w:rPr>
                <w:rFonts w:ascii="Arial" w:cs="Arial" w:eastAsia="Arial" w:hAnsi="Arial"/>
                <w:sz w:val="17"/>
                <w:szCs w:val="17"/>
                <w:color w:val="auto"/>
              </w:rPr>
              <w:t>million, or $</w:t>
            </w:r>
          </w:p>
        </w:tc>
        <w:tc>
          <w:tcPr>
            <w:tcW w:w="3580" w:type="dxa"/>
            <w:vAlign w:val="bottom"/>
          </w:tcPr>
          <w:p>
            <w:pPr>
              <w:jc w:val="center"/>
              <w:ind w:right="33"/>
              <w:spacing w:after="0"/>
              <w:rPr>
                <w:sz w:val="20"/>
                <w:szCs w:val="20"/>
                <w:color w:val="auto"/>
              </w:rPr>
            </w:pPr>
            <w:r>
              <w:rPr>
                <w:rFonts w:ascii="Arial" w:cs="Arial" w:eastAsia="Arial" w:hAnsi="Arial"/>
                <w:sz w:val="17"/>
                <w:szCs w:val="17"/>
                <w:color w:val="auto"/>
              </w:rPr>
              <w:t>per share of our common stock. This</w:t>
            </w:r>
          </w:p>
        </w:tc>
      </w:tr>
      <w:tr>
        <w:trPr>
          <w:trHeight w:val="201"/>
        </w:trPr>
        <w:tc>
          <w:tcPr>
            <w:tcW w:w="6120" w:type="dxa"/>
            <w:vAlign w:val="bottom"/>
            <w:gridSpan w:val="2"/>
          </w:tcPr>
          <w:p>
            <w:pPr>
              <w:spacing w:after="0"/>
              <w:rPr>
                <w:sz w:val="20"/>
                <w:szCs w:val="20"/>
                <w:color w:val="auto"/>
              </w:rPr>
            </w:pPr>
            <w:r>
              <w:rPr>
                <w:rFonts w:ascii="Arial" w:cs="Arial" w:eastAsia="Arial" w:hAnsi="Arial"/>
                <w:sz w:val="17"/>
                <w:szCs w:val="17"/>
                <w:color w:val="auto"/>
              </w:rPr>
              <w:t>represents an immediate increase in pro forma net tangible book value of $</w:t>
            </w:r>
          </w:p>
        </w:tc>
        <w:tc>
          <w:tcPr>
            <w:tcW w:w="5120" w:type="dxa"/>
            <w:vAlign w:val="bottom"/>
            <w:gridSpan w:val="2"/>
          </w:tcPr>
          <w:p>
            <w:pPr>
              <w:jc w:val="right"/>
              <w:ind w:right="433"/>
              <w:spacing w:after="0"/>
              <w:rPr>
                <w:sz w:val="20"/>
                <w:szCs w:val="20"/>
                <w:color w:val="auto"/>
              </w:rPr>
            </w:pPr>
            <w:r>
              <w:rPr>
                <w:rFonts w:ascii="Arial" w:cs="Arial" w:eastAsia="Arial" w:hAnsi="Arial"/>
                <w:sz w:val="17"/>
                <w:szCs w:val="17"/>
                <w:color w:val="auto"/>
              </w:rPr>
              <w:t>per share to our existing stockholders and an immediate</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dilution of $</w:t>
            </w:r>
          </w:p>
        </w:tc>
        <w:tc>
          <w:tcPr>
            <w:tcW w:w="6440" w:type="dxa"/>
            <w:vAlign w:val="bottom"/>
            <w:gridSpan w:val="2"/>
          </w:tcPr>
          <w:p>
            <w:pPr>
              <w:ind w:left="300"/>
              <w:spacing w:after="0"/>
              <w:rPr>
                <w:sz w:val="20"/>
                <w:szCs w:val="20"/>
                <w:color w:val="auto"/>
              </w:rPr>
            </w:pPr>
            <w:r>
              <w:rPr>
                <w:rFonts w:ascii="Arial" w:cs="Arial" w:eastAsia="Arial" w:hAnsi="Arial"/>
                <w:sz w:val="17"/>
                <w:szCs w:val="17"/>
                <w:color w:val="auto"/>
              </w:rPr>
              <w:t>per share to investors in this offering, as illustrated in the following table:</w:t>
            </w:r>
          </w:p>
        </w:tc>
        <w:tc>
          <w:tcPr>
            <w:tcW w:w="3580" w:type="dxa"/>
            <w:vAlign w:val="bottom"/>
          </w:tcPr>
          <w:p>
            <w:pPr>
              <w:spacing w:after="0"/>
              <w:rPr>
                <w:sz w:val="18"/>
                <w:szCs w:val="18"/>
                <w:color w:val="auto"/>
              </w:rPr>
            </w:pPr>
          </w:p>
        </w:tc>
      </w:tr>
      <w:tr>
        <w:trPr>
          <w:trHeight w:val="115"/>
        </w:trPr>
        <w:tc>
          <w:tcPr>
            <w:tcW w:w="6120" w:type="dxa"/>
            <w:vAlign w:val="bottom"/>
            <w:tcBorders>
              <w:bottom w:val="single" w:sz="8" w:color="auto"/>
            </w:tcBorders>
            <w:gridSpan w:val="2"/>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r>
      <w:tr>
        <w:trPr>
          <w:trHeight w:val="201"/>
        </w:trPr>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540" w:type="dxa"/>
            <w:vAlign w:val="bottom"/>
            <w:shd w:val="clear" w:color="auto" w:fill="CCEEFF"/>
          </w:tcPr>
          <w:p>
            <w:pPr>
              <w:spacing w:after="0"/>
              <w:rPr>
                <w:sz w:val="17"/>
                <w:szCs w:val="17"/>
                <w:color w:val="auto"/>
              </w:rPr>
            </w:pPr>
          </w:p>
        </w:tc>
        <w:tc>
          <w:tcPr>
            <w:tcW w:w="3580" w:type="dxa"/>
            <w:vAlign w:val="bottom"/>
            <w:shd w:val="clear" w:color="auto" w:fill="CCEEFF"/>
          </w:tcPr>
          <w:p>
            <w:pPr>
              <w:jc w:val="right"/>
              <w:ind w:right="613"/>
              <w:spacing w:after="0"/>
              <w:rPr>
                <w:sz w:val="20"/>
                <w:szCs w:val="20"/>
                <w:color w:val="auto"/>
              </w:rPr>
            </w:pPr>
            <w:r>
              <w:rPr>
                <w:rFonts w:ascii="Arial" w:cs="Arial" w:eastAsia="Arial" w:hAnsi="Arial"/>
                <w:sz w:val="17"/>
                <w:szCs w:val="17"/>
                <w:color w:val="auto"/>
              </w:rPr>
              <w:t>$</w:t>
            </w:r>
          </w:p>
        </w:tc>
      </w:tr>
      <w:tr>
        <w:trPr>
          <w:trHeight w:val="204"/>
        </w:trPr>
        <w:tc>
          <w:tcPr>
            <w:tcW w:w="6120" w:type="dxa"/>
            <w:vAlign w:val="bottom"/>
            <w:gridSpan w:val="2"/>
          </w:tcPr>
          <w:p>
            <w:pPr>
              <w:ind w:left="220"/>
              <w:spacing w:after="0"/>
              <w:rPr>
                <w:sz w:val="20"/>
                <w:szCs w:val="20"/>
                <w:color w:val="auto"/>
              </w:rPr>
            </w:pPr>
            <w:r>
              <w:rPr>
                <w:rFonts w:ascii="Arial" w:cs="Arial" w:eastAsia="Arial" w:hAnsi="Arial"/>
                <w:sz w:val="17"/>
                <w:szCs w:val="17"/>
                <w:color w:val="auto"/>
              </w:rPr>
              <w:t>Historical net tangible book value per share as of March 31, 2021</w:t>
            </w:r>
          </w:p>
        </w:tc>
        <w:tc>
          <w:tcPr>
            <w:tcW w:w="1540" w:type="dxa"/>
            <w:vAlign w:val="bottom"/>
          </w:tcPr>
          <w:p>
            <w:pPr>
              <w:spacing w:after="0"/>
              <w:rPr>
                <w:sz w:val="17"/>
                <w:szCs w:val="17"/>
                <w:color w:val="auto"/>
              </w:rPr>
            </w:pPr>
          </w:p>
        </w:tc>
        <w:tc>
          <w:tcPr>
            <w:tcW w:w="3580" w:type="dxa"/>
            <w:vAlign w:val="bottom"/>
          </w:tcPr>
          <w:p>
            <w:pPr>
              <w:jc w:val="right"/>
              <w:ind w:right="1733"/>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Increase in net tangible book value per share attributable to the conversion of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1270</wp:posOffset>
            </wp:positionV>
            <wp:extent cx="4673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 forma net tangible book value per share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Increase in pro forma net tangible book value per share attributable to new investors in this offering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29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476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6420" w:type="dxa"/>
            <w:vAlign w:val="bottom"/>
          </w:tcPr>
          <w:p>
            <w:pPr>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820" w:type="dxa"/>
            <w:vAlign w:val="bottom"/>
            <w:gridSpan w:val="5"/>
          </w:tcPr>
          <w:p>
            <w:pPr>
              <w:ind w:left="380"/>
              <w:spacing w:after="0"/>
              <w:rPr>
                <w:sz w:val="20"/>
                <w:szCs w:val="20"/>
                <w:color w:val="auto"/>
              </w:rPr>
            </w:pPr>
            <w:r>
              <w:rPr>
                <w:rFonts w:ascii="Arial" w:cs="Arial" w:eastAsia="Arial" w:hAnsi="Arial"/>
                <w:sz w:val="17"/>
                <w:szCs w:val="17"/>
                <w:color w:val="auto"/>
              </w:rPr>
              <w:t>per share, which is the midpoint of the estimated price</w:t>
            </w:r>
          </w:p>
        </w:tc>
      </w:tr>
    </w:tbl>
    <w:p>
      <w:pPr>
        <w:spacing w:after="0"/>
        <w:rPr>
          <w:sz w:val="20"/>
          <w:szCs w:val="20"/>
          <w:color w:val="auto"/>
        </w:rPr>
      </w:pPr>
      <w:r>
        <w:rPr>
          <w:rFonts w:ascii="Arial" w:cs="Arial" w:eastAsia="Arial" w:hAnsi="Arial"/>
          <w:sz w:val="17"/>
          <w:szCs w:val="17"/>
          <w:color w:val="auto"/>
        </w:rPr>
        <w:t>range set forth on the cover of this prospectus, would increase (decrease) each of the pro forma as adjusted net tangible book value per share</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after this offering, and dilution per share to new investors in this offering by approximately $ million, assuming that the number of shares offered, as set forth on the cover of this prospectus, remains the same and after deducting estimated underwriting discounts and commissions and estimated offering expenses payable by us. Similarly, each increase (decrease) of 1.0 million shares in the number of shares of common stock offered would increase (decrease) each of the pro forma net tangible book value per share after this offering, and dilution per share to new</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investors in this offering by approximately $ million, assuming the assumed initial public offering price per share as set forth on the cover of this prospectus remains the same and after deducting estimated underwriting discounts and commissions and estimated offering expenses payable by us. The pro forma as adjusted information is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456"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illustrative only, and we will adjust this information based on the actual initial public offering price and other terms of this offering determined at pricing.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in full to purchase additional shares, the pro forma as adjusted net tangible book value per share after this</w:t>
      </w:r>
    </w:p>
    <w:p>
      <w:pPr>
        <w:spacing w:after="0" w:line="5"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offering would be $ per share (representing an increase from the pro forma net tangible book value per share of $ per share to our existing stockholders) and the dilution to new investors in this offering would be $ per share.</w:t>
      </w:r>
    </w:p>
    <w:p>
      <w:pPr>
        <w:spacing w:after="0" w:line="8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following table shows, as of March 31, 2021, on a pro forma as adjusted basis described above, the differences between the existing stockholders and the purchasers of shares in this offering with respect to the number of shares purchased from us, the total consideration paid to</w:t>
      </w:r>
    </w:p>
    <w:p>
      <w:pPr>
        <w:ind w:right="20"/>
        <w:spacing w:after="0" w:line="251" w:lineRule="auto"/>
        <w:rPr>
          <w:sz w:val="20"/>
          <w:szCs w:val="20"/>
          <w:color w:val="auto"/>
        </w:rPr>
      </w:pPr>
      <w:r>
        <w:rPr>
          <w:rFonts w:ascii="Arial" w:cs="Arial" w:eastAsia="Arial" w:hAnsi="Arial"/>
          <w:sz w:val="17"/>
          <w:szCs w:val="17"/>
          <w:color w:val="auto"/>
        </w:rPr>
        <w:t>us (based on an assumed initial public offering price of $ per share, the midpoint of the price range set forth on the cover of this prospectus), which includes net proceeds received from the issuance of common and convertible preferred stock, cash received from the exercise of stock options, and the value of any stock issued for services and the average price paid per share (in thousands, except share and per 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335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1840" w:type="dxa"/>
            <w:vAlign w:val="bottom"/>
            <w:gridSpan w:val="3"/>
            <w:vMerge w:val="restart"/>
          </w:tcPr>
          <w:p>
            <w:pPr>
              <w:jc w:val="right"/>
              <w:ind w:right="180"/>
              <w:spacing w:after="0"/>
              <w:rPr>
                <w:sz w:val="20"/>
                <w:szCs w:val="20"/>
                <w:color w:val="auto"/>
              </w:rPr>
            </w:pPr>
            <w:r>
              <w:rPr>
                <w:rFonts w:ascii="Arial" w:cs="Arial" w:eastAsia="Arial" w:hAnsi="Arial"/>
                <w:sz w:val="17"/>
                <w:szCs w:val="17"/>
                <w:b w:val="1"/>
                <w:bCs w:val="1"/>
                <w:color w:val="auto"/>
              </w:rPr>
              <w:t>Shares purchased</w:t>
            </w:r>
          </w:p>
        </w:tc>
        <w:tc>
          <w:tcPr>
            <w:tcW w:w="180" w:type="dxa"/>
            <w:vAlign w:val="bottom"/>
          </w:tcPr>
          <w:p>
            <w:pPr>
              <w:spacing w:after="0"/>
              <w:rPr>
                <w:sz w:val="17"/>
                <w:szCs w:val="17"/>
                <w:color w:val="auto"/>
              </w:rPr>
            </w:pPr>
          </w:p>
        </w:tc>
        <w:tc>
          <w:tcPr>
            <w:tcW w:w="1920" w:type="dxa"/>
            <w:vAlign w:val="bottom"/>
            <w:gridSpan w:val="3"/>
            <w:vMerge w:val="restart"/>
          </w:tcPr>
          <w:p>
            <w:pPr>
              <w:jc w:val="right"/>
              <w:ind w:right="180"/>
              <w:spacing w:after="0"/>
              <w:rPr>
                <w:sz w:val="20"/>
                <w:szCs w:val="20"/>
                <w:color w:val="auto"/>
              </w:rPr>
            </w:pPr>
            <w:r>
              <w:rPr>
                <w:rFonts w:ascii="Arial" w:cs="Arial" w:eastAsia="Arial" w:hAnsi="Arial"/>
                <w:sz w:val="17"/>
                <w:szCs w:val="17"/>
                <w:b w:val="1"/>
                <w:bCs w:val="1"/>
                <w:color w:val="auto"/>
              </w:rPr>
              <w:t>Total consideration</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Average</w:t>
            </w:r>
          </w:p>
        </w:tc>
        <w:tc>
          <w:tcPr>
            <w:tcW w:w="0" w:type="dxa"/>
            <w:vAlign w:val="bottom"/>
          </w:tcPr>
          <w:p>
            <w:pPr>
              <w:spacing w:after="0"/>
              <w:rPr>
                <w:sz w:val="1"/>
                <w:szCs w:val="1"/>
                <w:color w:val="auto"/>
              </w:rPr>
            </w:pPr>
          </w:p>
        </w:tc>
      </w:tr>
      <w:tr>
        <w:trPr>
          <w:trHeight w:val="86"/>
        </w:trPr>
        <w:tc>
          <w:tcPr>
            <w:tcW w:w="634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price per</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Percent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Amount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Percent</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share</w:t>
            </w: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stockholders</w:t>
            </w:r>
          </w:p>
        </w:tc>
        <w:tc>
          <w:tcPr>
            <w:tcW w:w="8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753"/>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3"/>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tcPr>
          <w:p>
            <w:pPr>
              <w:spacing w:after="0"/>
              <w:rPr>
                <w:sz w:val="20"/>
                <w:szCs w:val="20"/>
                <w:color w:val="auto"/>
              </w:rPr>
            </w:pPr>
            <w:r>
              <w:rPr>
                <w:rFonts w:ascii="Arial" w:cs="Arial" w:eastAsia="Arial" w:hAnsi="Arial"/>
                <w:sz w:val="17"/>
                <w:szCs w:val="17"/>
                <w:color w:val="auto"/>
              </w:rPr>
              <w:t>New public investors</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ind w:right="753"/>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2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340" w:type="dxa"/>
            <w:vAlign w:val="bottom"/>
          </w:tcPr>
          <w:p>
            <w:pPr>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900" w:type="dxa"/>
            <w:vAlign w:val="bottom"/>
            <w:gridSpan w:val="9"/>
          </w:tcPr>
          <w:p>
            <w:pPr>
              <w:jc w:val="right"/>
              <w:ind w:right="420"/>
              <w:spacing w:after="0"/>
              <w:rPr>
                <w:sz w:val="20"/>
                <w:szCs w:val="20"/>
                <w:color w:val="auto"/>
              </w:rPr>
            </w:pPr>
            <w:r>
              <w:rPr>
                <w:rFonts w:ascii="Arial" w:cs="Arial" w:eastAsia="Arial" w:hAnsi="Arial"/>
                <w:sz w:val="17"/>
                <w:szCs w:val="17"/>
                <w:color w:val="auto"/>
              </w:rPr>
              <w:t>per share, which is the midpoint of the estimated price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range set forth on the cover of this prospectus, would increase (decrease) total consideration paid by new investors and total consideration paid</w:t>
      </w:r>
    </w:p>
    <w:p>
      <w:pPr>
        <w:spacing w:after="0" w:line="5"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by all stockholders by approximately $ million, assuming that the number of shares offered, as set forth on the cover of this prospectus, remains the same, and after deducting estimated underwriting discounts and commissions. Similarly, each increase (decrease) of 1.0 million shares in the number of shares of common stock offered in this offering would increase (decrease) total consideration paid by new investors and</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total consideration paid by all stockholders by approximately $ million, assuming the assumed initial public offering price remains the same and after deducting the estimated underwriting discounts and commissions.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extent that any outstanding options or warrants are exercised, investors in this offering will experience further dilution.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w:t>
      </w:r>
    </w:p>
    <w:p>
      <w:pPr>
        <w:spacing w:after="0" w:line="5"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the underwriters exercise their option to purchase additional shares in full, our existing stockholders would own % and our new investors would own % of the total number of shares of our common stock outstanding upon the completion of this offering.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March 31, 2021 excludes:</w:t>
      </w:r>
    </w:p>
    <w:p>
      <w:pPr>
        <w:spacing w:after="0" w:line="125" w:lineRule="exact"/>
        <w:rPr>
          <w:sz w:val="20"/>
          <w:szCs w:val="20"/>
          <w:color w:val="auto"/>
        </w:rPr>
      </w:pPr>
    </w:p>
    <w:p>
      <w:pPr>
        <w:ind w:left="220" w:right="340" w:hanging="213"/>
        <w:spacing w:after="0" w:line="263" w:lineRule="auto"/>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6,464,649 shares of common stock issuable upon the exercise of stock options outstanding as of March 31, 2021, with a weighted-average exercise price of $0.57 per share under our 2020 Stock Option and Grant Plan;</w:t>
      </w:r>
    </w:p>
    <w:p>
      <w:pPr>
        <w:spacing w:after="0" w:line="93" w:lineRule="exact"/>
        <w:rPr>
          <w:rFonts w:ascii="Arial" w:cs="Arial" w:eastAsia="Arial" w:hAnsi="Arial"/>
          <w:sz w:val="17"/>
          <w:szCs w:val="17"/>
          <w:color w:val="auto"/>
        </w:rPr>
      </w:pPr>
    </w:p>
    <w:p>
      <w:pPr>
        <w:ind w:left="220" w:right="380" w:hanging="213"/>
        <w:spacing w:after="0" w:line="263" w:lineRule="auto"/>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9,470,232 shares of our common stock issuable upon the exercise of stock options granted after March 31, 2021, with a weighted-average exercise price of $1.76 per share under our 2020 Stock Option and Grant Plan; and</w:t>
      </w:r>
    </w:p>
    <w:p>
      <w:pPr>
        <w:spacing w:after="0" w:line="93" w:lineRule="exact"/>
        <w:rPr>
          <w:rFonts w:ascii="Arial" w:cs="Arial" w:eastAsia="Arial" w:hAnsi="Arial"/>
          <w:sz w:val="17"/>
          <w:szCs w:val="17"/>
          <w:color w:val="auto"/>
        </w:rPr>
      </w:pPr>
    </w:p>
    <w:p>
      <w:pPr>
        <w:ind w:left="220" w:right="120" w:hanging="213"/>
        <w:spacing w:after="0" w:line="26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stock-based compensation plans, consisting of (i) 4,074,852 shares of common stock reserved for future issuance under our 2020 Stock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456"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280"/>
        <w:spacing w:after="0" w:line="246" w:lineRule="auto"/>
        <w:rPr>
          <w:sz w:val="20"/>
          <w:szCs w:val="20"/>
          <w:color w:val="auto"/>
        </w:rPr>
      </w:pPr>
      <w:r>
        <w:rPr>
          <w:rFonts w:ascii="Arial" w:cs="Arial" w:eastAsia="Arial" w:hAnsi="Arial"/>
          <w:sz w:val="17"/>
          <w:szCs w:val="17"/>
          <w:color w:val="auto"/>
        </w:rPr>
        <w:t>and Grant Plan as of March 31, 2021, (ii) shares of common stock reserved for future issuance under our 2021 Stock Option and Incentive Plan, which will become effective on the date immediately prior to the date of this prospectus, and (iii) shares of common</w:t>
      </w:r>
    </w:p>
    <w:p>
      <w:pPr>
        <w:ind w:left="220"/>
        <w:spacing w:after="0" w:line="263" w:lineRule="auto"/>
        <w:rPr>
          <w:sz w:val="20"/>
          <w:szCs w:val="20"/>
          <w:color w:val="auto"/>
        </w:rPr>
      </w:pPr>
      <w:r>
        <w:rPr>
          <w:rFonts w:ascii="Arial" w:cs="Arial" w:eastAsia="Arial" w:hAnsi="Arial"/>
          <w:sz w:val="17"/>
          <w:szCs w:val="17"/>
          <w:color w:val="auto"/>
        </w:rPr>
        <w:t>stock reserved for future issuance under our 2021 Employee Stock Purchase Plan, which will become effective on the date immediately prior to the date of this prospectus.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20"/>
          </w:cols>
          <w:pgMar w:left="320" w:top="456"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Selected financial information</w:t>
      </w:r>
    </w:p>
    <w:p>
      <w:pPr>
        <w:spacing w:after="0" w:line="15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following tables present the selected financial data for our business. The selected combined and consolidated statements of operations data for the years ended December 31, 2020 and 2019 and the selected combined and consolidated balance sheet data as of December 31, 2020 and 2019 have been derived from our audited combined and consolidated financial statements and related notes included elsewhere in this prospectus. The selected combined and consolidated statements of operations data for the three months ended March 31, 2021 and 2020 and the selected combined and consolidated balance sheet data as of March 31, 2021 have been derived from our unaudited condensed combined and consolidated financial statements and related notes included elsewhere in this prospectus. You should read this data together with our financial statements and related notes included elsewhere in this prospectus and in the section of this prospectus entitled “Management’s discussion and analysis of financial condition and results of operations.” Our historical results are not necessarily indicative of the results to be expected in the future and our interim results are not are not necessarily indicative of the results that may be expected for the full fiscal year. The selected financial data included in this section are not intended to replace the combined and consolidated financial statements and are qualified in their entirety by the combined and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335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5"/>
          </w:tcPr>
          <w:p>
            <w:pPr>
              <w:jc w:val="center"/>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9"/>
                <w:szCs w:val="19"/>
                <w:color w:val="auto"/>
              </w:rPr>
            </w:pPr>
          </w:p>
        </w:tc>
        <w:tc>
          <w:tcPr>
            <w:tcW w:w="254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194"/>
        </w:trPr>
        <w:tc>
          <w:tcPr>
            <w:tcW w:w="5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360"/>
              <w:spacing w:after="0" w:line="194" w:lineRule="exact"/>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360"/>
              <w:spacing w:after="0" w:line="194" w:lineRule="exact"/>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Combined and Consolidated Statements of Operations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Data:</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100" w:type="dxa"/>
            <w:vAlign w:val="bottom"/>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9,273</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24,005</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4,005</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11,504</w:t>
            </w: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28,010</w:t>
            </w: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tcPr>
          <w:p>
            <w:pPr>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(11,504)</w:t>
            </w:r>
          </w:p>
        </w:tc>
        <w:tc>
          <w:tcPr>
            <w:tcW w:w="4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(4,293)</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(28,010)</w:t>
            </w: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(7,994)</w:t>
            </w:r>
          </w:p>
        </w:tc>
        <w:tc>
          <w:tcPr>
            <w:tcW w:w="0" w:type="dxa"/>
            <w:vAlign w:val="bottom"/>
          </w:tcPr>
          <w:p>
            <w:pPr>
              <w:spacing w:after="0"/>
              <w:rPr>
                <w:sz w:val="1"/>
                <w:szCs w:val="1"/>
                <w:color w:val="auto"/>
              </w:rPr>
            </w:pPr>
          </w:p>
        </w:tc>
      </w:tr>
      <w:tr>
        <w:trPr>
          <w:trHeight w:val="55"/>
        </w:trPr>
        <w:tc>
          <w:tcPr>
            <w:tcW w:w="5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tcPr>
          <w:p>
            <w:pPr>
              <w:ind w:left="220"/>
              <w:spacing w:after="0"/>
              <w:rPr>
                <w:sz w:val="20"/>
                <w:szCs w:val="20"/>
                <w:color w:val="auto"/>
              </w:rPr>
            </w:pPr>
            <w:r>
              <w:rPr>
                <w:rFonts w:ascii="Arial" w:cs="Arial" w:eastAsia="Arial" w:hAnsi="Arial"/>
                <w:sz w:val="17"/>
                <w:szCs w:val="17"/>
                <w:color w:val="auto"/>
              </w:rPr>
              <w:t>Interest income (expense),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6</w:t>
            </w:r>
          </w:p>
        </w:tc>
        <w:tc>
          <w:tcPr>
            <w:tcW w:w="400" w:type="dxa"/>
            <w:vAlign w:val="bottom"/>
          </w:tcPr>
          <w:p>
            <w:pPr>
              <w:spacing w:after="0"/>
              <w:rPr>
                <w:sz w:val="17"/>
                <w:szCs w:val="17"/>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9</w:t>
            </w:r>
          </w:p>
        </w:tc>
        <w:tc>
          <w:tcPr>
            <w:tcW w:w="4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exchange loss,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(198)</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7"/>
                <w:szCs w:val="17"/>
                <w:color w:val="auto"/>
              </w:rPr>
              <w:t>Changes in fair value of preferred stock tranche obligations,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(960)</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7"/>
                <w:szCs w:val="17"/>
                <w:color w:val="auto"/>
              </w:rPr>
              <w:t>0</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(7,680)</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other (expense) income</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(772)</w:t>
            </w:r>
          </w:p>
        </w:tc>
        <w:tc>
          <w:tcPr>
            <w:tcW w:w="4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(7,869)</w:t>
            </w: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(12,276)</w:t>
            </w:r>
          </w:p>
        </w:tc>
        <w:tc>
          <w:tcPr>
            <w:tcW w:w="400" w:type="dxa"/>
            <w:vAlign w:val="bottom"/>
          </w:tcPr>
          <w:p>
            <w:pPr>
              <w:jc w:val="center"/>
              <w:ind w:left="213"/>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(4,302)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(35,879)</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204"/>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and diluted(1)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(2.03)</w:t>
            </w:r>
          </w:p>
        </w:tc>
        <w:tc>
          <w:tcPr>
            <w:tcW w:w="400" w:type="dxa"/>
            <w:vAlign w:val="bottom"/>
            <w:shd w:val="clear" w:color="auto" w:fill="CCEEFF"/>
          </w:tcPr>
          <w:p>
            <w:pPr>
              <w:jc w:val="center"/>
              <w:ind w:left="213"/>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(6.70)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4"/>
        </w:trPr>
        <w:tc>
          <w:tcPr>
            <w:tcW w:w="5100" w:type="dxa"/>
            <w:vAlign w:val="bottom"/>
          </w:tcPr>
          <w:p>
            <w:pPr>
              <w:spacing w:after="0"/>
              <w:rPr>
                <w:sz w:val="20"/>
                <w:szCs w:val="20"/>
                <w:color w:val="auto"/>
              </w:rPr>
            </w:pPr>
            <w:r>
              <w:rPr>
                <w:rFonts w:ascii="Arial" w:cs="Arial" w:eastAsia="Arial" w:hAnsi="Arial"/>
                <w:sz w:val="17"/>
                <w:szCs w:val="17"/>
                <w:color w:val="auto"/>
              </w:rPr>
              <w:t>Weighted-average number of shares used in computing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7"/>
                <w:szCs w:val="17"/>
                <w:color w:val="auto"/>
              </w:rPr>
              <w:t>loss per common share—basic and diluted(1)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6,034,427</w:t>
            </w: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5,355,459</w:t>
            </w: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common share—basic and diluted(1)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(0.16)</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(0.91)</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Weighted-average number of shares used in computing pro</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forma net loss per common share—basic and diluted(1)</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76,745,329</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39,345,241</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right="80" w:hanging="313"/>
        <w:spacing w:after="0" w:line="242" w:lineRule="auto"/>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See Note 13 to our combined and consolidated financial statements for the years ended December 31, 2020 and 2019 and Note 9 to our unaudited condensed combined and consolidated financial statements for the three months ended March 31, 2021 and 2020 appearing elsewhere in this prospectus for further details on the calculation of basic and diluted net loss per share attributable to common stockholders. The unaudited pro forma basic and diluted weighted-average common shares outstanding used in the calculation of unaudited pro forma basic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456"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340" w:right="280"/>
        <w:spacing w:after="0" w:line="245" w:lineRule="auto"/>
        <w:rPr>
          <w:sz w:val="20"/>
          <w:szCs w:val="20"/>
          <w:color w:val="auto"/>
        </w:rPr>
      </w:pPr>
      <w:r>
        <w:rPr>
          <w:rFonts w:ascii="Arial" w:cs="Arial" w:eastAsia="Arial" w:hAnsi="Arial"/>
          <w:sz w:val="13"/>
          <w:szCs w:val="13"/>
          <w:color w:val="auto"/>
        </w:rPr>
        <w:t>and diluted net loss per share attributable to common stockholders for the year ended December 31, 2020 and the three months ended March 31, 2021 have been prepared to give effect to the automatic conversion of all outstanding shares of convertible preferred stock into common stock as if the proposed initial public offering had occurred on the later of the beginning of each period or the issuance date of the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1335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As of</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9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9"/>
              </w:rPr>
              <w:t>March 31,</w:t>
            </w:r>
          </w:p>
        </w:tc>
        <w:tc>
          <w:tcPr>
            <w:tcW w:w="200" w:type="dxa"/>
            <w:vAlign w:val="bottom"/>
          </w:tcPr>
          <w:p>
            <w:pPr>
              <w:spacing w:after="0"/>
              <w:rPr>
                <w:sz w:val="19"/>
                <w:szCs w:val="19"/>
                <w:color w:val="auto"/>
              </w:rPr>
            </w:pPr>
          </w:p>
        </w:tc>
        <w:tc>
          <w:tcPr>
            <w:tcW w:w="196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4"/>
        </w:trPr>
        <w:tc>
          <w:tcPr>
            <w:tcW w:w="606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73"/>
              <w:spacing w:after="0" w:line="194" w:lineRule="exact"/>
              <w:rPr>
                <w:sz w:val="20"/>
                <w:szCs w:val="20"/>
                <w:color w:val="auto"/>
              </w:rPr>
            </w:pPr>
            <w:r>
              <w:rPr>
                <w:rFonts w:ascii="Arial" w:cs="Arial" w:eastAsia="Arial" w:hAnsi="Arial"/>
                <w:sz w:val="17"/>
                <w:szCs w:val="17"/>
                <w:b w:val="1"/>
                <w:bCs w:val="1"/>
                <w:color w:val="auto"/>
              </w:rPr>
              <w:t>2020</w:t>
            </w:r>
          </w:p>
        </w:tc>
        <w:tc>
          <w:tcPr>
            <w:tcW w:w="9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Combined and Consolidated Balance Sheet Data:</w:t>
            </w:r>
          </w:p>
        </w:tc>
        <w:tc>
          <w:tcPr>
            <w:tcW w:w="1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$ 168,436</w:t>
            </w:r>
          </w:p>
        </w:tc>
        <w:tc>
          <w:tcPr>
            <w:tcW w:w="240" w:type="dxa"/>
            <w:vAlign w:val="bottom"/>
          </w:tcPr>
          <w:p>
            <w:pPr>
              <w:spacing w:after="0"/>
              <w:rPr>
                <w:sz w:val="17"/>
                <w:szCs w:val="17"/>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7"/>
                <w:szCs w:val="17"/>
                <w:color w:val="auto"/>
              </w:rPr>
              <w:t>$ 41,699</w:t>
            </w:r>
          </w:p>
        </w:tc>
        <w:tc>
          <w:tcPr>
            <w:tcW w:w="900" w:type="dxa"/>
            <w:vAlign w:val="bottom"/>
          </w:tcPr>
          <w:p>
            <w:pPr>
              <w:jc w:val="right"/>
              <w:spacing w:after="0"/>
              <w:rPr>
                <w:sz w:val="20"/>
                <w:szCs w:val="20"/>
                <w:color w:val="auto"/>
              </w:rPr>
            </w:pPr>
            <w:r>
              <w:rPr>
                <w:rFonts w:ascii="Arial" w:cs="Arial" w:eastAsia="Arial" w:hAnsi="Arial"/>
                <w:sz w:val="17"/>
                <w:szCs w:val="17"/>
                <w:color w:val="auto"/>
              </w:rPr>
              <w:t>$  5,995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180,603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49,378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Working capital(2)</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162,616</w:t>
            </w:r>
          </w:p>
        </w:tc>
        <w:tc>
          <w:tcPr>
            <w:tcW w:w="240" w:type="dxa"/>
            <w:vAlign w:val="bottom"/>
          </w:tcPr>
          <w:p>
            <w:pPr>
              <w:spacing w:after="0"/>
              <w:rPr>
                <w:sz w:val="17"/>
                <w:szCs w:val="17"/>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7"/>
                <w:szCs w:val="17"/>
                <w:color w:val="auto"/>
              </w:rPr>
              <w:t>14,316</w:t>
            </w:r>
          </w:p>
        </w:tc>
        <w:tc>
          <w:tcPr>
            <w:tcW w:w="900" w:type="dxa"/>
            <w:vAlign w:val="bottom"/>
          </w:tcPr>
          <w:p>
            <w:pPr>
              <w:jc w:val="right"/>
              <w:spacing w:after="0"/>
              <w:rPr>
                <w:sz w:val="20"/>
                <w:szCs w:val="20"/>
                <w:color w:val="auto"/>
              </w:rPr>
            </w:pPr>
            <w:r>
              <w:rPr>
                <w:rFonts w:ascii="Arial" w:cs="Arial" w:eastAsia="Arial" w:hAnsi="Arial"/>
                <w:sz w:val="17"/>
                <w:szCs w:val="17"/>
                <w:color w:val="auto"/>
              </w:rPr>
              <w:t>5,467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10,047</w:t>
            </w:r>
          </w:p>
        </w:tc>
        <w:tc>
          <w:tcPr>
            <w:tcW w:w="116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30,342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231,172</w:t>
            </w:r>
          </w:p>
        </w:tc>
        <w:tc>
          <w:tcPr>
            <w:tcW w:w="240" w:type="dxa"/>
            <w:vAlign w:val="bottom"/>
          </w:tcPr>
          <w:p>
            <w:pPr>
              <w:spacing w:after="0"/>
              <w:rPr>
                <w:sz w:val="17"/>
                <w:szCs w:val="17"/>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7"/>
                <w:szCs w:val="17"/>
                <w:color w:val="auto"/>
              </w:rPr>
              <w:t>67,764</w:t>
            </w:r>
          </w:p>
        </w:tc>
        <w:tc>
          <w:tcPr>
            <w:tcW w:w="900" w:type="dxa"/>
            <w:vAlign w:val="bottom"/>
          </w:tcPr>
          <w:p>
            <w:pPr>
              <w:jc w:val="right"/>
              <w:spacing w:after="0"/>
              <w:rPr>
                <w:sz w:val="20"/>
                <w:szCs w:val="20"/>
                <w:color w:val="auto"/>
              </w:rPr>
            </w:pPr>
            <w:r>
              <w:rPr>
                <w:rFonts w:ascii="Arial" w:cs="Arial" w:eastAsia="Arial" w:hAnsi="Arial"/>
                <w:sz w:val="17"/>
                <w:szCs w:val="17"/>
                <w:color w:val="auto"/>
              </w:rPr>
              <w:t>18,950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(60,616)</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(48,728)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(12,148)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456"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120"/>
        <w:spacing w:after="0" w:line="282"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1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entitled “Selected financial information” and our combined and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our forward-looking statements. Please also see the section entitled “Special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a biopharmaceutical company developing a portfolio of novel small molecule precision medicines that employ the body’s natural mechanisms to selectively degrade therapeutically-relevant proteins. We have developed a proprietary protein degradation platform, called QuEEN, that enables us to rapidly identify protein targets and molecular glue degrader, or MGD, product candidates that are designed to eliminate therapeutically-relevant proteins in a highly selective manner. We believe our small molecule MGDs may give us significant advantages over existing therapeutic modalities, including other protein degradation approaches, by allowing us to target proteins that have been considered undruggable or inadequately drugged. We focus on therapeutic targets backed by strong biological and genetic rationale with the goal of discovering and developing novel precision medicines.</w:t>
      </w:r>
    </w:p>
    <w:p>
      <w:pPr>
        <w:spacing w:after="0" w:line="9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We were incorporated in Delaware in November 2019 and are headquartered in Boston, Massachusetts with research operations in both Boston and Basel, Switzerland. To date, we have been financed primarily by gross proceeds of approximately $223.5 million from the issuance of convertible promissory notes and convertible preferred stock, including our most recent sales and issuances of convertible preferred stock in February and March 2021.</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Contribution and exchange</w:t>
      </w:r>
    </w:p>
    <w:p>
      <w:pPr>
        <w:spacing w:after="0" w:line="142"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Monte Rosa Therapeutics AG, a Swiss operating company, was incorporated in April 2018. Monte Rosa Therapeutics, Inc. was incorporated in November 2019. In 2020, Monte Rosa Therapeutics, Inc. and Monte Rosa Therapeutics AG, entities under common control since the incorporation of Monte Rosa Therapeutics, Inc., consummated a contribution and exchange agreement, or the Contribution and Exchange, whereby Monte Rosa Therapeutics, Inc. (i) acquired the net assets and shareholdings of Monte Rosa Therapeutics AG via a one-for-one exchange of equity between Monte Rosa Therapeutics, Inc. and the shareholders of Monte Rosa Therapeutics AG in a common control reorganization. Accordingly, the historical financial information has been retrospectively adjusted to include the historical results and financial position of the Company combined with Monte Rosa Therapeutics AG’s historical results and financial position, after the elimination of all intercompany accounts and transactions. See the section entitled “Prospectus summary—Corporate information” for more information on the contribution and exchange transaction.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456"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w:t>
      </w:r>
    </w:p>
    <w:p>
      <w:pPr>
        <w:spacing w:after="0" w:line="142"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color w:val="auto"/>
        </w:rPr>
        <w:t>Since inception, we have had significant operating losses. Our primary use of cash is to fund operating expenses, which consist primarily of research and development expenditures and, to a lesser extent, general and administrative expenditures. Our net loss was $35.9 million and $7.7 million for the years ended December 31, 2020 and 2019, respectively, and our net loss was $12.3 million for the three months ended March 31, 2021. As of March 31, 2021, we had an accumulated deficit of $60.4 million and $168.4 million in cash and cash equivalents. In February 2021, we issued 24,000,000 shares of our Series B Preferred Stock pursuant to the Company’s Series B Preferred Stock tranche obligation for aggregate gross proceeds of $48.0 million. In March 2021, we authorized the sale of up to 32,054,521 shares of its Series C convertible preferred stock at a price of $2.9637 per share, or Series C Preferred, and issued the authorized shares of Series C Preferred to several new and existing investors for aggregate gross proceeds of $95.0 million.</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effects of COVID-19</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current COVID-19 pandemic has presented a substantial public health and economic challenge around the world and is affecting our employees, patients, communities and business operations, as well as the U.S. economy and financial markets. To date, our financial conditions and operations have not been significantly impacted by the COVID-19 outbreak; however, the full extent to which the COVID-19 pandemic will directly or indirectly impact our business, results of operations, liquidity and financial condition will depend on future developments, which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94"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To date, our vendors have been able to continue to provide services and supply reagents, materials, and products and currently do not anticipate any disruption in services or interruptions in supply. However, we are continuing to assess the potential impact of the COVID-19 pandemic on our business and operations, including our expenses, and our ability to hire and retain employees.</w:t>
      </w:r>
    </w:p>
    <w:p>
      <w:pPr>
        <w:spacing w:after="0" w:line="88" w:lineRule="exact"/>
        <w:rPr>
          <w:sz w:val="20"/>
          <w:szCs w:val="20"/>
          <w:color w:val="auto"/>
        </w:rPr>
      </w:pPr>
    </w:p>
    <w:p>
      <w:pPr>
        <w:jc w:val="both"/>
        <w:ind w:right="360"/>
        <w:spacing w:after="0" w:line="254"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partial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8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Our office-based employees have been working from home since March 2020, while ensuring essential staffing levels in our operations remain in place, including maintaining key personnel in our laboratories.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on the various risks posed by the COVID-19 pandemic, please read the section entitled “Risk factors” in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Components of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expenses include:</w:t>
      </w:r>
    </w:p>
    <w:p>
      <w:pPr>
        <w:spacing w:after="0" w:line="125" w:lineRule="exact"/>
        <w:rPr>
          <w:sz w:val="20"/>
          <w:szCs w:val="20"/>
          <w:color w:val="auto"/>
        </w:rPr>
      </w:pPr>
    </w:p>
    <w:p>
      <w:pPr>
        <w:ind w:left="220" w:right="260" w:hanging="213"/>
        <w:spacing w:after="0" w:line="263"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third-party service providers that conduct research and development activities on our behalf;</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personnel costs, which include salaries, benefits, pension and stock-based compensation;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456"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laboratory and vendor expenses related to the execution of preclinical studies;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laboratory supplies and materials used for internal research and development activities;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facilities and equipment costs.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Most of our research and development expenses have been related to the development of our QuEEN platform and discovery and lead optimization efforts of our GSPT1 program. 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identifying and developing product candidates.</w:t>
      </w:r>
    </w:p>
    <w:p>
      <w:pPr>
        <w:spacing w:after="0" w:line="92"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8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including investments in manufacturing, as we advance our programs and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the costs of related clinical development costs or when and to what extent we will generate revenue from the commercialization and sale of any of our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general and administrative expenses consist primarily of personnel costs and other expenses for outside professional services, including legal fees relating to patent and corporate matters, professional fees for accounting, auditing, tax and administrative consulting services, insurance costs and other operating costs. We expect our general and administrative expenses to increase over the next several years to support our continued research and development activities, manufacturing activities, and the potential commercialization of our product candidates and development of commercial infrastructure. We also anticipate our general and administrative costs will increase and with respect to the hiring of additional personnel, fees to outside consultants, lawyers and accountants, and increased costs associated with being a public company such as expenses related to services associated with maintaining compliance with Nasdaq listing rules and SEC reporting requirements, insurance and investor relations costs.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income and (expense)</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non-operating income and (expense) includes (i) interest earned on our investments, including principally U.S. government-backed money-market funds; (ii) gains and losses on transactions of our Swiss subsidiary denominated in currencies other than the U.S. Dollar; and (iii) changes in the fair value of our preferred stock tranche obligations.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456"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 for the three months ended March 31, 2021 and 2020</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rPr>
              <w:t>Three months ended</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rPr>
              <w:t>March 31,</w:t>
            </w:r>
          </w:p>
        </w:tc>
        <w:tc>
          <w:tcPr>
            <w:tcW w:w="1480" w:type="dxa"/>
            <w:vAlign w:val="bottom"/>
            <w:gridSpan w:val="4"/>
            <w:vMerge w:val="restart"/>
          </w:tcPr>
          <w:p>
            <w:pPr>
              <w:ind w:left="22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73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93"/>
              <w:spacing w:after="0" w:line="194" w:lineRule="exact"/>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8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7"/>
                <w:szCs w:val="17"/>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7"/>
                <w:szCs w:val="17"/>
                <w:color w:val="auto"/>
              </w:rPr>
              <w:t>$  9,273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$ 3,815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5,458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2,231</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11,504</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(11,504)</w:t>
            </w:r>
          </w:p>
        </w:tc>
        <w:tc>
          <w:tcPr>
            <w:tcW w:w="3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(4,293)</w:t>
            </w:r>
          </w:p>
        </w:tc>
        <w:tc>
          <w:tcPr>
            <w:tcW w:w="6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(7,211)</w:t>
            </w:r>
          </w:p>
        </w:tc>
        <w:tc>
          <w:tcPr>
            <w:tcW w:w="0" w:type="dxa"/>
            <w:vAlign w:val="bottom"/>
          </w:tcPr>
          <w:p>
            <w:pPr>
              <w:spacing w:after="0"/>
              <w:rPr>
                <w:sz w:val="1"/>
                <w:szCs w:val="1"/>
                <w:color w:val="auto"/>
              </w:rPr>
            </w:pPr>
          </w:p>
        </w:tc>
      </w:tr>
      <w:tr>
        <w:trPr>
          <w:trHeight w:val="201"/>
        </w:trPr>
        <w:tc>
          <w:tcPr>
            <w:tcW w:w="7380" w:type="dxa"/>
            <w:vAlign w:val="bottom"/>
          </w:tcPr>
          <w:p>
            <w:pPr>
              <w:spacing w:after="0"/>
              <w:rPr>
                <w:sz w:val="20"/>
                <w:szCs w:val="20"/>
                <w:color w:val="auto"/>
              </w:rPr>
            </w:pPr>
            <w:r>
              <w:rPr>
                <w:rFonts w:ascii="Arial" w:cs="Arial" w:eastAsia="Arial" w:hAnsi="Arial"/>
                <w:sz w:val="17"/>
                <w:szCs w:val="17"/>
                <w:color w:val="auto"/>
              </w:rPr>
              <w:t>Other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(772)</w:t>
            </w:r>
          </w:p>
        </w:tc>
        <w:tc>
          <w:tcPr>
            <w:tcW w:w="300" w:type="dxa"/>
            <w:vAlign w:val="bottom"/>
          </w:tcPr>
          <w:p>
            <w:pPr>
              <w:spacing w:after="0"/>
              <w:rPr>
                <w:sz w:val="17"/>
                <w:szCs w:val="17"/>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(9)</w:t>
            </w:r>
          </w:p>
        </w:tc>
        <w:tc>
          <w:tcPr>
            <w:tcW w:w="62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 (12,276)</w:t>
            </w:r>
          </w:p>
        </w:tc>
        <w:tc>
          <w:tcPr>
            <w:tcW w:w="3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$(4,302)</w:t>
            </w: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(7,974)</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tcPr>
          <w:p>
            <w:pPr>
              <w:spacing w:after="0"/>
              <w:rPr>
                <w:sz w:val="20"/>
                <w:szCs w:val="20"/>
                <w:color w:val="auto"/>
              </w:rPr>
            </w:pPr>
            <w:r>
              <w:rPr>
                <w:rFonts w:ascii="Arial" w:cs="Arial" w:eastAsia="Arial" w:hAnsi="Arial"/>
                <w:sz w:val="17"/>
                <w:szCs w:val="17"/>
                <w:b w:val="1"/>
                <w:bCs w:val="1"/>
                <w:i w:val="1"/>
                <w:iCs w:val="1"/>
                <w:color w:val="auto"/>
              </w:rPr>
              <w:t>Research and development expenses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380" w:type="dxa"/>
            <w:vAlign w:val="bottom"/>
          </w:tcPr>
          <w:p>
            <w:pPr>
              <w:spacing w:after="0"/>
              <w:rPr>
                <w:sz w:val="20"/>
                <w:szCs w:val="20"/>
                <w:color w:val="auto"/>
              </w:rPr>
            </w:pPr>
            <w:r>
              <w:rPr>
                <w:rFonts w:ascii="Arial" w:cs="Arial" w:eastAsia="Arial" w:hAnsi="Arial"/>
                <w:sz w:val="17"/>
                <w:szCs w:val="17"/>
                <w:color w:val="auto"/>
              </w:rPr>
              <w:t>Research and development expenses were comprised of: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5"/>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5"/>
          </w:tcPr>
          <w:p>
            <w:pPr>
              <w:jc w:val="right"/>
              <w:ind w:right="280"/>
              <w:spacing w:after="0"/>
              <w:rPr>
                <w:sz w:val="20"/>
                <w:szCs w:val="20"/>
                <w:color w:val="auto"/>
              </w:rPr>
            </w:pPr>
            <w:r>
              <w:rPr>
                <w:rFonts w:ascii="Arial" w:cs="Arial" w:eastAsia="Arial" w:hAnsi="Arial"/>
                <w:sz w:val="17"/>
                <w:szCs w:val="17"/>
                <w:b w:val="1"/>
                <w:bCs w:val="1"/>
                <w:color w:val="auto"/>
              </w:rPr>
              <w:t>Three months ended</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rPr>
              <w:t>March 31,</w:t>
            </w:r>
          </w:p>
        </w:tc>
        <w:tc>
          <w:tcPr>
            <w:tcW w:w="1480" w:type="dxa"/>
            <w:vAlign w:val="bottom"/>
            <w:gridSpan w:val="4"/>
            <w:vMerge w:val="restart"/>
          </w:tcPr>
          <w:p>
            <w:pPr>
              <w:ind w:left="28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7380" w:type="dxa"/>
            <w:vAlign w:val="bottom"/>
            <w:tcBorders>
              <w:bottom w:val="single" w:sz="8" w:color="auto"/>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right"/>
              <w:ind w:right="293"/>
              <w:spacing w:after="0" w:line="194" w:lineRule="exact"/>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External research and development services</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93"/>
              <w:spacing w:after="0" w:line="194" w:lineRule="exact"/>
              <w:rPr>
                <w:sz w:val="20"/>
                <w:szCs w:val="20"/>
                <w:color w:val="auto"/>
              </w:rPr>
            </w:pPr>
            <w:r>
              <w:rPr>
                <w:rFonts w:ascii="Arial" w:cs="Arial" w:eastAsia="Arial" w:hAnsi="Arial"/>
                <w:sz w:val="17"/>
                <w:szCs w:val="17"/>
                <w:color w:val="auto"/>
              </w:rPr>
              <w:t>4,303</w:t>
            </w:r>
          </w:p>
        </w:tc>
        <w:tc>
          <w:tcPr>
            <w:tcW w:w="30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3,567</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736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80" w:type="dxa"/>
            <w:vAlign w:val="bottom"/>
          </w:tcPr>
          <w:p>
            <w:pPr>
              <w:spacing w:after="0"/>
              <w:rPr>
                <w:sz w:val="20"/>
                <w:szCs w:val="20"/>
                <w:color w:val="auto"/>
              </w:rPr>
            </w:pPr>
            <w:r>
              <w:rPr>
                <w:rFonts w:ascii="Arial" w:cs="Arial" w:eastAsia="Arial" w:hAnsi="Arial"/>
                <w:sz w:val="17"/>
                <w:szCs w:val="17"/>
                <w:color w:val="auto"/>
              </w:rPr>
              <w:t>Personnel costs</w:t>
            </w:r>
          </w:p>
        </w:tc>
        <w:tc>
          <w:tcPr>
            <w:tcW w:w="180" w:type="dxa"/>
            <w:vAlign w:val="bottom"/>
          </w:tcPr>
          <w:p>
            <w:pPr>
              <w:spacing w:after="0"/>
              <w:rPr>
                <w:sz w:val="17"/>
                <w:szCs w:val="17"/>
                <w:color w:val="auto"/>
              </w:rPr>
            </w:pPr>
          </w:p>
        </w:tc>
        <w:tc>
          <w:tcPr>
            <w:tcW w:w="960" w:type="dxa"/>
            <w:vAlign w:val="bottom"/>
            <w:gridSpan w:val="2"/>
          </w:tcPr>
          <w:p>
            <w:pPr>
              <w:jc w:val="right"/>
              <w:ind w:right="293"/>
              <w:spacing w:after="0"/>
              <w:rPr>
                <w:sz w:val="20"/>
                <w:szCs w:val="20"/>
                <w:color w:val="auto"/>
              </w:rPr>
            </w:pPr>
            <w:r>
              <w:rPr>
                <w:rFonts w:ascii="Arial" w:cs="Arial" w:eastAsia="Arial" w:hAnsi="Arial"/>
                <w:sz w:val="17"/>
                <w:szCs w:val="17"/>
                <w:color w:val="auto"/>
              </w:rPr>
              <w:t>2,785</w:t>
            </w: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Laboratory and related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1,031</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7"/>
                <w:szCs w:val="17"/>
                <w:color w:val="auto"/>
              </w:rPr>
              <w:t>Facility costs and other expenses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7"/>
                <w:szCs w:val="17"/>
                <w:color w:val="auto"/>
              </w:rPr>
              <w:t>1,154</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149</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9,273</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we had 45 employees engaged in research and development activities in our facilities in the United States and Switzerland.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we had no research and development employees.</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research and development activities consist primarily of costs associated with the development of our QuEEN platform and discovery and lead optimization efforts of our GSPT1 program. The increase for the three months ended March 31, 2021 as compared to 2020 was primarily due to the expansion of research and development activities in the United States and Switzerland including increased headcount and facilities, as well as corresponding increases in laboratory related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to support our business activities were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7"/>
                <w:szCs w:val="17"/>
                <w:b w:val="1"/>
                <w:bCs w:val="1"/>
                <w:color w:val="auto"/>
              </w:rPr>
              <w:t>Three months ended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March 31,</w:t>
            </w:r>
          </w:p>
        </w:tc>
        <w:tc>
          <w:tcPr>
            <w:tcW w:w="15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420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73"/>
              <w:spacing w:after="0" w:line="194" w:lineRule="exact"/>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Personnel costs</w:t>
            </w:r>
          </w:p>
        </w:tc>
        <w:tc>
          <w:tcPr>
            <w:tcW w:w="33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1,484</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269</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Pr>
          <w:p>
            <w:pPr>
              <w:spacing w:after="0"/>
              <w:rPr>
                <w:sz w:val="20"/>
                <w:szCs w:val="20"/>
                <w:color w:val="auto"/>
              </w:rPr>
            </w:pPr>
            <w:r>
              <w:rPr>
                <w:rFonts w:ascii="Arial" w:cs="Arial" w:eastAsia="Arial" w:hAnsi="Arial"/>
                <w:sz w:val="17"/>
                <w:szCs w:val="17"/>
                <w:color w:val="auto"/>
              </w:rPr>
              <w:t>Professional services</w:t>
            </w:r>
          </w:p>
        </w:tc>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73"/>
              <w:spacing w:after="0"/>
              <w:rPr>
                <w:sz w:val="20"/>
                <w:szCs w:val="20"/>
                <w:color w:val="auto"/>
              </w:rPr>
            </w:pPr>
            <w:r>
              <w:rPr>
                <w:rFonts w:ascii="Arial" w:cs="Arial" w:eastAsia="Arial" w:hAnsi="Arial"/>
                <w:sz w:val="17"/>
                <w:szCs w:val="17"/>
                <w:color w:val="auto"/>
              </w:rPr>
              <w:t>443</w:t>
            </w:r>
          </w:p>
        </w:tc>
        <w:tc>
          <w:tcPr>
            <w:tcW w:w="5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Facility costs and other expenses</w:t>
            </w:r>
          </w:p>
        </w:tc>
        <w:tc>
          <w:tcPr>
            <w:tcW w:w="3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304</w:t>
            </w:r>
          </w:p>
        </w:tc>
        <w:tc>
          <w:tcPr>
            <w:tcW w:w="5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General and administrative expenses</w:t>
            </w:r>
          </w:p>
        </w:tc>
        <w:tc>
          <w:tcPr>
            <w:tcW w:w="3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2,231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200" w:type="dxa"/>
            <w:vAlign w:val="bottom"/>
          </w:tcPr>
          <w:p>
            <w:pPr>
              <w:spacing w:after="0"/>
              <w:rPr>
                <w:sz w:val="24"/>
                <w:szCs w:val="24"/>
                <w:color w:val="auto"/>
              </w:rPr>
            </w:pPr>
          </w:p>
        </w:tc>
        <w:tc>
          <w:tcPr>
            <w:tcW w:w="3020" w:type="dxa"/>
            <w:vAlign w:val="bottom"/>
          </w:tcPr>
          <w:p>
            <w:pPr>
              <w:jc w:val="right"/>
              <w:ind w:right="1413"/>
              <w:spacing w:after="0"/>
              <w:rPr>
                <w:sz w:val="20"/>
                <w:szCs w:val="20"/>
                <w:color w:val="auto"/>
              </w:rPr>
            </w:pPr>
            <w:r>
              <w:rPr>
                <w:rFonts w:ascii="Arial" w:cs="Arial" w:eastAsia="Arial" w:hAnsi="Arial"/>
                <w:sz w:val="17"/>
                <w:szCs w:val="17"/>
                <w:color w:val="auto"/>
              </w:rPr>
              <w:t>92</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As of March 31, 2021, we had 12 employees engaged in general and administrative activities principally in our U.S. facility. As of March 31, 2020, we had no general and administrative employees. Personnel and professional service costs increased in the three months ended March 31, 2021 as compared to 2020 as a result of increased headcount and expenses in support of our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was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9"/>
        </w:trPr>
        <w:tc>
          <w:tcPr>
            <w:tcW w:w="68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194"/>
        </w:trPr>
        <w:tc>
          <w:tcPr>
            <w:tcW w:w="688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93"/>
              <w:spacing w:after="0" w:line="194" w:lineRule="exact"/>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Interest income (expense), net</w:t>
            </w:r>
          </w:p>
        </w:tc>
        <w:tc>
          <w:tcPr>
            <w:tcW w:w="22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93"/>
              <w:spacing w:after="0" w:line="194" w:lineRule="exact"/>
              <w:rPr>
                <w:sz w:val="20"/>
                <w:szCs w:val="20"/>
                <w:color w:val="auto"/>
              </w:rPr>
            </w:pPr>
            <w:r>
              <w:rPr>
                <w:rFonts w:ascii="Arial" w:cs="Arial" w:eastAsia="Arial" w:hAnsi="Arial"/>
                <w:sz w:val="17"/>
                <w:szCs w:val="17"/>
                <w:color w:val="auto"/>
              </w:rPr>
              <w:t>6</w:t>
            </w:r>
          </w:p>
        </w:tc>
        <w:tc>
          <w:tcPr>
            <w:tcW w:w="58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6880" w:type="dxa"/>
            <w:vAlign w:val="bottom"/>
          </w:tcPr>
          <w:p>
            <w:pPr>
              <w:spacing w:after="0"/>
              <w:rPr>
                <w:sz w:val="20"/>
                <w:szCs w:val="20"/>
                <w:color w:val="auto"/>
              </w:rPr>
            </w:pPr>
            <w:r>
              <w:rPr>
                <w:rFonts w:ascii="Arial" w:cs="Arial" w:eastAsia="Arial" w:hAnsi="Arial"/>
                <w:sz w:val="17"/>
                <w:szCs w:val="17"/>
                <w:color w:val="auto"/>
              </w:rPr>
              <w:t>Foreign currency exchange gain (loss), net</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93"/>
              <w:spacing w:after="0"/>
              <w:rPr>
                <w:sz w:val="20"/>
                <w:szCs w:val="20"/>
                <w:color w:val="auto"/>
              </w:rPr>
            </w:pPr>
            <w:r>
              <w:rPr>
                <w:rFonts w:ascii="Arial" w:cs="Arial" w:eastAsia="Arial" w:hAnsi="Arial"/>
                <w:sz w:val="17"/>
                <w:szCs w:val="17"/>
                <w:color w:val="auto"/>
              </w:rPr>
              <w:t>182</w:t>
            </w:r>
          </w:p>
        </w:tc>
        <w:tc>
          <w:tcPr>
            <w:tcW w:w="5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Changes in fair value of preferred stock tranche obligations, net</w:t>
            </w:r>
          </w:p>
        </w:tc>
        <w:tc>
          <w:tcPr>
            <w:tcW w:w="20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(960)</w:t>
            </w:r>
          </w:p>
        </w:tc>
        <w:tc>
          <w:tcPr>
            <w:tcW w:w="5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7"/>
                <w:szCs w:val="17"/>
                <w:color w:val="auto"/>
              </w:rPr>
              <w:t>Other income (expense)</w:t>
            </w:r>
          </w:p>
        </w:tc>
        <w:tc>
          <w:tcPr>
            <w:tcW w:w="2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33"/>
              <w:spacing w:after="0"/>
              <w:rPr>
                <w:sz w:val="20"/>
                <w:szCs w:val="20"/>
                <w:color w:val="auto"/>
              </w:rPr>
            </w:pPr>
            <w:r>
              <w:rPr>
                <w:rFonts w:ascii="Arial" w:cs="Arial" w:eastAsia="Arial" w:hAnsi="Arial"/>
                <w:sz w:val="17"/>
                <w:szCs w:val="17"/>
                <w:color w:val="auto"/>
              </w:rPr>
              <w:t>(772)</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68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Following the contribution and exchange transactions and our Series A-2 convertible preferred stock financing in April 2020, we began investing a portion of our capital in U.S. government backed money market funds held in a custodial account.</w:t>
      </w:r>
    </w:p>
    <w:p>
      <w:pPr>
        <w:spacing w:after="0" w:line="80"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Foreign exchange gains on transactions of our Swiss subsidiary denominated in other than the U.S. dollar increased in the three months ended March 31, 2021 as to compared to the three months ended March 31, 2020 principally due to increased growth in operations compared to the prior year, combined with a strengthening of the U.S. Dollar with respect to, principally, the Swiss franc.</w:t>
      </w:r>
    </w:p>
    <w:p>
      <w:pPr>
        <w:spacing w:after="0" w:line="88"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The changes in the fair value of our preferred stock tranche obligations is principally attributable to assumptions with respect to our overall enterprise value.</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 for the years ended December 31, 2020 and 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Year ended</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880" w:type="dxa"/>
            <w:vAlign w:val="bottom"/>
          </w:tcPr>
          <w:p>
            <w:pPr>
              <w:spacing w:after="0"/>
              <w:rPr>
                <w:sz w:val="19"/>
                <w:szCs w:val="19"/>
                <w:color w:val="auto"/>
              </w:rPr>
            </w:pPr>
          </w:p>
        </w:tc>
        <w:tc>
          <w:tcPr>
            <w:tcW w:w="19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December 31,</w:t>
            </w:r>
          </w:p>
        </w:tc>
        <w:tc>
          <w:tcPr>
            <w:tcW w:w="144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3940" w:type="dxa"/>
            <w:vAlign w:val="bottom"/>
            <w:tcBorders>
              <w:bottom w:val="single" w:sz="8" w:color="auto"/>
            </w:tcBorders>
            <w:vMerge w:val="continue"/>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9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9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4660" w:type="dxa"/>
            <w:vAlign w:val="bottom"/>
            <w:gridSpan w:val="2"/>
          </w:tcPr>
          <w:p>
            <w:pPr>
              <w:jc w:val="right"/>
              <w:spacing w:after="0"/>
              <w:rPr>
                <w:sz w:val="20"/>
                <w:szCs w:val="20"/>
                <w:color w:val="auto"/>
              </w:rPr>
            </w:pPr>
            <w:r>
              <w:rPr>
                <w:rFonts w:ascii="Arial" w:cs="Arial" w:eastAsia="Arial" w:hAnsi="Arial"/>
                <w:sz w:val="17"/>
                <w:szCs w:val="17"/>
                <w:color w:val="auto"/>
              </w:rPr>
              <w:t>$ 24,005</w:t>
            </w:r>
          </w:p>
        </w:tc>
        <w:tc>
          <w:tcPr>
            <w:tcW w:w="960" w:type="dxa"/>
            <w:vAlign w:val="bottom"/>
          </w:tcPr>
          <w:p>
            <w:pPr>
              <w:jc w:val="right"/>
              <w:spacing w:after="0"/>
              <w:rPr>
                <w:sz w:val="20"/>
                <w:szCs w:val="20"/>
                <w:color w:val="auto"/>
              </w:rPr>
            </w:pPr>
            <w:r>
              <w:rPr>
                <w:rFonts w:ascii="Arial" w:cs="Arial" w:eastAsia="Arial" w:hAnsi="Arial"/>
                <w:sz w:val="17"/>
                <w:szCs w:val="17"/>
                <w:color w:val="auto"/>
              </w:rPr>
              <w:t>$ 7,350</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8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38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7,994</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(28,010)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(7,994)</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(20,016)</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20"/>
                <w:szCs w:val="20"/>
                <w:color w:val="auto"/>
              </w:rPr>
            </w:pPr>
            <w:r>
              <w:rPr>
                <w:rFonts w:ascii="Arial" w:cs="Arial" w:eastAsia="Arial" w:hAnsi="Arial"/>
                <w:sz w:val="17"/>
                <w:szCs w:val="17"/>
                <w:color w:val="auto"/>
              </w:rPr>
              <w:t>Other (expense) income</w:t>
            </w:r>
          </w:p>
        </w:tc>
        <w:tc>
          <w:tcPr>
            <w:tcW w:w="38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(7,869)</w:t>
            </w:r>
          </w:p>
        </w:tc>
        <w:tc>
          <w:tcPr>
            <w:tcW w:w="960" w:type="dxa"/>
            <w:vAlign w:val="bottom"/>
          </w:tcPr>
          <w:p>
            <w:pPr>
              <w:jc w:val="right"/>
              <w:spacing w:after="0"/>
              <w:rPr>
                <w:sz w:val="20"/>
                <w:szCs w:val="20"/>
                <w:color w:val="auto"/>
              </w:rPr>
            </w:pPr>
            <w:r>
              <w:rPr>
                <w:rFonts w:ascii="Arial" w:cs="Arial" w:eastAsia="Arial" w:hAnsi="Arial"/>
                <w:sz w:val="17"/>
                <w:szCs w:val="17"/>
                <w:color w:val="auto"/>
              </w:rPr>
              <w:t>254</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(8,123)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(35,879)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$(7,740)</w:t>
            </w:r>
          </w:p>
        </w:tc>
        <w:tc>
          <w:tcPr>
            <w:tcW w:w="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(28,139)</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40" w:type="dxa"/>
            <w:vAlign w:val="bottom"/>
          </w:tcPr>
          <w:p>
            <w:pPr>
              <w:spacing w:after="0"/>
              <w:rPr>
                <w:sz w:val="24"/>
                <w:szCs w:val="24"/>
                <w:color w:val="auto"/>
              </w:rPr>
            </w:pPr>
          </w:p>
        </w:tc>
        <w:tc>
          <w:tcPr>
            <w:tcW w:w="3880" w:type="dxa"/>
            <w:vAlign w:val="bottom"/>
          </w:tcPr>
          <w:p>
            <w:pPr>
              <w:jc w:val="right"/>
              <w:ind w:right="2013"/>
              <w:spacing w:after="0"/>
              <w:rPr>
                <w:sz w:val="20"/>
                <w:szCs w:val="20"/>
                <w:color w:val="auto"/>
              </w:rPr>
            </w:pPr>
            <w:r>
              <w:rPr>
                <w:rFonts w:ascii="Arial" w:cs="Arial" w:eastAsia="Arial" w:hAnsi="Arial"/>
                <w:sz w:val="17"/>
                <w:szCs w:val="17"/>
                <w:color w:val="auto"/>
              </w:rPr>
              <w:t>93</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Year ended</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9"/>
                <w:szCs w:val="19"/>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December 31,</w:t>
            </w:r>
          </w:p>
        </w:tc>
        <w:tc>
          <w:tcPr>
            <w:tcW w:w="1400" w:type="dxa"/>
            <w:vAlign w:val="bottom"/>
            <w:gridSpan w:val="3"/>
            <w:vMerge w:val="restart"/>
          </w:tcPr>
          <w:p>
            <w:pPr>
              <w:ind w:left="20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7880" w:type="dxa"/>
            <w:vAlign w:val="bottom"/>
            <w:tcBorders>
              <w:bottom w:val="single" w:sz="8" w:color="auto"/>
            </w:tcBorders>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External research and development services</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17,444</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7,165</w:t>
            </w:r>
          </w:p>
        </w:tc>
        <w:tc>
          <w:tcPr>
            <w:tcW w:w="56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7"/>
                <w:szCs w:val="17"/>
                <w:color w:val="auto"/>
              </w:rPr>
              <w:t>Personnel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3,293</w:t>
            </w:r>
          </w:p>
        </w:tc>
        <w:tc>
          <w:tcPr>
            <w:tcW w:w="4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Laboratory and related expenses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auto"/>
              </w:rPr>
              <w:t>Facility costs and other expenses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1,938</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7,350</w:t>
            </w:r>
          </w:p>
        </w:tc>
        <w:tc>
          <w:tcPr>
            <w:tcW w:w="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As of December 31, 2020, we had 30 employees engaged in research and development activities in our facilities in the U.S. and Switzerland. In 2019 we had no research and development employees.</w:t>
      </w:r>
    </w:p>
    <w:p>
      <w:pPr>
        <w:spacing w:after="0" w:line="8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research and development activities consist primarily of costs associated with the development of our QuEEN platform and discovery and lead optimization efforts of our GSPT1 program. The increase for the year ended December 31, 2020 as compared to 2019 was primarily due to the expansion of research and development activities in the United States and Switzerland including increased headcount and facilities as well as corresponding increases in laboratory related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to support our business activities were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rPr>
              <w:t>Year ended</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4"/>
          </w:tcPr>
          <w:p>
            <w:pPr>
              <w:ind w:left="340"/>
              <w:spacing w:after="0"/>
              <w:rPr>
                <w:sz w:val="20"/>
                <w:szCs w:val="20"/>
                <w:color w:val="auto"/>
              </w:rPr>
            </w:pPr>
            <w:r>
              <w:rPr>
                <w:rFonts w:ascii="Arial" w:cs="Arial" w:eastAsia="Arial" w:hAnsi="Arial"/>
                <w:sz w:val="17"/>
                <w:szCs w:val="17"/>
                <w:b w:val="1"/>
                <w:bCs w:val="1"/>
                <w:color w:val="auto"/>
              </w:rPr>
              <w:t>December 31,</w:t>
            </w:r>
          </w:p>
        </w:tc>
        <w:tc>
          <w:tcPr>
            <w:tcW w:w="1440" w:type="dxa"/>
            <w:vAlign w:val="bottom"/>
            <w:gridSpan w:val="3"/>
            <w:vMerge w:val="restart"/>
          </w:tcPr>
          <w:p>
            <w:pPr>
              <w:ind w:left="240"/>
              <w:spacing w:after="0"/>
              <w:rPr>
                <w:sz w:val="20"/>
                <w:szCs w:val="20"/>
                <w:color w:val="auto"/>
              </w:rPr>
            </w:pPr>
            <w:r>
              <w:rPr>
                <w:rFonts w:ascii="Arial" w:cs="Arial" w:eastAsia="Arial" w:hAnsi="Arial"/>
                <w:sz w:val="17"/>
                <w:szCs w:val="17"/>
                <w:b w:val="1"/>
                <w:bCs w:val="1"/>
                <w:color w:val="auto"/>
              </w:rPr>
              <w:t>Dollar change</w:t>
            </w:r>
          </w:p>
        </w:tc>
        <w:tc>
          <w:tcPr>
            <w:tcW w:w="0" w:type="dxa"/>
            <w:vAlign w:val="bottom"/>
          </w:tcPr>
          <w:p>
            <w:pPr>
              <w:spacing w:after="0"/>
              <w:rPr>
                <w:sz w:val="1"/>
                <w:szCs w:val="1"/>
                <w:color w:val="auto"/>
              </w:rPr>
            </w:pPr>
          </w:p>
        </w:tc>
      </w:tr>
      <w:tr>
        <w:trPr>
          <w:trHeight w:val="194"/>
        </w:trPr>
        <w:tc>
          <w:tcPr>
            <w:tcW w:w="540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Personnel costs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560" w:type="dxa"/>
            <w:vAlign w:val="bottom"/>
            <w:shd w:val="clear" w:color="auto" w:fill="CCEEFF"/>
          </w:tcPr>
          <w:p>
            <w:pPr>
              <w:jc w:val="center"/>
              <w:ind w:left="373"/>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279</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2,285</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Professional services</w:t>
            </w: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877</w:t>
            </w:r>
          </w:p>
        </w:tc>
        <w:tc>
          <w:tcPr>
            <w:tcW w:w="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145</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Facility costs and other expenses</w:t>
            </w:r>
          </w:p>
        </w:tc>
        <w:tc>
          <w:tcPr>
            <w:tcW w:w="2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General and administrative expenses</w:t>
            </w:r>
          </w:p>
        </w:tc>
        <w:tc>
          <w:tcPr>
            <w:tcW w:w="2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4,005</w:t>
            </w:r>
          </w:p>
        </w:tc>
        <w:tc>
          <w:tcPr>
            <w:tcW w:w="560" w:type="dxa"/>
            <w:vAlign w:val="bottom"/>
            <w:tcBorders>
              <w:bottom w:val="single" w:sz="8" w:color="auto"/>
            </w:tcBorders>
          </w:tcPr>
          <w:p>
            <w:pPr>
              <w:jc w:val="center"/>
              <w:ind w:left="373"/>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As of December 31, 2020, we had 7 employees engaged in general and administrative activities principally in our US facility. In 2019 we had no general and administrative employees. Personnel and professional service costs increased in the year ended December 31, 2020 as compared to 2019 as a result of increased headcount and expenses in support of our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expenses, net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was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tcPr>
          <w:p>
            <w:pPr>
              <w:jc w:val="center"/>
              <w:ind w:left="373"/>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9"/>
        </w:trPr>
        <w:tc>
          <w:tcPr>
            <w:tcW w:w="52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4"/>
        </w:trPr>
        <w:tc>
          <w:tcPr>
            <w:tcW w:w="5200" w:type="dxa"/>
            <w:vAlign w:val="bottom"/>
            <w:tcBorders>
              <w:bottom w:val="single" w:sz="8" w:color="auto"/>
            </w:tcBorders>
            <w:vMerge w:val="continue"/>
          </w:tcPr>
          <w:p>
            <w:pPr>
              <w:spacing w:after="0"/>
              <w:rPr>
                <w:sz w:val="16"/>
                <w:szCs w:val="16"/>
                <w:color w:val="auto"/>
              </w:rPr>
            </w:pPr>
          </w:p>
        </w:tc>
        <w:tc>
          <w:tcPr>
            <w:tcW w:w="42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53"/>
              <w:spacing w:after="0" w:line="194" w:lineRule="exact"/>
              <w:rPr>
                <w:sz w:val="20"/>
                <w:szCs w:val="20"/>
                <w:color w:val="auto"/>
              </w:rPr>
            </w:pPr>
            <w:r>
              <w:rPr>
                <w:rFonts w:ascii="Arial" w:cs="Arial" w:eastAsia="Arial" w:hAnsi="Arial"/>
                <w:sz w:val="17"/>
                <w:szCs w:val="17"/>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Interest income (expense), net</w:t>
            </w:r>
          </w:p>
        </w:tc>
        <w:tc>
          <w:tcPr>
            <w:tcW w:w="44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9</w:t>
            </w:r>
          </w:p>
        </w:tc>
        <w:tc>
          <w:tcPr>
            <w:tcW w:w="300" w:type="dxa"/>
            <w:vAlign w:val="bottom"/>
            <w:shd w:val="clear" w:color="auto" w:fill="CCEEFF"/>
          </w:tcPr>
          <w:p>
            <w:pPr>
              <w:jc w:val="center"/>
              <w:ind w:left="113"/>
              <w:spacing w:after="0" w:line="194"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20"/>
                <w:szCs w:val="20"/>
                <w:color w:val="auto"/>
              </w:rPr>
            </w:pPr>
            <w:r>
              <w:rPr>
                <w:rFonts w:ascii="Arial" w:cs="Arial" w:eastAsia="Arial" w:hAnsi="Arial"/>
                <w:sz w:val="17"/>
                <w:szCs w:val="17"/>
                <w:color w:val="auto"/>
              </w:rPr>
              <w:t>Foreign currency exchange loss, net</w:t>
            </w: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93"/>
              <w:spacing w:after="0"/>
              <w:rPr>
                <w:sz w:val="20"/>
                <w:szCs w:val="20"/>
                <w:color w:val="auto"/>
              </w:rPr>
            </w:pPr>
            <w:r>
              <w:rPr>
                <w:rFonts w:ascii="Arial" w:cs="Arial" w:eastAsia="Arial" w:hAnsi="Arial"/>
                <w:sz w:val="17"/>
                <w:szCs w:val="17"/>
                <w:color w:val="auto"/>
              </w:rPr>
              <w:t>(198)</w:t>
            </w:r>
          </w:p>
        </w:tc>
        <w:tc>
          <w:tcPr>
            <w:tcW w:w="3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Changes in fair value of preferred stock tranche obligations, net</w:t>
            </w:r>
          </w:p>
        </w:tc>
        <w:tc>
          <w:tcPr>
            <w:tcW w:w="4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(7,680)</w:t>
            </w:r>
          </w:p>
        </w:tc>
        <w:tc>
          <w:tcPr>
            <w:tcW w:w="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(expense) income</w:t>
            </w:r>
          </w:p>
        </w:tc>
        <w:tc>
          <w:tcPr>
            <w:tcW w:w="4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(7,869)</w:t>
            </w:r>
          </w:p>
        </w:tc>
        <w:tc>
          <w:tcPr>
            <w:tcW w:w="300" w:type="dxa"/>
            <w:vAlign w:val="bottom"/>
            <w:tcBorders>
              <w:bottom w:val="single" w:sz="8" w:color="auto"/>
            </w:tcBorders>
          </w:tcPr>
          <w:p>
            <w:pPr>
              <w:jc w:val="center"/>
              <w:ind w:left="113"/>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200" w:type="dxa"/>
            <w:vAlign w:val="bottom"/>
          </w:tcPr>
          <w:p>
            <w:pPr>
              <w:spacing w:after="0"/>
              <w:rPr>
                <w:sz w:val="24"/>
                <w:szCs w:val="24"/>
                <w:color w:val="auto"/>
              </w:rPr>
            </w:pPr>
          </w:p>
        </w:tc>
        <w:tc>
          <w:tcPr>
            <w:tcW w:w="4280" w:type="dxa"/>
            <w:vAlign w:val="bottom"/>
          </w:tcPr>
          <w:p>
            <w:pPr>
              <w:jc w:val="right"/>
              <w:ind w:right="3673"/>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Following the contribution and exchange transactions and our Series A-2 convertible preferred stock financing in April 2020, we began investing a portion of our capital in U.S. government backed money market funds held in a custodial account.</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Foreign exchange losses on transactions of our Swiss subsidiary denominated in other than the U.S. dollar increased in the year ended December 31, 2020 as to compared to the year ended December 31, 2019 principally due to increased growth in operations compared to the prior year, combined with a weakening of the U.S. Dollar with respect to, principally, the Swiss franc.</w:t>
      </w:r>
    </w:p>
    <w:p>
      <w:pPr>
        <w:spacing w:after="0" w:line="88"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The changes in the fair value of our preferred stock tranche obligations is principally attributable to assumptions with respect to our overall enterprise value.</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We were incorporated in November 2019 and our operations to date have been financed primarily by gross proceeds of approximately</w:t>
      </w:r>
    </w:p>
    <w:p>
      <w:pPr>
        <w:spacing w:after="0" w:line="5"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$223.5 million from the sale of convertible promissory notes and our convertible preferred stock, including our most recent financings in February and March 2021. As of March 31, 2021, we had $168.4 million in cash and cash equivalents. We have incurred losses since our inception and, as of March 31, 2021, we had an accumulated deficit of $60.4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4"/>
          </w:tcPr>
          <w:p>
            <w:pPr>
              <w:jc w:val="right"/>
              <w:ind w:right="32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7"/>
                <w:szCs w:val="17"/>
                <w:color w:val="auto"/>
              </w:rPr>
            </w:pPr>
          </w:p>
        </w:tc>
        <w:tc>
          <w:tcPr>
            <w:tcW w:w="200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Year ended December</w:t>
            </w:r>
          </w:p>
        </w:tc>
        <w:tc>
          <w:tcPr>
            <w:tcW w:w="0" w:type="dxa"/>
            <w:vAlign w:val="bottom"/>
          </w:tcPr>
          <w:p>
            <w:pPr>
              <w:spacing w:after="0"/>
              <w:rPr>
                <w:sz w:val="1"/>
                <w:szCs w:val="1"/>
                <w:color w:val="auto"/>
              </w:rPr>
            </w:pPr>
          </w:p>
        </w:tc>
      </w:tr>
      <w:tr>
        <w:trPr>
          <w:trHeight w:val="219"/>
        </w:trPr>
        <w:tc>
          <w:tcPr>
            <w:tcW w:w="61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31,</w:t>
            </w:r>
          </w:p>
        </w:tc>
        <w:tc>
          <w:tcPr>
            <w:tcW w:w="0" w:type="dxa"/>
            <w:vAlign w:val="bottom"/>
          </w:tcPr>
          <w:p>
            <w:pPr>
              <w:spacing w:after="0"/>
              <w:rPr>
                <w:sz w:val="1"/>
                <w:szCs w:val="1"/>
                <w:color w:val="auto"/>
              </w:rPr>
            </w:pPr>
          </w:p>
        </w:tc>
      </w:tr>
      <w:tr>
        <w:trPr>
          <w:trHeight w:val="194"/>
        </w:trPr>
        <w:tc>
          <w:tcPr>
            <w:tcW w:w="6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73"/>
              <w:spacing w:after="0" w:line="194" w:lineRule="exact"/>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180"/>
              <w:spacing w:after="0" w:line="194" w:lineRule="exact"/>
              <w:rPr>
                <w:sz w:val="20"/>
                <w:szCs w:val="20"/>
                <w:color w:val="auto"/>
              </w:rPr>
            </w:pPr>
            <w:r>
              <w:rPr>
                <w:rFonts w:ascii="Arial" w:cs="Arial" w:eastAsia="Arial" w:hAnsi="Arial"/>
                <w:sz w:val="17"/>
                <w:szCs w:val="17"/>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0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(13,815)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(3,376)</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(23,053)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(6,173)</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(2,217)</w:t>
            </w: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201"/>
        </w:trPr>
        <w:tc>
          <w:tcPr>
            <w:tcW w:w="610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73"/>
              <w:spacing w:after="0"/>
              <w:rPr>
                <w:sz w:val="20"/>
                <w:szCs w:val="20"/>
                <w:color w:val="auto"/>
              </w:rPr>
            </w:pPr>
            <w:r>
              <w:rPr>
                <w:rFonts w:ascii="Arial" w:cs="Arial" w:eastAsia="Arial" w:hAnsi="Arial"/>
                <w:sz w:val="17"/>
                <w:szCs w:val="17"/>
                <w:color w:val="auto"/>
              </w:rPr>
              <w:t>142,769</w:t>
            </w:r>
          </w:p>
        </w:tc>
        <w:tc>
          <w:tcPr>
            <w:tcW w:w="3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60,060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126,737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(3,389)</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33,618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7,442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30"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Net cash used in operating activities of $13.8 million during the three months ended March 31, 2021 was attributable to our net loss of $12.2 million and a net decrease in our working capital of $3.1 million, offset by non-cash charges of $1.5 million principally with respect to changes in fair value of our preferred stock tranche obligation, depreciation expense and stock-based compensation.</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Net cash used in operating activities of $3.4 million during the three months ended March 31, 2020 was attributable to our net loss of $4.3 million, primarily offset by a $1.0 million net increase in our working capital.</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Net cash used in operating activities of $23.1 million during the year ended December 31, 2020 was attributable to our net loss of $35.9 million, offset by a $4.2 million net increase in our working capital and non-cash charges of $8.6 million principally with respect to the changes in fair value of our preferred stock tranche obligations, depreciation expense and stock-based compensation.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456"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Net cash used in operating activities of $6.2 million during the year ended December 31, 2019 was attributable to our net loss of $7.7 million, offset principally by increased working capital of $1.8 million and non-cash charges of $0.3 million principally with respect to the changes in fair value of our preferred stock tranche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For the three months ended March 31, 2021 and 2020, our investing activities consisted of purchases of property and equipment of $2.2 million and $13,000, respectively, as we expanded our operations.</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For the years ended December 31, 2020 and 2019, our investing activities consisted of purchases of property and equipment of $3.4 million and $1.4 million, respectively, as we expanded our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30"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Net cash provided by financing activities for the three months ended March 31, 2021 amounted to $142.8 million comprised principally of aggregate net proceeds upon the issuance of our Series B and Series C convertible preferred stock in February and March 2021.</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Net cash provided by financing activities for the year ended December 31, 2020 amounted to $60.1 million comprised principally of aggregate net proceeds upon the issuance of our Series A-2 and Series B convertible preferred stock in April and September 2020, respectively.</w:t>
      </w:r>
    </w:p>
    <w:p>
      <w:pPr>
        <w:spacing w:after="0" w:line="80"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Net cash provided by financing activities for the year ended December 31, 2019 amounted to $15.0 million, which was comprised of $14.2 million aggregate net proceeds upon the issuance of our Series A convertible preferred stock, and $0.8 million received upon the issuance of convertible notes.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130"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third-party clinical research, manufacturing and development services, costs relating to the build-out of our headquarters, laboratories and manufacturing facility, license payments or milestone obligations that may arise, laboratory and related supplies, clinical costs, manufacturing costs, legal and other regulatory expenses and general overhead costs.</w:t>
      </w:r>
    </w:p>
    <w:p>
      <w:pPr>
        <w:spacing w:after="0" w:line="96"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and cash equivalents, will enable us to fund our operating expenses and capital expenditure requirements for at least the next twelve months. We base this estimate on assumptions that may prove to be wrong, and we could utilize our available capital resources sooner than we currently expect.</w:t>
      </w:r>
    </w:p>
    <w:p>
      <w:pPr>
        <w:spacing w:after="0" w:line="8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potentially collaborations, licenses and other similar arrangements. However, we may be unable to raise additional funds or enter into such other arrangements when needed on favorable terms or at</w:t>
      </w:r>
    </w:p>
    <w:p>
      <w:pPr>
        <w:spacing w:after="0" w:line="1" w:lineRule="exact"/>
        <w:rPr>
          <w:sz w:val="20"/>
          <w:szCs w:val="20"/>
          <w:color w:val="auto"/>
        </w:rPr>
      </w:pPr>
    </w:p>
    <w:p>
      <w:pPr>
        <w:ind w:right="660"/>
        <w:spacing w:after="0" w:line="263" w:lineRule="auto"/>
        <w:rPr>
          <w:sz w:val="20"/>
          <w:szCs w:val="20"/>
          <w:color w:val="auto"/>
        </w:rPr>
      </w:pPr>
      <w:r>
        <w:rPr>
          <w:rFonts w:ascii="Arial" w:cs="Arial" w:eastAsia="Arial" w:hAnsi="Arial"/>
          <w:sz w:val="17"/>
          <w:szCs w:val="17"/>
          <w:color w:val="auto"/>
        </w:rPr>
        <w:t>all. If we do raise additional capital through public or private equity offerings, the ownership interest of our existing stockholders, including investors in this offering, will be diluted, and the terms of these securities may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180"/>
          </w:cols>
          <w:pgMar w:left="320" w:top="456" w:right="3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9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02" w:lineRule="exact"/>
        <w:rPr>
          <w:sz w:val="20"/>
          <w:szCs w:val="20"/>
          <w:color w:val="auto"/>
        </w:rPr>
      </w:pPr>
    </w:p>
    <w:p>
      <w:pPr>
        <w:ind w:left="220" w:right="400" w:hanging="213"/>
        <w:spacing w:after="0" w:line="263"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developing and manufacturing our current product candidates or any future product candidates, and conducting preclinical studies and clinical trials;</w:t>
      </w:r>
    </w:p>
    <w:p>
      <w:pPr>
        <w:spacing w:after="0" w:line="93" w:lineRule="exact"/>
        <w:rPr>
          <w:rFonts w:ascii="Arial" w:cs="Arial" w:eastAsia="Arial" w:hAnsi="Arial"/>
          <w:sz w:val="17"/>
          <w:szCs w:val="17"/>
          <w:color w:val="auto"/>
        </w:rPr>
      </w:pPr>
    </w:p>
    <w:p>
      <w:pPr>
        <w:ind w:left="220" w:right="400" w:hanging="213"/>
        <w:spacing w:after="0" w:line="263"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or clearances for our lead product candidates or any future product candidates;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and characteristics of any additional product candidates we develop or acquire;</w:t>
      </w:r>
    </w:p>
    <w:p>
      <w:pPr>
        <w:spacing w:after="0" w:line="125" w:lineRule="exact"/>
        <w:rPr>
          <w:rFonts w:ascii="Arial" w:cs="Arial" w:eastAsia="Arial" w:hAnsi="Arial"/>
          <w:sz w:val="17"/>
          <w:szCs w:val="17"/>
          <w:color w:val="auto"/>
        </w:rPr>
      </w:pPr>
    </w:p>
    <w:p>
      <w:pPr>
        <w:ind w:left="220" w:right="520" w:hanging="213"/>
        <w:spacing w:after="0" w:line="263"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 of manufacturing our lead product candidate or any future product candidates and any products we successfully commercialize, including costs associated with building-out our manufacturing capabilities;</w:t>
      </w:r>
    </w:p>
    <w:p>
      <w:pPr>
        <w:spacing w:after="0" w:line="93" w:lineRule="exact"/>
        <w:rPr>
          <w:rFonts w:ascii="Arial" w:cs="Arial" w:eastAsia="Arial" w:hAnsi="Arial"/>
          <w:sz w:val="17"/>
          <w:szCs w:val="17"/>
          <w:color w:val="auto"/>
        </w:rPr>
      </w:pPr>
    </w:p>
    <w:p>
      <w:pPr>
        <w:ind w:left="220" w:right="180" w:hanging="213"/>
        <w:spacing w:after="0" w:line="263"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any such agreements that we may enter into;</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timing, receipt and amount of sales of any future approved or cleared products, if any;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impact of the COVID-19 pandemic and the corresponding responses of businesses and governments.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significant judgments and estimates</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combined and consolidated financial statements, which have been prepared in accordance with U.S. generally accepted accounting principles, or GAAP. The preparation of these combined and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180"/>
          </w:cols>
          <w:pgMar w:left="320" w:top="456" w:right="3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We believe that the accounting policies discussed below are critical to understanding our historical and future performance, as these policies relate to the more significant areas involving management’s judgments and estimates.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 and accruals</w:t>
      </w:r>
    </w:p>
    <w:p>
      <w:pPr>
        <w:spacing w:after="0" w:line="13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record research and development expenses to operations as incurred. Research and development expenses represent costs incurred by us for development of our technology platform and the discovery and development of our product candidates and include: employee-related expenses, including salaries, benefits and non- cash stock-based compensation expense; external research and development expenses incurred under arrangements with third parties, including preclinical testing organizations, non-profit institutions and consultants; and other expenses, which include direct and allocated expenses for laboratory, facilities and other costs.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As part of the process of preparing financial statements, we are required to estimate and accrue expenses. We estimate costs of research and development activities conducted by service providers. Payments made prior to the receipt of goods or services to be used in research and development are deferred and recognized as expense in the period in which the related goods are received or services are rendered. If the costs have been prepaid, this expense reduces the prepaid expenses in the balance sheet, and if not yet invoiced, the costs are included in accrued liabilities in the balance sheet. We classify such prepaid assets as current or non-current assets based on our estimates of the timing of when the goods or services will be realized or consumed. These costs are a significant component of our research and development expenses.</w:t>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estimate these costs based on factors such as estimates of the work completed and budget provided and in accordance with agreements established third-party service providers. 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third-party service providers. Amounts ultimately incurred in relation to amounts accrued for these services at a reporting date may be substantially higher or lower than our estimates.</w:t>
      </w:r>
    </w:p>
    <w:p>
      <w:pPr>
        <w:spacing w:after="0" w:line="9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have and may continue to enter into license agreements to access and utilize certain technology.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 tranche obligations</w:t>
      </w:r>
    </w:p>
    <w:p>
      <w:pPr>
        <w:spacing w:after="0" w:line="132"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Included in the terms of the Series A and Series B Preferred Stock Purchase Agreements were certain rights, or preferred stock tranche obligations, granted to the investors who purchased the Series A and Series B Preferred Stock. We concluded that the preferred stock tranche obligations met the definition of a freestanding financial instrument, as the preferred stock tranche obligations were legally detachable and separately exercisable from the Series A and Series B Preferred Stock. At initial recognition, we recorded these preferred stock tranche obligations as a liability on the balance sheets at their estimated fair value. The preferred stock tranche</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160"/>
          </w:cols>
          <w:pgMar w:left="320" w:top="456"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obligations are subject to remeasurement at each balance sheet date, with changes in fair value recognized in our statements of operations.</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Our preferred stock tranche obligations are measured at fair value using an option pricing valuation methodology. The fair value of preferred stock tranche obligations include inputs not observable in the market and thus represents a Level 3 measurement. The option pricing valuation methodology utilized requires inputs based on certain subjective assumptions, including (i) expected stock price volatility, (ii) calculation of an expected term, (iii) a risk-free interest rate, and (iv) expected dividends.</w:t>
      </w:r>
    </w:p>
    <w:p>
      <w:pPr>
        <w:spacing w:after="0" w:line="92" w:lineRule="exact"/>
        <w:rPr>
          <w:sz w:val="20"/>
          <w:szCs w:val="20"/>
          <w:color w:val="auto"/>
        </w:rPr>
      </w:pPr>
    </w:p>
    <w:p>
      <w:pPr>
        <w:ind w:right="780"/>
        <w:spacing w:after="0" w:line="263" w:lineRule="auto"/>
        <w:rPr>
          <w:sz w:val="20"/>
          <w:szCs w:val="20"/>
          <w:color w:val="auto"/>
        </w:rPr>
      </w:pPr>
      <w:r>
        <w:rPr>
          <w:rFonts w:ascii="Arial" w:cs="Arial" w:eastAsia="Arial" w:hAnsi="Arial"/>
          <w:sz w:val="17"/>
          <w:szCs w:val="17"/>
          <w:color w:val="auto"/>
        </w:rPr>
        <w:t>Significant judgment is used in determining these assumptions at initial recognition and at each subsequent reporting period. Updates to assumptions could have a significant impact on our results of operations in any given period.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recognize compensation costs related to stock-based awards to employees and non-employees based on the estimated fair value of the awards on the date of grant. We estimate the grant date fair value of stock options, and the resulting stock-based compensation, using the Black-Scholes option-pricing model, or Black-Scholes. Stock-based compensation expense related to restricted stock granted to employees and non-employees is recognized based on the grant-date fair value of our common stock. The grant date fair value of the stock-based awards is generally recognized on a straight-line basis over the requisite service period, which is generally the vesting period of the respective awards.</w:t>
      </w:r>
    </w:p>
    <w:p>
      <w:pPr>
        <w:spacing w:after="0" w:line="7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We account for equity-based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or ASC 718. In accordance with ASC 718, compensation cost is measured at estimated fair value and is included as compensation expense over the vesting period during which service is provided in exchange for the award.</w:t>
      </w:r>
    </w:p>
    <w:p>
      <w:pPr>
        <w:spacing w:after="0" w:line="79"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We use a Black-Scholes option pricing model to determine fair value of our stock options. The Black-Scholes option pricing model includes various assumptions, including the fair value of common shares, expected life of our stock options, the expected volatility and the expected risk-free interest rate. These assumptions reflect our best estimates, but they involve inherent uncertainties based on market conditions generally outside our control. As a result, if other assumptions had been used, stock-based compensation cost could have been materially impacted.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Furthermore, if we use different assumptions for future grants, stock-based compensation cost could be materially impacted in future periods.</w:t>
      </w:r>
    </w:p>
    <w:p>
      <w:pPr>
        <w:spacing w:after="0" w:line="11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We will continue to use judgment in evaluating the assumptions utilized for our stock-based compensation expense calculations on a prospective basis. In addition to the assumptions used in Black-Scholes, the amount of stock-based compensation expense we recognize in our financial statements includes stock option forfeitures as they occurred.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utilizing the valuation of our company’s enterprise value determined by a third party valuation expert, and in accordance with the guidance outlined in the American Institute of Certified Public Accountants Technical Practice Aid, Valuation of Privately-Held-Company Equity Securities Issued as Compensation, or the Practice Aid.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40"/>
          </w:cols>
          <w:pgMar w:left="320" w:top="456"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board of directors considered various objective and subjective factors to determine the fair value of our common stock as of each grant date, including:</w:t>
      </w:r>
    </w:p>
    <w:p>
      <w:pPr>
        <w:spacing w:after="0" w:line="93" w:lineRule="exact"/>
        <w:rPr>
          <w:sz w:val="20"/>
          <w:szCs w:val="20"/>
          <w:color w:val="auto"/>
        </w:rPr>
      </w:pPr>
    </w:p>
    <w:p>
      <w:pPr>
        <w:ind w:left="220" w:right="380" w:hanging="213"/>
        <w:spacing w:after="0" w:line="263" w:lineRule="auto"/>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and results of preclinical studies for our product candidates;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external market conditions affecting the biopharmaceutical industry and trends within the biopharmaceutical industry;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sale of our company in light of prevailing market conditions;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analysis of initial public offerings and the market performance of similar companies in the biopharmaceutical industry.</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Options granted</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following table sets forth, by grant date, the number of shares underlying options granted from January 1, 2020 through the date of this prospectus, the per share exercise price of options, the fair value per share of common stock on each grant date, and the estimated per share fair value of the options granted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60" w:type="dxa"/>
            <w:vAlign w:val="bottom"/>
          </w:tcPr>
          <w:p>
            <w:pPr>
              <w:jc w:val="right"/>
              <w:ind w:right="173"/>
              <w:spacing w:after="0"/>
              <w:rPr>
                <w:sz w:val="20"/>
                <w:szCs w:val="20"/>
                <w:color w:val="auto"/>
              </w:rPr>
            </w:pPr>
            <w:r>
              <w:rPr>
                <w:rFonts w:ascii="Arial" w:cs="Arial" w:eastAsia="Arial" w:hAnsi="Arial"/>
                <w:sz w:val="17"/>
                <w:szCs w:val="17"/>
                <w:b w:val="1"/>
                <w:bCs w:val="1"/>
                <w:color w:val="auto"/>
              </w:rPr>
              <w:t>Number of</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b w:val="1"/>
                <w:bCs w:val="1"/>
                <w:color w:val="auto"/>
              </w:rPr>
              <w:t>Fair value</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Estimated fair</w:t>
            </w:r>
          </w:p>
        </w:tc>
      </w:tr>
      <w:tr>
        <w:trPr>
          <w:trHeight w:val="201"/>
        </w:trPr>
        <w:tc>
          <w:tcPr>
            <w:tcW w:w="2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60" w:type="dxa"/>
            <w:vAlign w:val="bottom"/>
          </w:tcPr>
          <w:p>
            <w:pPr>
              <w:jc w:val="right"/>
              <w:ind w:right="173"/>
              <w:spacing w:after="0"/>
              <w:rPr>
                <w:sz w:val="20"/>
                <w:szCs w:val="20"/>
                <w:color w:val="auto"/>
              </w:rPr>
            </w:pPr>
            <w:r>
              <w:rPr>
                <w:rFonts w:ascii="Arial" w:cs="Arial" w:eastAsia="Arial" w:hAnsi="Arial"/>
                <w:sz w:val="17"/>
                <w:szCs w:val="17"/>
                <w:b w:val="1"/>
                <w:bCs w:val="1"/>
                <w:color w:val="auto"/>
              </w:rPr>
              <w:t>common shares</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gridSpan w:val="2"/>
          </w:tcPr>
          <w:p>
            <w:pPr>
              <w:ind w:left="260"/>
              <w:spacing w:after="0"/>
              <w:rPr>
                <w:sz w:val="20"/>
                <w:szCs w:val="20"/>
                <w:color w:val="auto"/>
              </w:rPr>
            </w:pPr>
            <w:r>
              <w:rPr>
                <w:rFonts w:ascii="Arial" w:cs="Arial" w:eastAsia="Arial" w:hAnsi="Arial"/>
                <w:sz w:val="17"/>
                <w:szCs w:val="17"/>
                <w:b w:val="1"/>
                <w:bCs w:val="1"/>
                <w:color w:val="auto"/>
              </w:rPr>
              <w:t>per share at</w:t>
            </w:r>
          </w:p>
        </w:tc>
        <w:tc>
          <w:tcPr>
            <w:tcW w:w="5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value per</w:t>
            </w:r>
          </w:p>
        </w:tc>
      </w:tr>
      <w:tr>
        <w:trPr>
          <w:trHeight w:val="201"/>
        </w:trPr>
        <w:tc>
          <w:tcPr>
            <w:tcW w:w="2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60" w:type="dxa"/>
            <w:vAlign w:val="bottom"/>
          </w:tcPr>
          <w:p>
            <w:pPr>
              <w:jc w:val="right"/>
              <w:ind w:right="173"/>
              <w:spacing w:after="0"/>
              <w:rPr>
                <w:sz w:val="20"/>
                <w:szCs w:val="20"/>
                <w:color w:val="auto"/>
              </w:rPr>
            </w:pPr>
            <w:r>
              <w:rPr>
                <w:rFonts w:ascii="Arial" w:cs="Arial" w:eastAsia="Arial" w:hAnsi="Arial"/>
                <w:sz w:val="17"/>
                <w:szCs w:val="17"/>
                <w:b w:val="1"/>
                <w:bCs w:val="1"/>
                <w:color w:val="auto"/>
              </w:rPr>
              <w:t>subject to</w:t>
            </w:r>
          </w:p>
        </w:tc>
        <w:tc>
          <w:tcPr>
            <w:tcW w:w="1720" w:type="dxa"/>
            <w:vAlign w:val="bottom"/>
            <w:gridSpan w:val="2"/>
          </w:tcPr>
          <w:p>
            <w:pPr>
              <w:ind w:left="280"/>
              <w:spacing w:after="0"/>
              <w:rPr>
                <w:sz w:val="20"/>
                <w:szCs w:val="20"/>
                <w:color w:val="auto"/>
              </w:rPr>
            </w:pPr>
            <w:r>
              <w:rPr>
                <w:rFonts w:ascii="Arial" w:cs="Arial" w:eastAsia="Arial" w:hAnsi="Arial"/>
                <w:sz w:val="17"/>
                <w:szCs w:val="17"/>
                <w:b w:val="1"/>
                <w:bCs w:val="1"/>
                <w:color w:val="auto"/>
              </w:rPr>
              <w:t>Exercise price</w:t>
            </w:r>
          </w:p>
        </w:tc>
        <w:tc>
          <w:tcPr>
            <w:tcW w:w="380" w:type="dxa"/>
            <w:vAlign w:val="bottom"/>
          </w:tcPr>
          <w:p>
            <w:pPr>
              <w:spacing w:after="0"/>
              <w:rPr>
                <w:sz w:val="17"/>
                <w:szCs w:val="17"/>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b w:val="1"/>
                <w:bCs w:val="1"/>
                <w:color w:val="auto"/>
              </w:rPr>
              <w:t>grant</w:t>
            </w:r>
          </w:p>
        </w:tc>
        <w:tc>
          <w:tcPr>
            <w:tcW w:w="1560" w:type="dxa"/>
            <w:vAlign w:val="bottom"/>
            <w:gridSpan w:val="3"/>
          </w:tcPr>
          <w:p>
            <w:pPr>
              <w:ind w:left="280"/>
              <w:spacing w:after="0"/>
              <w:rPr>
                <w:sz w:val="20"/>
                <w:szCs w:val="20"/>
                <w:color w:val="auto"/>
              </w:rPr>
            </w:pPr>
            <w:r>
              <w:rPr>
                <w:rFonts w:ascii="Arial" w:cs="Arial" w:eastAsia="Arial" w:hAnsi="Arial"/>
                <w:sz w:val="17"/>
                <w:szCs w:val="17"/>
                <w:b w:val="1"/>
                <w:bCs w:val="1"/>
                <w:color w:val="auto"/>
              </w:rPr>
              <w:t>common share</w:t>
            </w:r>
          </w:p>
        </w:tc>
      </w:tr>
      <w:tr>
        <w:trPr>
          <w:trHeight w:val="233"/>
        </w:trPr>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 of grant</w:t>
            </w:r>
          </w:p>
        </w:tc>
        <w:tc>
          <w:tcPr>
            <w:tcW w:w="2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Type of award</w:t>
            </w:r>
          </w:p>
        </w:tc>
        <w:tc>
          <w:tcPr>
            <w:tcW w:w="18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options granted</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per share</w:t>
            </w:r>
            <w:r>
              <w:rPr>
                <w:rFonts w:ascii="Arial" w:cs="Arial" w:eastAsia="Arial" w:hAnsi="Arial"/>
                <w:sz w:val="11"/>
                <w:szCs w:val="11"/>
                <w:b w:val="1"/>
                <w:bCs w:val="1"/>
                <w:color w:val="auto"/>
              </w:rPr>
              <w:t>(1)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date</w:t>
            </w:r>
            <w:r>
              <w:rPr>
                <w:rFonts w:ascii="Arial" w:cs="Arial" w:eastAsia="Arial" w:hAnsi="Arial"/>
                <w:sz w:val="11"/>
                <w:szCs w:val="11"/>
                <w:b w:val="1"/>
                <w:bCs w:val="1"/>
                <w:color w:val="auto"/>
              </w:rPr>
              <w:t>(2)</w:t>
            </w: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at grant date</w:t>
            </w:r>
            <w:r>
              <w:rPr>
                <w:rFonts w:ascii="Arial" w:cs="Arial" w:eastAsia="Arial" w:hAnsi="Arial"/>
                <w:sz w:val="11"/>
                <w:szCs w:val="11"/>
                <w:b w:val="1"/>
                <w:bCs w:val="1"/>
                <w:color w:val="auto"/>
              </w:rPr>
              <w:t>(1)</w:t>
            </w:r>
          </w:p>
        </w:tc>
      </w:tr>
      <w:tr>
        <w:trPr>
          <w:trHeight w:val="194"/>
        </w:trPr>
        <w:tc>
          <w:tcPr>
            <w:tcW w:w="2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August 2020</w:t>
            </w:r>
          </w:p>
        </w:tc>
        <w:tc>
          <w:tcPr>
            <w:tcW w:w="238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Options</w:t>
            </w:r>
          </w:p>
        </w:tc>
        <w:tc>
          <w:tcPr>
            <w:tcW w:w="186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1,038,873</w:t>
            </w:r>
          </w:p>
        </w:tc>
        <w:tc>
          <w:tcPr>
            <w:tcW w:w="44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0.32</w:t>
            </w:r>
          </w:p>
        </w:tc>
        <w:tc>
          <w:tcPr>
            <w:tcW w:w="38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0.21</w:t>
            </w:r>
          </w:p>
        </w:tc>
        <w:tc>
          <w:tcPr>
            <w:tcW w:w="56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0.32</w:t>
            </w:r>
          </w:p>
        </w:tc>
        <w:tc>
          <w:tcPr>
            <w:tcW w:w="60" w:type="dxa"/>
            <w:vAlign w:val="bottom"/>
            <w:shd w:val="clear" w:color="auto" w:fill="CCEEFF"/>
          </w:tcPr>
          <w:p>
            <w:pPr>
              <w:spacing w:after="0"/>
              <w:rPr>
                <w:sz w:val="16"/>
                <w:szCs w:val="16"/>
                <w:color w:val="auto"/>
              </w:rPr>
            </w:pPr>
          </w:p>
        </w:tc>
      </w:tr>
      <w:tr>
        <w:trPr>
          <w:trHeight w:val="201"/>
        </w:trPr>
        <w:tc>
          <w:tcPr>
            <w:tcW w:w="2220" w:type="dxa"/>
            <w:vAlign w:val="bottom"/>
          </w:tcPr>
          <w:p>
            <w:pPr>
              <w:spacing w:after="0"/>
              <w:rPr>
                <w:sz w:val="20"/>
                <w:szCs w:val="20"/>
                <w:color w:val="auto"/>
              </w:rPr>
            </w:pPr>
            <w:r>
              <w:rPr>
                <w:rFonts w:ascii="Arial" w:cs="Arial" w:eastAsia="Arial" w:hAnsi="Arial"/>
                <w:sz w:val="17"/>
                <w:szCs w:val="17"/>
                <w:color w:val="auto"/>
              </w:rPr>
              <w:t>December 2020</w:t>
            </w:r>
          </w:p>
        </w:tc>
        <w:tc>
          <w:tcPr>
            <w:tcW w:w="2380" w:type="dxa"/>
            <w:vAlign w:val="bottom"/>
          </w:tcPr>
          <w:p>
            <w:pPr>
              <w:jc w:val="right"/>
              <w:ind w:right="173"/>
              <w:spacing w:after="0"/>
              <w:rPr>
                <w:sz w:val="20"/>
                <w:szCs w:val="20"/>
                <w:color w:val="auto"/>
              </w:rPr>
            </w:pPr>
            <w:r>
              <w:rPr>
                <w:rFonts w:ascii="Arial" w:cs="Arial" w:eastAsia="Arial" w:hAnsi="Arial"/>
                <w:sz w:val="17"/>
                <w:szCs w:val="17"/>
                <w:color w:val="auto"/>
              </w:rPr>
              <w:t>Options</w:t>
            </w:r>
          </w:p>
        </w:tc>
        <w:tc>
          <w:tcPr>
            <w:tcW w:w="1860" w:type="dxa"/>
            <w:vAlign w:val="bottom"/>
          </w:tcPr>
          <w:p>
            <w:pPr>
              <w:jc w:val="right"/>
              <w:ind w:right="173"/>
              <w:spacing w:after="0"/>
              <w:rPr>
                <w:sz w:val="20"/>
                <w:szCs w:val="20"/>
                <w:color w:val="auto"/>
              </w:rPr>
            </w:pPr>
            <w:r>
              <w:rPr>
                <w:rFonts w:ascii="Arial" w:cs="Arial" w:eastAsia="Arial" w:hAnsi="Arial"/>
                <w:sz w:val="17"/>
                <w:szCs w:val="17"/>
                <w:color w:val="auto"/>
              </w:rPr>
              <w:t>6,747,273</w:t>
            </w:r>
          </w:p>
        </w:tc>
        <w:tc>
          <w:tcPr>
            <w:tcW w:w="440" w:type="dxa"/>
            <w:vAlign w:val="bottom"/>
          </w:tcPr>
          <w:p>
            <w:pPr>
              <w:ind w:lef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3"/>
              <w:spacing w:after="0"/>
              <w:rPr>
                <w:sz w:val="20"/>
                <w:szCs w:val="20"/>
                <w:color w:val="auto"/>
              </w:rPr>
            </w:pPr>
            <w:r>
              <w:rPr>
                <w:rFonts w:ascii="Arial" w:cs="Arial" w:eastAsia="Arial" w:hAnsi="Arial"/>
                <w:sz w:val="17"/>
                <w:szCs w:val="17"/>
                <w:color w:val="auto"/>
              </w:rPr>
              <w:t>0.62</w:t>
            </w:r>
          </w:p>
        </w:tc>
        <w:tc>
          <w:tcPr>
            <w:tcW w:w="380" w:type="dxa"/>
            <w:vAlign w:val="bottom"/>
          </w:tcPr>
          <w:p>
            <w:pPr>
              <w:ind w:left="2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3"/>
              <w:spacing w:after="0"/>
              <w:rPr>
                <w:sz w:val="20"/>
                <w:szCs w:val="20"/>
                <w:color w:val="auto"/>
              </w:rPr>
            </w:pPr>
            <w:r>
              <w:rPr>
                <w:rFonts w:ascii="Arial" w:cs="Arial" w:eastAsia="Arial" w:hAnsi="Arial"/>
                <w:sz w:val="17"/>
                <w:szCs w:val="17"/>
                <w:color w:val="auto"/>
              </w:rPr>
              <w:t>0.41</w:t>
            </w:r>
          </w:p>
        </w:tc>
        <w:tc>
          <w:tcPr>
            <w:tcW w:w="560" w:type="dxa"/>
            <w:vAlign w:val="bottom"/>
          </w:tcPr>
          <w:p>
            <w:pPr>
              <w:ind w:left="2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0.62</w:t>
            </w:r>
          </w:p>
        </w:tc>
        <w:tc>
          <w:tcPr>
            <w:tcW w:w="60" w:type="dxa"/>
            <w:vAlign w:val="bottom"/>
          </w:tcPr>
          <w:p>
            <w:pPr>
              <w:spacing w:after="0"/>
              <w:rPr>
                <w:sz w:val="17"/>
                <w:szCs w:val="17"/>
                <w:color w:val="auto"/>
              </w:rPr>
            </w:pPr>
          </w:p>
        </w:tc>
      </w:tr>
      <w:tr>
        <w:trPr>
          <w:trHeight w:val="201"/>
        </w:trPr>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April 2021</w:t>
            </w:r>
          </w:p>
        </w:tc>
        <w:tc>
          <w:tcPr>
            <w:tcW w:w="2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Options</w:t>
            </w:r>
          </w:p>
        </w:tc>
        <w:tc>
          <w:tcPr>
            <w:tcW w:w="18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9,155,982</w:t>
            </w:r>
          </w:p>
        </w:tc>
        <w:tc>
          <w:tcPr>
            <w:tcW w:w="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1.74</w:t>
            </w:r>
          </w:p>
        </w:tc>
        <w:tc>
          <w:tcPr>
            <w:tcW w:w="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1.20</w:t>
            </w:r>
          </w:p>
        </w:tc>
        <w:tc>
          <w:tcPr>
            <w:tcW w:w="5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60" w:type="dxa"/>
            <w:vAlign w:val="bottom"/>
            <w:shd w:val="clear" w:color="auto" w:fill="CCEEFF"/>
          </w:tcPr>
          <w:p>
            <w:pPr>
              <w:spacing w:after="0"/>
              <w:rPr>
                <w:sz w:val="17"/>
                <w:szCs w:val="17"/>
                <w:color w:val="auto"/>
              </w:rPr>
            </w:pPr>
          </w:p>
        </w:tc>
      </w:tr>
      <w:tr>
        <w:trPr>
          <w:trHeight w:val="213"/>
        </w:trPr>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May 2021</w:t>
            </w:r>
          </w:p>
        </w:tc>
        <w:tc>
          <w:tcPr>
            <w:tcW w:w="2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Options</w:t>
            </w:r>
          </w:p>
        </w:tc>
        <w:tc>
          <w:tcPr>
            <w:tcW w:w="18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314,250</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2.23</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1.53</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60" w:type="dxa"/>
            <w:vAlign w:val="bottom"/>
          </w:tcPr>
          <w:p>
            <w:pPr>
              <w:spacing w:after="0"/>
              <w:rPr>
                <w:sz w:val="18"/>
                <w:szCs w:val="18"/>
                <w:color w:val="auto"/>
              </w:rPr>
            </w:pPr>
          </w:p>
        </w:tc>
      </w:tr>
    </w:tbl>
    <w:p>
      <w:pPr>
        <w:spacing w:after="0" w:line="66" w:lineRule="exact"/>
        <w:rPr>
          <w:sz w:val="20"/>
          <w:szCs w:val="20"/>
          <w:color w:val="auto"/>
        </w:rPr>
      </w:pPr>
    </w:p>
    <w:p>
      <w:pPr>
        <w:jc w:val="both"/>
        <w:ind w:left="320" w:right="200" w:hanging="313"/>
        <w:spacing w:after="0" w:line="245" w:lineRule="auto"/>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50" w:lineRule="exact"/>
        <w:rPr>
          <w:rFonts w:ascii="Arial" w:cs="Arial" w:eastAsia="Arial" w:hAnsi="Arial"/>
          <w:sz w:val="13"/>
          <w:szCs w:val="13"/>
          <w:color w:val="auto"/>
        </w:rPr>
      </w:pPr>
    </w:p>
    <w:p>
      <w:pPr>
        <w:ind w:left="320" w:hanging="313"/>
        <w:spacing w:after="0"/>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estimated per share fair value of options reflects the weighted average fair value of options granted on each grant date, determined using the Black-Scholes option-pricing model.</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and adopted accounting pronouncements</w:t>
      </w:r>
    </w:p>
    <w:p>
      <w:pPr>
        <w:spacing w:after="0" w:line="14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Refer to Note 2, “Summary of Significant Accounting Policies,” in the accompanying notes to our combined and consolidated financial statements appearing elsewhere in this prospectus for a discussion of recent accounting pronouncements.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456"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Contractual obligations and commitments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2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Payments due by period</w:t>
            </w:r>
          </w:p>
        </w:tc>
      </w:tr>
      <w:tr>
        <w:trPr>
          <w:trHeight w:val="175"/>
        </w:trPr>
        <w:tc>
          <w:tcPr>
            <w:tcW w:w="4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3"/>
              <w:spacing w:after="0" w:line="176" w:lineRule="exact"/>
              <w:rPr>
                <w:sz w:val="20"/>
                <w:szCs w:val="20"/>
                <w:color w:val="auto"/>
              </w:rPr>
            </w:pPr>
            <w:r>
              <w:rPr>
                <w:rFonts w:ascii="Arial" w:cs="Arial" w:eastAsia="Arial" w:hAnsi="Arial"/>
                <w:sz w:val="17"/>
                <w:szCs w:val="17"/>
                <w:b w:val="1"/>
                <w:bCs w:val="1"/>
                <w:color w:val="auto"/>
              </w:rPr>
              <w:t>Less</w:t>
            </w:r>
          </w:p>
        </w:tc>
        <w:tc>
          <w:tcPr>
            <w:tcW w:w="7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4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ind w:right="93"/>
              <w:spacing w:after="0"/>
              <w:rPr>
                <w:sz w:val="20"/>
                <w:szCs w:val="20"/>
                <w:color w:val="auto"/>
              </w:rPr>
            </w:pPr>
            <w:r>
              <w:rPr>
                <w:rFonts w:ascii="Arial" w:cs="Arial" w:eastAsia="Arial" w:hAnsi="Arial"/>
                <w:sz w:val="17"/>
                <w:szCs w:val="17"/>
                <w:b w:val="1"/>
                <w:bCs w:val="1"/>
                <w:color w:val="auto"/>
              </w:rPr>
              <w:t>than</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 to 3</w:t>
            </w:r>
          </w:p>
        </w:tc>
        <w:tc>
          <w:tcPr>
            <w:tcW w:w="12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4 to 5</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More than</w:t>
            </w:r>
          </w:p>
        </w:tc>
      </w:tr>
      <w:tr>
        <w:trPr>
          <w:trHeight w:val="233"/>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0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Total</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1 Year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Years</w:t>
            </w:r>
          </w:p>
        </w:tc>
        <w:tc>
          <w:tcPr>
            <w:tcW w:w="12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rPr>
              <w:t>Years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5 Years</w:t>
            </w:r>
          </w:p>
        </w:tc>
      </w:tr>
      <w:tr>
        <w:trPr>
          <w:trHeight w:val="194"/>
        </w:trPr>
        <w:tc>
          <w:tcPr>
            <w:tcW w:w="4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lease commitments(1)</w:t>
            </w:r>
          </w:p>
        </w:tc>
        <w:tc>
          <w:tcPr>
            <w:tcW w:w="20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3"/>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8,896</w:t>
            </w:r>
          </w:p>
        </w:tc>
        <w:tc>
          <w:tcPr>
            <w:tcW w:w="900" w:type="dxa"/>
            <w:vAlign w:val="bottom"/>
            <w:tcBorders>
              <w:bottom w:val="single" w:sz="8" w:color="auto"/>
            </w:tcBorders>
            <w:shd w:val="clear" w:color="auto" w:fill="CCEEFF"/>
          </w:tcPr>
          <w:p>
            <w:pPr>
              <w:jc w:val="right"/>
              <w:ind w:right="93"/>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1,886</w:t>
            </w: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3,370</w:t>
            </w: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3,235</w:t>
            </w: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405</w:t>
            </w:r>
          </w:p>
        </w:tc>
        <w:tc>
          <w:tcPr>
            <w:tcW w:w="60" w:type="dxa"/>
            <w:vAlign w:val="bottom"/>
            <w:shd w:val="clear" w:color="auto" w:fill="CCEEFF"/>
          </w:tcPr>
          <w:p>
            <w:pPr>
              <w:spacing w:after="0"/>
              <w:rPr>
                <w:sz w:val="16"/>
                <w:szCs w:val="16"/>
                <w:color w:val="auto"/>
              </w:rPr>
            </w:pPr>
          </w:p>
        </w:tc>
      </w:tr>
      <w:tr>
        <w:trPr>
          <w:trHeight w:val="220"/>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28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color w:val="auto"/>
              </w:rPr>
              <w:t>$8,896</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$1,886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60" w:type="dxa"/>
            <w:vAlign w:val="bottom"/>
          </w:tcPr>
          <w:p>
            <w:pPr>
              <w:spacing w:after="0"/>
              <w:rPr>
                <w:sz w:val="19"/>
                <w:szCs w:val="19"/>
                <w:color w:val="auto"/>
              </w:rPr>
            </w:pPr>
          </w:p>
        </w:tc>
      </w:tr>
    </w:tbl>
    <w:p>
      <w:pPr>
        <w:spacing w:after="0" w:line="66" w:lineRule="exact"/>
        <w:rPr>
          <w:sz w:val="20"/>
          <w:szCs w:val="20"/>
          <w:color w:val="auto"/>
        </w:rPr>
      </w:pPr>
    </w:p>
    <w:p>
      <w:pPr>
        <w:ind w:left="320" w:right="160" w:hanging="313"/>
        <w:spacing w:after="0" w:line="245" w:lineRule="auto"/>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We lease facilities in Boston, Massachusetts under an operating lease through April 2021, and Basel, Switzerland under an operating lease through April 2024. In 2020, the Company entered into an agreement to lease a new facility in Boston commencing in March 2021 and moved into the new facility in April 2021. In April 2021, the Company entered into an agreement to lease a new facility in Basel, Switzerland commencing in April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w:t>
      </w:r>
    </w:p>
    <w:p>
      <w:pPr>
        <w:spacing w:after="0" w:line="13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In April 2018, the Company entered into license, collaboration and investment agreements with CRT and the ICR for the purpose of development in the field of cereblon-mediated protein degradation or, the License and Collaboration. Pursuant to the License and Collaboration, CRT and the ICR granted the Company an exclusive and non-exclusive, worldwide, and sublicensable licenses under CRT’s and the ICR’s intellection property rights in the field of cereblon mediated protein degradation to discover, research, develop, have developed, use, keep, make, have made, market, import, offer for sale, and sell products in the field of cereblon-mediated protein degradation.</w:t>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consideration for the rights granted under the License Agreement, we issued an aggregate of 4,000,000 common shares to CRT, the ICR and affiliated founding scientists pursuant to the Formation and Investment Agreement at a price per share of CHF 0.01 for an aggregate purchase price of CHF 40,000 and paid CRT a technology access fee equal to approximately $42,000. The License Agreement will remain effective until terminated by written agreement between us, CRT and the ICR.</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Company is obligated to make milestone payments for achieving certain clinical progression events, aggregating up to $7 million for the first product candidate and $3.5 million for each subsequent product candidate. The aggregate amount of milestone payments and royalties to be paid will depend on whether or not the development candidates that the Company identifies are subject to the collaboration agreement with CRT and ICR. In addition, the Company is further required to pay low single-digit royalties on net sales for each product successfully developed and commercialized in the field of cereblon-mediated protein degradation under the terms of the License and Collaboration on a country by country basis until the later of (a) the date when the manufacture, use, offer for sale, sale or importation of a product is no longer covered by a valid claim in the country of sale, use or manufacture; (b) ten years from the first commercial sale of such product in the relevant country; and (c) the expiry of any extended exclusivity period granted with respect to an orphan drug designation, pediatric designation or other exclusivity in the relevant country. See the section entitled “Business—Our services, collaboration and licenses agreements” elsewhere in this prospectus as well as Note 6 to our annual combined and consolidated financial statements appearing elsewhere in this prospectus for a description of our collaboration and license agreements.</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15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456"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3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We held cash and cash equivalents of $168.4 million as of March 31, 2021. We generally have held our cash equivalents in interest-bearing, U.S. government backed money market funds. Our primary exposure to market risk is interest rate sensitivity, which is affected by changes in the general level of U.S. interest rates. Due to the short-term maturities of our cash equivalents and the low risk profile of our investments, an immediate 100 basis point change in interest rates would not have a material effect on the fair market value of our cash equivalents.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results of operations are subject to foreign currency exchange rate fluctuations principally due to our operations in Switzerland. As a result, our combined and consolidated financial position, results of operations and cash flows can be affected by market fluctuations in foreign currency exchange rates, primarily with respect to the Swiss franc and the Euro. Fluctuations in the foreign currency exchange rates will affect our operating results, often in ways that are difficult to predict. In particular, as the U.S. dollar weakens versus other currencies the non-U.S. expense will increase when reported in U.S. dollars.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However, we may early adopt these standards.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140"/>
          </w:cols>
          <w:pgMar w:left="320" w:top="456"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a biopharmaceutical company developing a portfolio of novel small molecule precision medicines that employ the body’s natural mechanisms to selectively degrade therapeutically-relevant proteins. We have developed a proprietary protein degradation platform, called QuEEN, that enables us to rapidly identify protein targets and molecular glue degrader, or MGD, product candidates that are designed to eliminate therapeutically-relevant proteins in a highly selective manner. We believe our small molecule MGDs may give us significant advantages over existing therapeutic modalities, including other protein degradation approaches, by allowing us to target proteins that have been considered undruggable or inadequately drugged. We focus on therapeutic targets backed by strong biological and genetic rationale with the goal of discovering and developing novel precision medicines. These opportunities include oncology and non-oncology indications, including immunology, inflammation, neurological and genetic diseases. Our lead program is a series of potent, selective and orally bioavailable GSPT1-directed MGD molecules, one of which we plan to evaluate in molecularly-defined subsets of Myc-driven cancers. We expect to select a development candidate in the second half of 2021 and submit an Investigational New Drug application, or IND, with the U.S. Food and Drug Administration, or the FDA, in the first half of 2022. Beyond our lead program, we have a number of discovery programs in our pipeline and intend to nominate at least two for lead optimization in 2021.</w:t>
      </w:r>
    </w:p>
    <w:p>
      <w:pPr>
        <w:spacing w:after="0" w:line="30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proprietary Quantitative and Engineered Elimination of Neosubstrates, or QuEEN, platform enables us to rationally design and develop small molecule MGDs that lead to the destruction of a therapeutically-relevant target protein by facilitating its tagging for removal. Our MGDs are drug-like small molecules that bring together a therapeutically-relevant target protein and an E3 ligase, leading to degradation of the target protein via the intracellular protein degradation system, called the proteasome. Our MGDs are non-heterobifunctional, in contrast to proteolysis targeting chimeras, or PROTACs. Central to our QuEEN platform is a detailed understanding of the molecular interactions promoted by our small molecule MGDs between E3 ligases and structural features, called degrons, on the surface of therapeutically-relevant proteins which have been considered undruggable or inadequately drugged. Key components of our QuEEN platform are:</w:t>
      </w:r>
    </w:p>
    <w:p>
      <w:pPr>
        <w:spacing w:after="0" w:line="87" w:lineRule="exact"/>
        <w:rPr>
          <w:sz w:val="20"/>
          <w:szCs w:val="20"/>
          <w:color w:val="auto"/>
        </w:rPr>
      </w:pPr>
    </w:p>
    <w:p>
      <w:pPr>
        <w:ind w:left="220" w:right="360" w:hanging="213"/>
        <w:spacing w:after="0" w:line="265"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Degron encyclopedia</w:t>
      </w:r>
      <w:r>
        <w:rPr>
          <w:rFonts w:ascii="Arial" w:cs="Arial" w:eastAsia="Arial" w:hAnsi="Arial"/>
          <w:sz w:val="17"/>
          <w:szCs w:val="17"/>
          <w:color w:val="auto"/>
        </w:rPr>
        <w:t>: A growing catalogue of target proteins identified through our proprietary artificial intelligence, or AI, approach that</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us to identify structural features on protein surfaces that can serve as degrons for highly validated and therapeutically relevant, but otherwise undruggable or inadequately drugged, proteins</w:t>
      </w:r>
    </w:p>
    <w:p>
      <w:pPr>
        <w:spacing w:after="0" w:line="74" w:lineRule="exact"/>
        <w:rPr>
          <w:rFonts w:ascii="Arial" w:cs="Arial" w:eastAsia="Arial" w:hAnsi="Arial"/>
          <w:sz w:val="17"/>
          <w:szCs w:val="17"/>
          <w:color w:val="auto"/>
        </w:rPr>
      </w:pPr>
    </w:p>
    <w:p>
      <w:pPr>
        <w:ind w:left="220" w:right="320" w:hanging="213"/>
        <w:spacing w:after="0" w:line="285"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Proprietary MGD library</w:t>
      </w:r>
      <w:r>
        <w:rPr>
          <w:rFonts w:ascii="Arial" w:cs="Arial" w:eastAsia="Arial" w:hAnsi="Arial"/>
          <w:sz w:val="17"/>
          <w:szCs w:val="17"/>
          <w:color w:val="auto"/>
        </w:rPr>
        <w:t>: A diverse and continuously growing chemical library of drug-like MGDs that are rationally designed based on our</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in molecular glue anatomy</w:t>
      </w:r>
    </w:p>
    <w:p>
      <w:pPr>
        <w:spacing w:after="0" w:line="57" w:lineRule="exact"/>
        <w:rPr>
          <w:rFonts w:ascii="Arial" w:cs="Arial" w:eastAsia="Arial" w:hAnsi="Arial"/>
          <w:sz w:val="17"/>
          <w:szCs w:val="17"/>
          <w:color w:val="auto"/>
        </w:rPr>
      </w:pPr>
    </w:p>
    <w:p>
      <w:pPr>
        <w:ind w:left="220" w:right="160" w:hanging="213"/>
        <w:spacing w:after="0" w:line="265"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Glue-omics toolbox</w:t>
      </w:r>
      <w:r>
        <w:rPr>
          <w:rFonts w:ascii="Arial" w:cs="Arial" w:eastAsia="Arial" w:hAnsi="Arial"/>
          <w:sz w:val="17"/>
          <w:szCs w:val="17"/>
          <w:color w:val="auto"/>
        </w:rPr>
        <w:t>: A tailored suite of biochemical, structural biology, cellular, proteomics and</w:t>
      </w:r>
      <w:r>
        <w:rPr>
          <w:rFonts w:ascii="Arial" w:cs="Arial" w:eastAsia="Arial" w:hAnsi="Arial"/>
          <w:sz w:val="17"/>
          <w:szCs w:val="17"/>
          <w:i w:val="1"/>
          <w:iCs w:val="1"/>
          <w:color w:val="auto"/>
        </w:rPr>
        <w:t xml:space="preserve"> in silico </w:t>
      </w:r>
      <w:r>
        <w:rPr>
          <w:rFonts w:ascii="Arial" w:cs="Arial" w:eastAsia="Arial" w:hAnsi="Arial"/>
          <w:sz w:val="17"/>
          <w:szCs w:val="17"/>
          <w:color w:val="auto"/>
        </w:rPr>
        <w:t>screening tools that enable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and optimization of MGD product candidates that efficiently recruit neosubstrates to E3 ligases utilizing degrons discovered through our AI approach</w:t>
      </w:r>
    </w:p>
    <w:p>
      <w:pPr>
        <w:spacing w:after="0" w:line="79"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are developing an oral MGD that targets GSPT1, a translational termination factor and degron-containing protein, for the treatment of cancers overexpressing one of the Myc family genes (c-Myc, N-Myc and L-Myc). The Myc transcription factors are some of the most frequently mutated, translocated and overexpressed oncogenes in human cancers. For example, around 10% of non-small cell lung cancer, or NSCLC, overexpress N-Myc and over 50% of small cell lung cancer, or SCLC, overexpress L-Myc. Myc-driven cancer cells are highly addicted to protein translation. Because of the key role of GSPT1 in protein synthesis, selective GSPT1 degradation by our MGD in these cells leads to cell death. In multiple Myc-driven preclinical models, we have shown that our lead GSPT1-directed MGD molecules are potent, selective, and well-tolerated, inducing tumor regression after oral administration. We anticipate initiating IND-enabling studies in the second half of 2021 and expect to submit an IND to the FDA in the first half of 2022.</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456"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to our oral GSPT1-directed MGD program, we are also advancing discovery programs identified with our QuEEN platform against multiple additional degron-containing targets that are highly validated and therapeutically relevant, but otherwise considered undruggable or inadequately drugged. We have been able to identify selective MGD molecules for CDK2, an oncology target whose activation is associated with poor prognoses in cancers such as ovarian, uterine, and breast cancer. We have also identified potential targets outside of oncology as exemplified by our NEK7 program. NEK7 is an activator of the NLRP3 inflammasome, a central regulator of cellular inflammatory responses to pathogens, damage and stress. Aberrant NLRP3 inflammasome activation is implicated in the pathogenesis of multiple autoimmune diseases, including Crohn’s disease, neurodegenerative diseases, diabetes and liver disease. We have identified MGD molecules from our library that selectively degrade NEK7 in cells. Similarly, we have identified MGD molecules for VAV1, a target protein in autoimmune disease, and BCL11A, a therapeutically-relevant protein in hemoglobinopathies. We expect two or more of these discovery programs to move into lead optimization in 2021.</w:t>
      </w:r>
    </w:p>
    <w:p>
      <w:pPr>
        <w:spacing w:after="0" w:line="29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believe we have identified a large number of therapeutically-relevant targets that are amenable to degradation by the MGDs discovered through our QuEEN platform. Applying our unique structural biology and computational tools, we have built and continue to grow an encyclopedia of over 1500 degron-containing proteins, many of which have robust links to human diseases. The majority of these proteins have been considered undruggable because they lack suitable small molecule binding pockets, which our MGDs do not require. We are systematically validating and rapidly advancing the most compelling of these targets while prioritizing those with a strong established therapeutic rationale for inclusion in our pipeline.</w:t>
      </w:r>
    </w:p>
    <w:p>
      <w:pPr>
        <w:spacing w:after="0" w:line="9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We are led by an experienced team of drug discovery and development experts with decades of experience in targeted protein degradation, molecular glues, chemistry, structural biology, data science, disease biology, translational medicine, and clinical development. We were founded by Professor Raj Chopra and Professor Ian Collins of The Institute for Cancer Research, UK, pioneers in the field of molecular glue degraders, and Versant Ventures. Since our inception, we have raised over $220 million in equity capital from leading investors including Aisling Capital, Amzak Health, Avoro Capital Advisors, funds and accounts managed by BlackRock, Cambridge Asset Management, Casdin Capital, Cormorant Asset Management, Fidelity Management &amp; Research Company LLC, GV, HBM Healthcare Investments, New Enterprise Associates, funds and accounts advised by RTW Investments, LP, Sixty Degree Capital, funds and accounts advised by T. Rowe Price Associates, Inc, and Versant Ventures.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180"/>
          </w:cols>
          <w:pgMar w:left="320" w:top="456"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pipeline</w:t>
      </w:r>
    </w:p>
    <w:p>
      <w:pPr>
        <w:spacing w:after="0" w:line="35"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Our internal discovery programs are focused on delivering precision medicine-based therapies to targets that have been considered undruggable or inadequately drugged in well-characterized biological pathways across clinical indications in oncology, inflammation, immunology and genetic diseases with high unmet needs. We currently retain worldwide rights to the programs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-13335</wp:posOffset>
            </wp:positionV>
            <wp:extent cx="5137785" cy="22250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37785"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mission is to reshape disease treatment paradigms by discovering and developing a precision medicine-based portfolio of novel small molecule MGDs that selectively eliminate therapeutically-relevant proteins in a broad range of indications with significant unmet medical need. We believe the product candidates identified through our proprietary QuEEN platform can provide distinct advantages over other modalities to address targets that have been considered undruggable or inadequately drugged. In order to achieve our mission, key elements of our strategy include:</w:t>
      </w:r>
    </w:p>
    <w:p>
      <w:pPr>
        <w:spacing w:after="0" w:line="288" w:lineRule="exact"/>
        <w:rPr>
          <w:sz w:val="20"/>
          <w:szCs w:val="20"/>
          <w:color w:val="auto"/>
        </w:rPr>
      </w:pPr>
    </w:p>
    <w:p>
      <w:pPr>
        <w:ind w:left="220" w:right="100" w:hanging="213"/>
        <w:spacing w:after="0" w:line="252" w:lineRule="auto"/>
        <w:tabs>
          <w:tab w:leader="none" w:pos="2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Continue to advance our GSPT1-directed MGD program into and through clinical development and seek regulatory approval</w:t>
      </w:r>
      <w:r>
        <w:rPr>
          <w:rFonts w:ascii="Arial" w:cs="Arial" w:eastAsia="Arial" w:hAnsi="Arial"/>
          <w:sz w:val="17"/>
          <w:szCs w:val="17"/>
          <w:color w:val="auto"/>
        </w:rPr>
        <w:t>. We employ a</w:t>
      </w:r>
      <w:r>
        <w:rPr>
          <w:rFonts w:ascii="Arial" w:cs="Arial" w:eastAsia="Arial" w:hAnsi="Arial"/>
          <w:sz w:val="17"/>
          <w:szCs w:val="17"/>
          <w:i w:val="1"/>
          <w:iCs w:val="1"/>
          <w:color w:val="auto"/>
        </w:rPr>
        <w:t xml:space="preserve"> </w:t>
      </w:r>
      <w:r>
        <w:rPr>
          <w:rFonts w:ascii="Arial" w:cs="Arial" w:eastAsia="Arial" w:hAnsi="Arial"/>
          <w:sz w:val="17"/>
          <w:szCs w:val="17"/>
          <w:color w:val="auto"/>
        </w:rPr>
        <w:t>core set of drug discovery and development principles to guide our target protein selection across various protein classes and therapeutic areas. We are specifically focused on delivering therapies to targets that have been considered undruggable or inadequately drugged in preclinically and clinically well-characterized biological pathways. We have generated data in preclinical models that demonstrate the potential of our GSPT1-directed MGDs to confer potent antitumor activity across multiple tumor types that are driven by the Myc family of transcription factors. Our lead molecules are potent, highly selective and orally bioavailable GSPT1-directed MGDs, one of which we plan to evaluate in molecularly-defined subsets of Myc-driven cancers. We expect to submit an IND for a development candidate in the first half of 2022</w:t>
      </w:r>
    </w:p>
    <w:p>
      <w:pPr>
        <w:spacing w:after="0" w:line="87" w:lineRule="exact"/>
        <w:rPr>
          <w:rFonts w:ascii="Arial" w:cs="Arial" w:eastAsia="Arial" w:hAnsi="Arial"/>
          <w:sz w:val="17"/>
          <w:szCs w:val="17"/>
          <w:color w:val="auto"/>
        </w:rPr>
      </w:pPr>
    </w:p>
    <w:p>
      <w:pPr>
        <w:ind w:left="220" w:right="40" w:hanging="213"/>
        <w:spacing w:after="0" w:line="254" w:lineRule="auto"/>
        <w:tabs>
          <w:tab w:leader="none" w:pos="2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Further expand the capabilities of our QuEEN platform to unlock the full therapeutic potential of MGDs</w:t>
      </w:r>
      <w:r>
        <w:rPr>
          <w:rFonts w:ascii="Arial" w:cs="Arial" w:eastAsia="Arial" w:hAnsi="Arial"/>
          <w:sz w:val="17"/>
          <w:szCs w:val="17"/>
          <w:color w:val="auto"/>
        </w:rPr>
        <w:t>. Our QuEEN platform enables us to</w:t>
      </w:r>
      <w:r>
        <w:rPr>
          <w:rFonts w:ascii="Arial" w:cs="Arial" w:eastAsia="Arial" w:hAnsi="Arial"/>
          <w:sz w:val="17"/>
          <w:szCs w:val="17"/>
          <w:i w:val="1"/>
          <w:iCs w:val="1"/>
          <w:color w:val="auto"/>
        </w:rPr>
        <w:t xml:space="preserve"> </w:t>
      </w:r>
      <w:r>
        <w:rPr>
          <w:rFonts w:ascii="Arial" w:cs="Arial" w:eastAsia="Arial" w:hAnsi="Arial"/>
          <w:sz w:val="17"/>
          <w:szCs w:val="17"/>
          <w:color w:val="auto"/>
        </w:rPr>
        <w:t>vastly expand the degradable proteome beyond conventionally druggable targets. Our approach is based on the computational identification of structural features on the surface of a protein, called degrons. We combine our AI-powered target discovery engine and proprietary library of rationally designed MGDs to selectively connect degron-containing targets to the E3 ligase protein, cereblon. QuEEN has the potential to help us better understand the optimal pairing of degron-containing proteins with ligases beyond cereblon to even further expand our target space. We will continue to invest in our QuEEN platform, including expanding our proteomics and translational medicine capabilities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20"/>
          </w:cols>
          <w:pgMar w:left="320" w:top="456"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20" w:hanging="213"/>
        <w:spacing w:after="0" w:line="253"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Develop a pipeline of rationally designed MGDs to transform the treatment of diseases in multiple therapeutic areas</w:t>
      </w:r>
      <w:r>
        <w:rPr>
          <w:rFonts w:ascii="Arial" w:cs="Arial" w:eastAsia="Arial" w:hAnsi="Arial"/>
          <w:sz w:val="17"/>
          <w:szCs w:val="17"/>
          <w:color w:val="auto"/>
        </w:rPr>
        <w:t>. Through our QuEEN</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we have identified more than 1500 degron-containing proteins. Many of these have been highly credentialed as potential therapeutic targets through third-party preclinical and genetic studies; however, most have previously been inaccessible by existing drug modalities. We will continue to focus on therapeutic targets backed by strong biological and genetic rationale with the goal of producing novel precision medicines. These opportunities include oncology and non-oncology indications, including immunology and inflammation, neurological and genetic diseases. Beyond our lead program, we have a number of discovery programs in our pipeline and intend to nominate at least two for lead optimization in 2021</w:t>
      </w:r>
    </w:p>
    <w:p>
      <w:pPr>
        <w:spacing w:after="0" w:line="284" w:lineRule="exact"/>
        <w:rPr>
          <w:rFonts w:ascii="Arial" w:cs="Arial" w:eastAsia="Arial" w:hAnsi="Arial"/>
          <w:sz w:val="17"/>
          <w:szCs w:val="17"/>
          <w:color w:val="auto"/>
        </w:rPr>
      </w:pPr>
    </w:p>
    <w:p>
      <w:pPr>
        <w:ind w:left="220" w:right="120" w:hanging="213"/>
        <w:spacing w:after="0" w:line="258"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Expand and protect our proprietary know-how and intellectual property</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developed a broad patent estate protecting our intellectual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which we intend to expand to further protect our QuEEN platform and the product candidates we develop. Our intellectual property, which includes proprietary know-how and expected patents, applies not only to our product candidates but also, for example, to the AI discovery engine algorithm for our Degron Encyclopedia as well as to certain biomarkers and therapeutic applications for our potential product candidates</w:t>
      </w:r>
    </w:p>
    <w:p>
      <w:pPr>
        <w:spacing w:after="0" w:line="282" w:lineRule="exact"/>
        <w:rPr>
          <w:rFonts w:ascii="Arial" w:cs="Arial" w:eastAsia="Arial" w:hAnsi="Arial"/>
          <w:sz w:val="17"/>
          <w:szCs w:val="17"/>
          <w:color w:val="auto"/>
        </w:rPr>
      </w:pPr>
    </w:p>
    <w:p>
      <w:pPr>
        <w:ind w:left="220" w:hanging="213"/>
        <w:spacing w:after="0" w:line="257"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Consider strategic collaborations in select therapeutic areas to fully realize the potential of our QuEEN platform</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goal is to become a fully-integrated biopharmaceutical company that delivers pioneering therapies for patients. We currently retain all rights to our programs and platform. To support our goal, we will selectively explore strategic partnerships where we can leverage complementary capabilities in discovery, development and commercialization in disease areas within and outside our core areas of therapeutic focus to bring transformative therapies to patients with high unmet medical needs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Background on targeted protein degradation and molecular glues</w:t>
      </w:r>
    </w:p>
    <w:p>
      <w:pPr>
        <w:spacing w:after="0" w:line="142"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Proteins are large, complex molecules that are involved in essentially all of the biochemical reactions that take place in the body. Many human diseases are associated with abnormal intracellular protein behavior driven by modified functional activation or inactivation of the protein itself. Given their critical role, proteins are attractive therapeutic targets, particularly those that act inside the cell, not at its surface. While significant progress has been made in the development of therapeutics that address malfunctioning proteins, 85% of human proteins are considered undruggable by traditional small molecules.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with druggable vs. undruggable proteins</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most common methods of targeting proteins, including intracellular proteins, involve traditional small molecule inhibitors that bind to a pocket in the protein and, there, act to inhibit or modify the function of the protein. Having such a pocket is what has traditionally led to a protein being considered druggable yet most proteins lack suitably sized and shaped binding pockets. In particular, proteins such as transcription factors, those that act as scaffolding for other proteins and modulators of enzyme activity, all of which can play a critical role in disease, often don’t have binding pockets. The absence of a binding pocket presents a challenge to the development of traditional small molecule inhibitors. Furthermore, the features of therapeutic antibodies, oligo-based nucleotides and other genetic therapies limit their ability to address aberrant protein behavior.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456"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40"/>
        <w:spacing w:after="0" w:line="254" w:lineRule="auto"/>
        <w:rPr>
          <w:sz w:val="20"/>
          <w:szCs w:val="20"/>
          <w:color w:val="auto"/>
        </w:rPr>
      </w:pPr>
      <w:r>
        <w:rPr>
          <w:rFonts w:ascii="Arial" w:cs="Arial" w:eastAsia="Arial" w:hAnsi="Arial"/>
          <w:sz w:val="17"/>
          <w:szCs w:val="17"/>
          <w:color w:val="auto"/>
        </w:rPr>
        <w:t>Many of the aforementioned therapeutic modalities have meaningfully advanced the treatment of disease and improved the quality of life for millions of patients. However, these modalities face specific challenges related to their mode of delivery, scalability and their therapeutic application. A summary of these characteristics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62230</wp:posOffset>
            </wp:positionV>
            <wp:extent cx="5137785" cy="2318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37785"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Molecular glues: a new approach to protein degradation</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 new and promising approach to modulating protein function using small molecules in cells was recently elucidated: protein degradation. Protein degradation is one of the body’s natural processes by which proteins are eliminated from human cells through the attachment of a molecular tag, called ubiquitin, to a protein by any of the approximately 600 human E3 ligases, marking the protein for degradation by the proteasome in the cell. Protein degradation can be induced by small molecule-based degraders, including both PROTACs and MGDs. It was found that lenalidomide, now an approved best-selling drug in multiple indications with 2020 global sales of $12.1 billion, functioned as a small molecule-based degrader, or as an MGD, more specifically. In one of these indications, multiple myeloma, lenalidomide acts by causing two disease-driving transcription factors, IKZF1 and IKZF3, that lack druggable pockets, to bind to cereblon, an E3 ligase protein, resulting in their degradation.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Overview of protein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91440</wp:posOffset>
            </wp:positionV>
            <wp:extent cx="3515995" cy="18510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15995"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180"/>
          </w:cols>
          <w:pgMar w:left="320" w:top="456" w:right="3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targeted protein degradation approach offers many features that make it an attractive therapeutic modality:</w:t>
      </w:r>
    </w:p>
    <w:p>
      <w:pPr>
        <w:spacing w:after="0" w:line="107" w:lineRule="exact"/>
        <w:rPr>
          <w:sz w:val="20"/>
          <w:szCs w:val="20"/>
          <w:color w:val="auto"/>
        </w:rPr>
      </w:pPr>
    </w:p>
    <w:p>
      <w:pPr>
        <w:ind w:left="220" w:right="280" w:hanging="213"/>
        <w:spacing w:after="0" w:line="285"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Removal of a target protein</w:t>
      </w:r>
      <w:r>
        <w:rPr>
          <w:rFonts w:ascii="Arial" w:cs="Arial" w:eastAsia="Arial" w:hAnsi="Arial"/>
          <w:sz w:val="17"/>
          <w:szCs w:val="17"/>
          <w:color w:val="auto"/>
        </w:rPr>
        <w:t>: partial or complete removal of a target protein can lead to more complete inhibition of signaling and metabolic</w:t>
      </w:r>
      <w:r>
        <w:rPr>
          <w:rFonts w:ascii="Arial" w:cs="Arial" w:eastAsia="Arial" w:hAnsi="Arial"/>
          <w:sz w:val="17"/>
          <w:szCs w:val="17"/>
          <w:i w:val="1"/>
          <w:iCs w:val="1"/>
          <w:color w:val="auto"/>
        </w:rPr>
        <w:t xml:space="preserve"> </w:t>
      </w:r>
      <w:r>
        <w:rPr>
          <w:rFonts w:ascii="Arial" w:cs="Arial" w:eastAsia="Arial" w:hAnsi="Arial"/>
          <w:sz w:val="17"/>
          <w:szCs w:val="17"/>
          <w:color w:val="auto"/>
        </w:rPr>
        <w:t>pathways, thus resulting in more profound pharmacodynamic effects than traditional reversible or irreversible inhibition</w:t>
      </w:r>
    </w:p>
    <w:p>
      <w:pPr>
        <w:spacing w:after="0" w:line="53" w:lineRule="exact"/>
        <w:rPr>
          <w:rFonts w:ascii="Arial" w:cs="Arial" w:eastAsia="Arial" w:hAnsi="Arial"/>
          <w:sz w:val="17"/>
          <w:szCs w:val="17"/>
          <w:color w:val="auto"/>
        </w:rPr>
      </w:pPr>
    </w:p>
    <w:p>
      <w:pPr>
        <w:ind w:left="220" w:hanging="213"/>
        <w:spacing w:after="0"/>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Intracellular protein targetability</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small molecule-based protein degraders readily cross cell membranes or can be optimized to do so</w:t>
      </w:r>
    </w:p>
    <w:p>
      <w:pPr>
        <w:spacing w:after="0" w:line="129" w:lineRule="exact"/>
        <w:rPr>
          <w:rFonts w:ascii="Arial" w:cs="Arial" w:eastAsia="Arial" w:hAnsi="Arial"/>
          <w:sz w:val="17"/>
          <w:szCs w:val="17"/>
          <w:color w:val="auto"/>
        </w:rPr>
      </w:pPr>
    </w:p>
    <w:p>
      <w:pPr>
        <w:ind w:left="220" w:hanging="213"/>
        <w:spacing w:after="0"/>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Ease of delivery</w:t>
      </w:r>
      <w:r>
        <w:rPr>
          <w:rFonts w:ascii="Arial" w:cs="Arial" w:eastAsia="Arial" w:hAnsi="Arial"/>
          <w:sz w:val="17"/>
          <w:szCs w:val="17"/>
          <w:color w:val="auto"/>
        </w:rPr>
        <w:t>:  small molecule-based protein degraders can be delivered through various routes of administration, including oral</w:t>
      </w:r>
    </w:p>
    <w:p>
      <w:pPr>
        <w:spacing w:after="0" w:line="121" w:lineRule="exact"/>
        <w:rPr>
          <w:rFonts w:ascii="Arial" w:cs="Arial" w:eastAsia="Arial" w:hAnsi="Arial"/>
          <w:sz w:val="17"/>
          <w:szCs w:val="17"/>
          <w:color w:val="auto"/>
        </w:rPr>
      </w:pPr>
    </w:p>
    <w:p>
      <w:pPr>
        <w:ind w:left="220" w:right="620" w:hanging="213"/>
        <w:spacing w:after="0" w:line="290"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Systemic and tissue distribution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since most small molecule-based degraders are low molecular weight compared to other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modalities, tissue distribution, and in particular, distribution into tumor tissues, poses less of an issue</w:t>
      </w:r>
    </w:p>
    <w:p>
      <w:pPr>
        <w:spacing w:after="0" w:line="53" w:lineRule="exact"/>
        <w:rPr>
          <w:rFonts w:ascii="Arial" w:cs="Arial" w:eastAsia="Arial" w:hAnsi="Arial"/>
          <w:sz w:val="17"/>
          <w:szCs w:val="17"/>
          <w:color w:val="auto"/>
        </w:rPr>
      </w:pPr>
    </w:p>
    <w:p>
      <w:pPr>
        <w:jc w:val="both"/>
        <w:ind w:left="220" w:right="20" w:hanging="213"/>
        <w:spacing w:after="0" w:line="265"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Catalytic</w:t>
      </w:r>
      <w:r>
        <w:rPr>
          <w:rFonts w:ascii="Arial" w:cs="Arial" w:eastAsia="Arial" w:hAnsi="Arial"/>
          <w:sz w:val="17"/>
          <w:szCs w:val="17"/>
          <w:color w:val="auto"/>
        </w:rPr>
        <w:t>: after inducing degradation of a target protein molecule, the small molecule protein degrader-E3 ligase complex is able to induce the</w:t>
      </w:r>
      <w:r>
        <w:rPr>
          <w:rFonts w:ascii="Arial" w:cs="Arial" w:eastAsia="Arial" w:hAnsi="Arial"/>
          <w:sz w:val="17"/>
          <w:szCs w:val="17"/>
          <w:i w:val="1"/>
          <w:iCs w:val="1"/>
          <w:color w:val="auto"/>
        </w:rPr>
        <w:t xml:space="preserve"> </w:t>
      </w:r>
      <w:r>
        <w:rPr>
          <w:rFonts w:ascii="Arial" w:cs="Arial" w:eastAsia="Arial" w:hAnsi="Arial"/>
          <w:sz w:val="17"/>
          <w:szCs w:val="17"/>
          <w:color w:val="auto"/>
        </w:rPr>
        <w:t>degradation of another target protein. Thus, the small molecule protein degrader acts catalytically, unlike protein inhibition, causing the removal of many target protein molecules, thereby editing the cellular proteome</w:t>
      </w:r>
    </w:p>
    <w:p>
      <w:pPr>
        <w:spacing w:after="0" w:line="74" w:lineRule="exact"/>
        <w:rPr>
          <w:rFonts w:ascii="Arial" w:cs="Arial" w:eastAsia="Arial" w:hAnsi="Arial"/>
          <w:sz w:val="17"/>
          <w:szCs w:val="17"/>
          <w:color w:val="auto"/>
        </w:rPr>
      </w:pPr>
    </w:p>
    <w:p>
      <w:pPr>
        <w:ind w:left="220" w:right="240" w:hanging="213"/>
        <w:spacing w:after="0" w:line="285"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Event driven pharmacology</w:t>
      </w:r>
      <w:r>
        <w:rPr>
          <w:rFonts w:ascii="Arial" w:cs="Arial" w:eastAsia="Arial" w:hAnsi="Arial"/>
          <w:sz w:val="17"/>
          <w:szCs w:val="17"/>
          <w:color w:val="auto"/>
        </w:rPr>
        <w:t>: unlike with inhibitors where prolonged engagement of the drug with the protein is required for efficacy, small</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 protein degraders only require engagement with the E3 ligase and the target protein long enough to induce tagging for degradation</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As mentioned above, there are multiple advantages of the protein degradation approach, but one of the most beneficial is the potential to achieve greater therapeutic efficacy resulting from the removal of a target protein from the cellular proteome.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approaches to protein degradation</w:t>
      </w:r>
    </w:p>
    <w:p>
      <w:pPr>
        <w:spacing w:after="0" w:line="13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While lenalidomide is an MGD, the majority of recent drug discovery efforts in the design of protein degraders has been focused on PROTACs. These heterobifunctional degraders are composed of two separate small molecules connected by a chemical linker. One molecule binds to a necessary binding pocket on the target protein and the other to a component of the E3 ubiquitin ligase complex. Binding of the PROTAC to both the protein of interest and the E3 ligase brings the target protein into proximity of the E3 ligase, resulting in tagging of the protein of interest for degradation. While this represents a novel way to eliminate therapeutically-relevant proteins from cells, we believe an MGD approach offers the following advantages over PROTACs:</w:t>
      </w:r>
    </w:p>
    <w:p>
      <w:pPr>
        <w:spacing w:after="0" w:line="89" w:lineRule="exact"/>
        <w:rPr>
          <w:sz w:val="20"/>
          <w:szCs w:val="20"/>
          <w:color w:val="auto"/>
        </w:rPr>
      </w:pPr>
    </w:p>
    <w:p>
      <w:pPr>
        <w:ind w:left="220" w:right="100" w:hanging="213"/>
        <w:spacing w:after="0" w:line="265" w:lineRule="auto"/>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Ability to target undruggable proteins</w:t>
      </w:r>
      <w:r>
        <w:rPr>
          <w:rFonts w:ascii="Arial" w:cs="Arial" w:eastAsia="Arial" w:hAnsi="Arial"/>
          <w:sz w:val="17"/>
          <w:szCs w:val="17"/>
          <w:color w:val="auto"/>
        </w:rPr>
        <w:t>: MGDs utilize the richness of molecular surface features across the proteome allowing access to a</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and differentiated target space. In contrast, PROTACs require identification of a small molecule that binds to a defined binding pocket, which today largely constrains the approach to the universe of proteins that can already be addressed with small molecule inhibitors</w:t>
      </w:r>
    </w:p>
    <w:p>
      <w:pPr>
        <w:spacing w:after="0" w:line="74" w:lineRule="exact"/>
        <w:rPr>
          <w:rFonts w:ascii="Arial" w:cs="Arial" w:eastAsia="Arial" w:hAnsi="Arial"/>
          <w:sz w:val="17"/>
          <w:szCs w:val="17"/>
          <w:color w:val="auto"/>
        </w:rPr>
      </w:pPr>
    </w:p>
    <w:p>
      <w:pPr>
        <w:ind w:left="220" w:hanging="213"/>
        <w:spacing w:after="0" w:line="265" w:lineRule="auto"/>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Favorable pharmaceutical properties</w:t>
      </w:r>
      <w:r>
        <w:rPr>
          <w:rFonts w:ascii="Arial" w:cs="Arial" w:eastAsia="Arial" w:hAnsi="Arial"/>
          <w:sz w:val="17"/>
          <w:szCs w:val="17"/>
          <w:color w:val="auto"/>
        </w:rPr>
        <w:t>: The relative simplicity and size of an MGD generally allows for more rapid optimization for oral</w:t>
      </w:r>
      <w:r>
        <w:rPr>
          <w:rFonts w:ascii="Arial" w:cs="Arial" w:eastAsia="Arial" w:hAnsi="Arial"/>
          <w:sz w:val="17"/>
          <w:szCs w:val="17"/>
          <w:i w:val="1"/>
          <w:iCs w:val="1"/>
          <w:color w:val="auto"/>
        </w:rPr>
        <w:t xml:space="preserve"> </w:t>
      </w:r>
      <w:r>
        <w:rPr>
          <w:rFonts w:ascii="Arial" w:cs="Arial" w:eastAsia="Arial" w:hAnsi="Arial"/>
          <w:sz w:val="17"/>
          <w:szCs w:val="17"/>
          <w:color w:val="auto"/>
        </w:rPr>
        <w:t>bioavailability. PROTACs often have a larger size and larger molecular weight due to their complex heterobifunctional structure, which may lead to challenges to develop the molecules into drugs suitable for oral dosing</w:t>
      </w:r>
    </w:p>
    <w:p>
      <w:pPr>
        <w:spacing w:after="0" w:line="74" w:lineRule="exact"/>
        <w:rPr>
          <w:rFonts w:ascii="Arial" w:cs="Arial" w:eastAsia="Arial" w:hAnsi="Arial"/>
          <w:sz w:val="17"/>
          <w:szCs w:val="17"/>
          <w:color w:val="auto"/>
        </w:rPr>
      </w:pPr>
    </w:p>
    <w:p>
      <w:pPr>
        <w:ind w:left="220" w:right="80" w:hanging="213"/>
        <w:spacing w:after="0" w:line="285" w:lineRule="auto"/>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Limited tissue distribution</w:t>
      </w:r>
      <w:r>
        <w:rPr>
          <w:rFonts w:ascii="Arial" w:cs="Arial" w:eastAsia="Arial" w:hAnsi="Arial"/>
          <w:sz w:val="17"/>
          <w:szCs w:val="17"/>
          <w:color w:val="auto"/>
        </w:rPr>
        <w:t>: The physicochemical properties of PROTACs may also limit the drug distribution within the body, thereby reducing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potential in certain therapeutics areas such as central nervous systems disorders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456"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20" w:right="120" w:hanging="213"/>
        <w:spacing w:after="0" w:line="265"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No observable hook effect</w:t>
      </w:r>
      <w:r>
        <w:rPr>
          <w:rFonts w:ascii="Arial" w:cs="Arial" w:eastAsia="Arial" w:hAnsi="Arial"/>
          <w:sz w:val="17"/>
          <w:szCs w:val="17"/>
          <w:color w:val="auto"/>
        </w:rPr>
        <w:t>: MGDs show a more typical concentration response where increasing concentrations elicit increasing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caused by the catalytic interaction. In contrast, PROTACs require a precise concentration range to elicit efficacy due to the loss of degradation potential at higher concentrations caused by their heterobifunctional structure (also known as “hook effect”)</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the mode of action of protein-targeting small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255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3778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80"/>
        <w:spacing w:after="0" w:line="254" w:lineRule="auto"/>
        <w:rPr>
          <w:sz w:val="20"/>
          <w:szCs w:val="20"/>
          <w:color w:val="auto"/>
        </w:rPr>
      </w:pPr>
      <w:r>
        <w:rPr>
          <w:rFonts w:ascii="Arial" w:cs="Arial" w:eastAsia="Arial" w:hAnsi="Arial"/>
          <w:sz w:val="17"/>
          <w:szCs w:val="17"/>
          <w:color w:val="auto"/>
        </w:rPr>
        <w:t>As shown above, MGDs are non-heterobifunctional and do not require an active site or binding pocket on target proteins. We believe these properties potentially expand the universe of druggable targets while also maintaining the favorable drug-like properties of small molecule therapeutics.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approach</w:t>
      </w:r>
    </w:p>
    <w:p>
      <w:pPr>
        <w:spacing w:after="0" w:line="14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Our approach to protein degradation involves rationally designing and developing small molecule-based MGDs to precisely edit the human proteome. Molecular glues are small molecules that induce protein-protein interactions, but not all known and characterized molecular glues lead to degradation of target proteins. Lenalidomide and pomalidomide are two approved drugs that were subsequently found to function as MGDs by causing the degradation of therapeutically-relevant proteins through the induced interaction with a component of the E3 ligase cereblon. They provide clinical validation of the MGD approach.</w:t>
      </w:r>
    </w:p>
    <w:p>
      <w:pPr>
        <w:spacing w:after="0" w:line="9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While the mechanism of action for these two drugs was discovered years after their introduction into the clinic, we are leveraging our platform to rationally and efficiently design MGDs. Our MGDs are drug-like, non-heterobifunctional small molecules that bring together a therapeutically-relevant target protein and an E3 ligase, leading to degradation of the target protein. We believe our product candidates have the potential to address proteins that have been considered undruggable or inadequately drugged, while possessing attractive pharmaceutical properties.</w:t>
      </w:r>
    </w:p>
    <w:p>
      <w:pPr>
        <w:spacing w:after="0" w:line="92"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Our QuEEN platform was purpose-built to support the discovery and development of drugs that degrade a wide landscape of therapeutically-relevant proteins by (i) systematically identifying therapeutically-relevant target proteins that may be amenable to MGD degradation; and</w:t>
      </w:r>
    </w:p>
    <w:p>
      <w:pPr>
        <w:ind w:firstLine="7"/>
        <w:spacing w:after="0" w:line="263" w:lineRule="auto"/>
        <w:tabs>
          <w:tab w:leader="none" w:pos="241" w:val="left"/>
        </w:tabs>
        <w:numPr>
          <w:ilvl w:val="0"/>
          <w:numId w:val="73"/>
        </w:numPr>
        <w:rPr>
          <w:rFonts w:ascii="Arial" w:cs="Arial" w:eastAsia="Arial" w:hAnsi="Arial"/>
          <w:sz w:val="17"/>
          <w:szCs w:val="17"/>
          <w:color w:val="auto"/>
        </w:rPr>
      </w:pPr>
      <w:r>
        <w:rPr>
          <w:rFonts w:ascii="Arial" w:cs="Arial" w:eastAsia="Arial" w:hAnsi="Arial"/>
          <w:sz w:val="17"/>
          <w:szCs w:val="17"/>
          <w:color w:val="auto"/>
        </w:rPr>
        <w:t>rationally designing molecules that can be optimized towards high potency and selectivity, with favorable pharmaceutical properties. Our MGDs typically consist of structural features that bind to the ubiquitin ligase and the degron of the protein.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456"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platform—QuEEN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Elements of our QuEEN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91440</wp:posOffset>
            </wp:positionV>
            <wp:extent cx="5154930" cy="21145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5493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proprietary, Quantitative and Engineered Elimination of Neosubstrates, or QuEEN platform, encapsulates our team’s deep and growing expert knowledge and discovery capabilities across biology, chemistry and computational sciences and from which we are generating our pipeline of MGD product candidates. Central to our QuEEN platform is a detailed understanding of the molecular interactions promoted by our small molecule MGDs between E3 ligases and therapeutically-relevant proteins, which have been considered undruggable or inadequately drugged. We believe this depth of knowledge allows us to leverage our platform to rationally design MGDs with favorable pharmaceutical properties that have the potential to translate into clinical success across multiple therapeutic areas. Our capabilities have been developed through the three key features of our QuEEN platform, which include the following:</w:t>
      </w:r>
    </w:p>
    <w:p>
      <w:pPr>
        <w:spacing w:after="0" w:line="83" w:lineRule="exact"/>
        <w:rPr>
          <w:sz w:val="20"/>
          <w:szCs w:val="20"/>
          <w:color w:val="auto"/>
        </w:rPr>
      </w:pPr>
    </w:p>
    <w:p>
      <w:pPr>
        <w:ind w:left="220" w:right="20" w:hanging="213"/>
        <w:spacing w:after="0" w:line="268" w:lineRule="auto"/>
        <w:tabs>
          <w:tab w:leader="none" w:pos="2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Degron encyclopedia</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growing catalogue of target proteins identified through our proprietary AI approach that enables us to identify</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structural features on protein surfaces that can serve as degrons for highly validated and therapeutically-relevant, but otherwise undruggable or inadequately drugged, proteins</w:t>
      </w:r>
    </w:p>
    <w:p>
      <w:pPr>
        <w:spacing w:after="0" w:line="67" w:lineRule="exact"/>
        <w:rPr>
          <w:rFonts w:ascii="Arial" w:cs="Arial" w:eastAsia="Arial" w:hAnsi="Arial"/>
          <w:sz w:val="17"/>
          <w:szCs w:val="17"/>
          <w:color w:val="auto"/>
        </w:rPr>
      </w:pPr>
    </w:p>
    <w:p>
      <w:pPr>
        <w:ind w:left="220" w:right="20" w:hanging="213"/>
        <w:spacing w:after="0" w:line="290" w:lineRule="auto"/>
        <w:tabs>
          <w:tab w:leader="none" w:pos="2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Proprietary MGD library</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diverse and continuously growing chemical library of drug-like MGDs rationally designed based on our expertise in</w:t>
      </w:r>
      <w:r>
        <w:rPr>
          <w:rFonts w:ascii="Arial" w:cs="Arial" w:eastAsia="Arial" w:hAnsi="Arial"/>
          <w:sz w:val="17"/>
          <w:szCs w:val="17"/>
          <w:i w:val="1"/>
          <w:iCs w:val="1"/>
          <w:color w:val="auto"/>
        </w:rPr>
        <w:t xml:space="preserve"> </w:t>
      </w:r>
      <w:r>
        <w:rPr>
          <w:rFonts w:ascii="Arial" w:cs="Arial" w:eastAsia="Arial" w:hAnsi="Arial"/>
          <w:sz w:val="17"/>
          <w:szCs w:val="17"/>
          <w:color w:val="auto"/>
        </w:rPr>
        <w:t>basic glue anatomy</w:t>
      </w:r>
    </w:p>
    <w:p>
      <w:pPr>
        <w:spacing w:after="0" w:line="53" w:lineRule="exact"/>
        <w:rPr>
          <w:rFonts w:ascii="Arial" w:cs="Arial" w:eastAsia="Arial" w:hAnsi="Arial"/>
          <w:sz w:val="17"/>
          <w:szCs w:val="17"/>
          <w:color w:val="auto"/>
        </w:rPr>
      </w:pPr>
    </w:p>
    <w:p>
      <w:pPr>
        <w:ind w:left="220" w:right="160" w:hanging="213"/>
        <w:spacing w:after="0" w:line="265" w:lineRule="auto"/>
        <w:tabs>
          <w:tab w:leader="none" w:pos="2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Glue-omics toolbox</w:t>
      </w:r>
      <w:r>
        <w:rPr>
          <w:rFonts w:ascii="Arial" w:cs="Arial" w:eastAsia="Arial" w:hAnsi="Arial"/>
          <w:sz w:val="17"/>
          <w:szCs w:val="17"/>
          <w:color w:val="auto"/>
        </w:rPr>
        <w:t>: A tailored suite of biochemical, structural biology, cellular, proteomics and</w:t>
      </w:r>
      <w:r>
        <w:rPr>
          <w:rFonts w:ascii="Arial" w:cs="Arial" w:eastAsia="Arial" w:hAnsi="Arial"/>
          <w:sz w:val="17"/>
          <w:szCs w:val="17"/>
          <w:i w:val="1"/>
          <w:iCs w:val="1"/>
          <w:color w:val="auto"/>
        </w:rPr>
        <w:t xml:space="preserve"> in silico </w:t>
      </w:r>
      <w:r>
        <w:rPr>
          <w:rFonts w:ascii="Arial" w:cs="Arial" w:eastAsia="Arial" w:hAnsi="Arial"/>
          <w:sz w:val="17"/>
          <w:szCs w:val="17"/>
          <w:color w:val="auto"/>
        </w:rPr>
        <w:t>screening tools that enable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and optimization of MGD product candidates that efficiently recruit neosubstrates to E3 ligases utilizing degrons discovered through our AI approach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456"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Degron encyclopedia</w:t>
      </w:r>
    </w:p>
    <w:p>
      <w:pPr>
        <w:spacing w:after="0" w:line="13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For proteins to be targeted by MGDs, they need to expose a structural feature on their surface that mediates their recruitment and degradation by an E3 ligase complex. These features are called degrons and the proteins exposing these degrons are called neosubstrates. One such example is the G-loop degron which is a protruding protein surface loop that mediates the interaction with an MGD and an E3 ligase protein called cereblon as shown below, and that contains a glycine amino acid, or G. Neosubstrates are proteins degraded only in the presence of an MGD and are not physiological substrates of the E3 ligase.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MGD-mediated cereblon-neosubstrate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91440</wp:posOffset>
            </wp:positionV>
            <wp:extent cx="1588135" cy="18935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813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have developed AI-powered algorithms that we use to mine databases of protein structures, as well as to model protein surfaces where three-dimensional structures are not available. We have identified the topological, structural and sequence features associated with established degrons and encoded these features in a deep neural network, or DNN. Using protein amino acid sequences and available three-dimensional structures as inputs, we have deployed our DNN to identify degrons. Our initial focus has been on identifying degrons for putative neosubstrates of cereblon.</w:t>
      </w:r>
    </w:p>
    <w:p>
      <w:pPr>
        <w:spacing w:after="0" w:line="1"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Based on the presence of structural regions with a high potential to function as degrons, we have identified over 1500 proteins which represent potential neosubstrates targetable by our MGDs. We call these degrons cereblon-accessible loops, with the G-loop being one particular subtype of a cereblon-accessible loop.</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Degron Encyclopedia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21145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37785"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456"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These potential neosubstrates represent multiple protein classes including receptors, enzymes, scaffolding proteins and other regulatory proteins, transcription factors and transcriptional repressors. Of the more than 1500 potential neosubstrates, over 95% have a unique degron sequence. Because recruitment and degradation by an E3 ligase complex is mediated by both degron structure and sequence, the uniqueness of degron sequences suggests the possibility to selectively degrade each neosubstrate. Over three quarters of target candidates we identified are generally considered to be undruggable due to the lack of suitable drug binding pockets. Further, these degron-containing proteins are associated with a wide landscape of diseases, suggesting that MGDs may provide benefit to patients suffering many illnesses across therapeutic areas. The ability to use an MGD to selectively degrade these target proteins could lead to the redefinition of what constitutes a druggable target and a substantial expansion of the universe of intracellular targets that are amenable to small molecule pharmaceutical intervention to treat oncology and non-oncology diseases.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Degron-containing proteins and disease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91440</wp:posOffset>
            </wp:positionV>
            <wp:extent cx="5146675" cy="22586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6675" cy="225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We prioritize target proteins based on their credentialed association with disease biology and advance the most promising targets into our drug discovery process.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Proprietary MGD library</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have generated a highly diverse library of MGDs by applying our computational chemistry tools combined with our knowledge of the cereblon-binding site and variations in degron structures. Our proprietary MGD library currently consists of over 200 unique drug scaffolds, each designed to probe different three-dimensional spaces. We use Tanimoto similarity scores, a standard way to assess compound diversity, as a design characteristic to enable the continued expansion of our diverse chemical library. Our proprietary MGD library currently consists of approximately 7,000 unique molecular compounds and we expect to increase this amount to more than 20,000 in 2021.</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00"/>
          </w:cols>
          <w:pgMar w:left="320" w:top="456"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evolution of our MGD scaffolds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23437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37785"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shown in preclinical studies that increasing MGD diversity, while maintaining binding to cereblon and desirable pharmaceutical properties of each molecule, enabled binding to different degrons. We believe this allows us to address more target proteins and address different regions of the proteome.</w:t>
      </w:r>
    </w:p>
    <w:p>
      <w:pPr>
        <w:spacing w:after="0" w:line="8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specifically designed this library to focus on molecules with properties that resemble those of approved drugs including molecular weight; solubility, as predicted by a metric known as the partition coefficient or clogP; and polar surface area. These molecular properties impact factors such as oral bioavailability, drug exposure and metabolism; making their understanding important for drug development. Because our proprietary compounds were rationally designed to have properties that are consistent with those that result in oral compounds, they offer highly optimized starting points for drug discovery programs thereby enabling potentially rapid progress in lead optimization. Using this library, we have found multiple starting points for proteins previously not reported to be degradable by a molecular glue-based approach.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Chemical properties of our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91440</wp:posOffset>
            </wp:positionV>
            <wp:extent cx="5019040" cy="16052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19040"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Glue-omics toolbox</w:t>
      </w:r>
    </w:p>
    <w:p>
      <w:pPr>
        <w:spacing w:after="0" w:line="13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We have assembled an experienced team of data scientists, structural biologists, biochemists, biologists and chemists. With our deep expertise, we have built proprietary tools designed to broadly screen our MGDs against degron-containing target proteins and validate these proteins as neosubstrates while optimizing MGD potency,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456"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selectivity and other properties. Our MGD screening capabilities are driven by both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and laboratory-based assays that predict and assess the ability of our MGDs to induce the binding of targets to E3 ligase components, such as cereblon, and directly measure target degradation. More specifically, our toolbox comprises:</w:t>
      </w:r>
    </w:p>
    <w:p>
      <w:pPr>
        <w:spacing w:after="0" w:line="75" w:lineRule="exact"/>
        <w:rPr>
          <w:sz w:val="20"/>
          <w:szCs w:val="20"/>
          <w:color w:val="auto"/>
        </w:rPr>
      </w:pPr>
    </w:p>
    <w:p>
      <w:pPr>
        <w:ind w:left="220" w:right="60" w:hanging="213"/>
        <w:spacing w:after="0" w:line="285"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Quantitative biochemical and cellular assays</w:t>
      </w:r>
      <w:r>
        <w:rPr>
          <w:rFonts w:ascii="Arial" w:cs="Arial" w:eastAsia="Arial" w:hAnsi="Arial"/>
          <w:sz w:val="17"/>
          <w:szCs w:val="17"/>
          <w:color w:val="auto"/>
        </w:rPr>
        <w:t>: A suite of assays that have been tailored to measure specific steps of the MGD induced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degradation cascade, including ternary complex formation and target degradation</w:t>
      </w:r>
    </w:p>
    <w:p>
      <w:pPr>
        <w:spacing w:after="0" w:line="53" w:lineRule="exact"/>
        <w:rPr>
          <w:rFonts w:ascii="Arial" w:cs="Arial" w:eastAsia="Arial" w:hAnsi="Arial"/>
          <w:sz w:val="17"/>
          <w:szCs w:val="17"/>
          <w:color w:val="auto"/>
        </w:rPr>
      </w:pPr>
    </w:p>
    <w:p>
      <w:pPr>
        <w:ind w:left="220" w:right="280" w:hanging="213"/>
        <w:spacing w:after="0" w:line="268"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Quantitative proteomics profiling assays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portfolio of assays that have been developed to measure protein changes within the proteome,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spatial proximity to E3 ligases and degradation of neosubstrates. These assays allow us to identify new neosubstrates, to verify cellular degradation of known and predicted novel substrates, and to assess the selectivity of MGDs</w:t>
      </w:r>
    </w:p>
    <w:p>
      <w:pPr>
        <w:spacing w:after="0" w:line="67" w:lineRule="exact"/>
        <w:rPr>
          <w:rFonts w:ascii="Arial" w:cs="Arial" w:eastAsia="Arial" w:hAnsi="Arial"/>
          <w:sz w:val="17"/>
          <w:szCs w:val="17"/>
          <w:color w:val="auto"/>
        </w:rPr>
      </w:pPr>
    </w:p>
    <w:p>
      <w:pPr>
        <w:ind w:left="220" w:hanging="213"/>
        <w:spacing w:after="0" w:line="290"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In silico ternary complex modeling and screening</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suite of proprietary AI-driven algorithms, called Rhapsody, to rapidly identify and prioritize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MGDs that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are predicted to induce ternary complexes in a neosubstrate specific manner</w:t>
      </w:r>
    </w:p>
    <w:p>
      <w:pPr>
        <w:spacing w:after="0" w:line="40" w:lineRule="exact"/>
        <w:rPr>
          <w:sz w:val="20"/>
          <w:szCs w:val="20"/>
          <w:color w:val="auto"/>
        </w:rPr>
      </w:pPr>
    </w:p>
    <w:p>
      <w:pPr>
        <w:ind w:right="500"/>
        <w:spacing w:after="0" w:line="285" w:lineRule="auto"/>
        <w:rPr>
          <w:sz w:val="20"/>
          <w:szCs w:val="20"/>
          <w:color w:val="auto"/>
        </w:rPr>
      </w:pPr>
      <w:r>
        <w:rPr>
          <w:rFonts w:ascii="Arial" w:cs="Arial" w:eastAsia="Arial" w:hAnsi="Arial"/>
          <w:sz w:val="17"/>
          <w:szCs w:val="17"/>
          <w:color w:val="auto"/>
        </w:rPr>
        <w:t xml:space="preserve">Our proprietary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and laboratory-based toolbox allows us to rationally design MGDs, and to rapidly optimize their selectivity as well as chemical and biological properties, with the goal of constructing a robust pipeline of product candidates.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biochemical and cellular assays</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developed a suite of assays that have been tailored to measure specific steps of the MGD-induced protein degradation cascade. With our first set of assays, we can measure ternary complex formation and screen for MGDs which have the most efficient binding characteristics. We have developed a Homogeneous Time Resolved Fluorescence, or HTRF, assay to measure ternary complex formation, whereby the close proximity of cereblon and the target protein are detected by fluorescent energy transfer between antibodies binding to the two proteins. As shown below, we have used these types of assays to screen multiple targets using our proprietary MGD library. Our studies have validated the ability of MGDs to drive ternary complex formation in a concentration dependent manner. By measuring the dependency of ternary complex formation on MGD concentration, we generate concentration dependent curves, enabling us to calculate objective measures of potency such as the EC</w:t>
      </w:r>
      <w:r>
        <w:rPr>
          <w:rFonts w:ascii="Arial" w:cs="Arial" w:eastAsia="Arial" w:hAnsi="Arial"/>
          <w:sz w:val="22"/>
          <w:szCs w:val="22"/>
          <w:color w:val="auto"/>
          <w:vertAlign w:val="subscript"/>
        </w:rPr>
        <w:t>50</w:t>
      </w:r>
      <w:r>
        <w:rPr>
          <w:rFonts w:ascii="Arial" w:cs="Arial" w:eastAsia="Arial" w:hAnsi="Arial"/>
          <w:sz w:val="17"/>
          <w:szCs w:val="17"/>
          <w:color w:val="auto"/>
        </w:rPr>
        <w:t>, or the concentration at which the effect is half of the maximum.</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HTRF assay used for screening and potency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91440</wp:posOffset>
            </wp:positionV>
            <wp:extent cx="5146675" cy="167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667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We have also developed multiple assays to measure degradation of targets in cells. The HIgh efficiency BInary Technology, or HiBiT, cellular assay is one example of a high-throughput assay that we have used to screen our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456"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proprietary MGD chemical library and identify MGDs that promote cellular target degradation in a selective manner. As shown in the figure below, the assay measures the decrease in luminescence signal by using an endogenous HiBiT tag fused to the target of interest. Preclinical studies using our MGDs have shown these compounds drive target degradation in a concentration dependent manner. By measuring the dependency of target protein levels on MGD concentration, we generate concentration dependent curves, enabling us to calculate objective measures of potency such as the DC</w:t>
      </w:r>
      <w:r>
        <w:rPr>
          <w:rFonts w:ascii="Arial" w:cs="Arial" w:eastAsia="Arial" w:hAnsi="Arial"/>
          <w:sz w:val="22"/>
          <w:szCs w:val="22"/>
          <w:color w:val="auto"/>
          <w:vertAlign w:val="subscript"/>
        </w:rPr>
        <w:t>50</w:t>
      </w:r>
      <w:r>
        <w:rPr>
          <w:rFonts w:ascii="Arial" w:cs="Arial" w:eastAsia="Arial" w:hAnsi="Arial"/>
          <w:sz w:val="17"/>
          <w:szCs w:val="17"/>
          <w:color w:val="auto"/>
        </w:rPr>
        <w:t>, or the concentration at which the degradation is half of the maximum, and the D</w:t>
      </w:r>
      <w:r>
        <w:rPr>
          <w:rFonts w:ascii="Arial" w:cs="Arial" w:eastAsia="Arial" w:hAnsi="Arial"/>
          <w:sz w:val="22"/>
          <w:szCs w:val="22"/>
          <w:color w:val="auto"/>
          <w:vertAlign w:val="subscript"/>
        </w:rPr>
        <w:t>max</w:t>
      </w:r>
      <w:r>
        <w:rPr>
          <w:rFonts w:ascii="Arial" w:cs="Arial" w:eastAsia="Arial" w:hAnsi="Arial"/>
          <w:sz w:val="17"/>
          <w:szCs w:val="17"/>
          <w:color w:val="auto"/>
        </w:rPr>
        <w:t>, the maximum amount of target protein that is degraded.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HiBiT assay for screening and potency determination of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970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37785"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KI in the schematic above means “knock in”.</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are using our tailored suite of biochemical and cellular assays to screen, identify and rapidly optimize our MGDs. We have demonstrated that multiple targets from our Degron Encyclopedia can be engaged and/or degraded using MGDs from our proprietary MGD library. Several examples are highlighted below where we have identified MGDs that promote the association between a target protein and cereblon, including both undruggable targets and targets that have historically been inadequately drugged.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64770</wp:posOffset>
            </wp:positionV>
            <wp:extent cx="4628515" cy="24714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28515"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20"/>
          </w:cols>
          <w:pgMar w:left="320" w:top="456"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proteomics profiling assays</w:t>
      </w:r>
    </w:p>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Utilizing our expertise in mass-spectrometry-based proteomics, we have developed a suite of quantitative profiling assays to assess multiple parameters, including cellular target degradation, selectivity of degradation and ternary complex formation in cells, the latter allowing us to identify potential neosubstrates not predicted by our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approach. Data points in the upper corners of the plots shown below represent protein levels which change the most significantly on treatment of cells with an MGD. We utilize this information in multiple ways, including:</w:t>
      </w:r>
    </w:p>
    <w:p>
      <w:pPr>
        <w:spacing w:after="0" w:line="87" w:lineRule="exact"/>
        <w:rPr>
          <w:sz w:val="20"/>
          <w:szCs w:val="20"/>
          <w:color w:val="auto"/>
        </w:rPr>
      </w:pPr>
    </w:p>
    <w:p>
      <w:pPr>
        <w:ind w:left="220" w:right="240" w:hanging="213"/>
        <w:spacing w:after="0" w:line="285"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To assess target degradation and determine the selectivity of our MGDs: </w:t>
      </w:r>
      <w:r>
        <w:rPr>
          <w:rFonts w:ascii="Arial" w:cs="Arial" w:eastAsia="Arial" w:hAnsi="Arial"/>
          <w:sz w:val="17"/>
          <w:szCs w:val="17"/>
          <w:color w:val="auto"/>
        </w:rPr>
        <w:t>The plot on the left shows which proteins are of lower abundance</w:t>
      </w:r>
      <w:r>
        <w:rPr>
          <w:rFonts w:ascii="Arial" w:cs="Arial" w:eastAsia="Arial" w:hAnsi="Arial"/>
          <w:sz w:val="17"/>
          <w:szCs w:val="17"/>
          <w:i w:val="1"/>
          <w:iCs w:val="1"/>
          <w:color w:val="auto"/>
        </w:rPr>
        <w:t xml:space="preserve"> </w:t>
      </w:r>
      <w:r>
        <w:rPr>
          <w:rFonts w:ascii="Arial" w:cs="Arial" w:eastAsia="Arial" w:hAnsi="Arial"/>
          <w:sz w:val="17"/>
          <w:szCs w:val="17"/>
          <w:color w:val="auto"/>
        </w:rPr>
        <w:t>after cells are treated with the MGD</w:t>
      </w:r>
    </w:p>
    <w:p>
      <w:pPr>
        <w:spacing w:after="0" w:line="57" w:lineRule="exact"/>
        <w:rPr>
          <w:rFonts w:ascii="Arial" w:cs="Arial" w:eastAsia="Arial" w:hAnsi="Arial"/>
          <w:sz w:val="17"/>
          <w:szCs w:val="17"/>
          <w:color w:val="auto"/>
        </w:rPr>
      </w:pPr>
    </w:p>
    <w:p>
      <w:pPr>
        <w:ind w:left="220" w:right="200" w:hanging="213"/>
        <w:spacing w:after="0" w:line="285"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To validate complex formation of our MGDs in cells</w:t>
      </w:r>
      <w:r>
        <w:rPr>
          <w:rFonts w:ascii="Arial" w:cs="Arial" w:eastAsia="Arial" w:hAnsi="Arial"/>
          <w:sz w:val="17"/>
          <w:szCs w:val="17"/>
          <w:color w:val="auto"/>
        </w:rPr>
        <w:t>: The plot on the right shows proteins that are induced by the MGD to be proximal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E3 ligase, as measured in a proximity-based Turbo-ID assay. Spatial proximity is suggestive of cellular ternary complex formation.</w:t>
      </w:r>
    </w:p>
    <w:p>
      <w:pPr>
        <w:spacing w:after="0" w:line="57" w:lineRule="exact"/>
        <w:rPr>
          <w:rFonts w:ascii="Arial" w:cs="Arial" w:eastAsia="Arial" w:hAnsi="Arial"/>
          <w:sz w:val="17"/>
          <w:szCs w:val="17"/>
          <w:color w:val="auto"/>
        </w:rPr>
      </w:pPr>
    </w:p>
    <w:p>
      <w:pPr>
        <w:ind w:left="220" w:right="140" w:hanging="213"/>
        <w:spacing w:after="0" w:line="285"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To identify novel neosubstrates</w:t>
      </w:r>
      <w:r>
        <w:rPr>
          <w:rFonts w:ascii="Arial" w:cs="Arial" w:eastAsia="Arial" w:hAnsi="Arial"/>
          <w:sz w:val="17"/>
          <w:szCs w:val="17"/>
          <w:color w:val="auto"/>
        </w:rPr>
        <w:t>: Screening of our MGD library with the proximity-based assay shown on the right provides additional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train our computational degron prediction algorithms and further expand the target space</w:t>
      </w:r>
    </w:p>
    <w:p>
      <w:pPr>
        <w:spacing w:after="0" w:line="40" w:lineRule="exact"/>
        <w:rPr>
          <w:sz w:val="20"/>
          <w:szCs w:val="20"/>
          <w:color w:val="auto"/>
        </w:rPr>
      </w:pPr>
    </w:p>
    <w:p>
      <w:pPr>
        <w:jc w:val="center"/>
        <w:ind w:left="360" w:right="140"/>
        <w:spacing w:after="0" w:line="290" w:lineRule="auto"/>
        <w:rPr>
          <w:sz w:val="20"/>
          <w:szCs w:val="20"/>
          <w:color w:val="auto"/>
        </w:rPr>
      </w:pPr>
      <w:r>
        <w:rPr>
          <w:rFonts w:ascii="Arial" w:cs="Arial" w:eastAsia="Arial" w:hAnsi="Arial"/>
          <w:sz w:val="17"/>
          <w:szCs w:val="17"/>
          <w:b w:val="1"/>
          <w:bCs w:val="1"/>
          <w:color w:val="auto"/>
        </w:rPr>
        <w:t>Quantitative proteomics assessment of target degradation, selectivity, cellular ternary complex formation and identification of novel neosubstrates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43180</wp:posOffset>
            </wp:positionV>
            <wp:extent cx="4543425" cy="24885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43425"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60" w:right="60"/>
        <w:spacing w:after="0" w:line="285" w:lineRule="auto"/>
        <w:rPr>
          <w:sz w:val="20"/>
          <w:szCs w:val="20"/>
          <w:color w:val="auto"/>
        </w:rPr>
      </w:pPr>
      <w:r>
        <w:rPr>
          <w:rFonts w:ascii="Arial" w:cs="Arial" w:eastAsia="Arial" w:hAnsi="Arial"/>
          <w:sz w:val="17"/>
          <w:szCs w:val="17"/>
          <w:i w:val="1"/>
          <w:iCs w:val="1"/>
          <w:color w:val="auto"/>
        </w:rPr>
        <w:t>Examples of our capabilities are shown in the volcano plots above: each point represents one protein; the x-axis shows the magnitude in protein level change when the MGD is introduced (log2 fold change) and the statistical significance of each change is shown on the y-axis.</w:t>
      </w:r>
    </w:p>
    <w:p>
      <w:pPr>
        <w:spacing w:after="0" w:line="62"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color w:val="auto"/>
        </w:rPr>
        <w:t>A p-value is an assessment of whether the observation is a result of change or the result of a random occurrence, with smaller p-values suggesting stronger evidence of an actual change. We highlight p-values smaller than 0.01.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silico Ternary Complex Modeling and Screening (Rhapsody)</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Built on our expertise in AI and data sciences, computational chemistry, structural biology and software engineering, we have built proprietary AI-driven algorithms to rapidly identify, progress and prioritize MGDs that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induce ternary complexes in a neosubstrate specific manner. We have named this computational tool Rhapsody.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20"/>
          </w:cols>
          <w:pgMar w:left="320" w:top="456"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 xml:space="preserve">For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screening, we run Rhapsody on our custom-designed cloud computing infrastructure to rapidly screen MGDs, including both those MGDs already found in our physical MGD library as well as virtual MGD libraries. Rhapsody results are used to identify novel hits that are predicted to induce neosubstrate-specific ternary complex formation and to prioritize MGDs for follow-up experiments.</w:t>
      </w:r>
    </w:p>
    <w:p>
      <w:pPr>
        <w:spacing w:after="0" w:line="61"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 xml:space="preserve">For MGD optimization, Rhapsody is used to generate an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 of the MGD-specific, MGD-induced ternary complex. Evaluation of the model allows us to rapidly predict which parts of the MGD anatomy are involved in target recruitment and which parts may be modified. This enables us to maintain or enhance the target-specific potency of the MGD, while optimizing its selectively and its chemical and biological properties.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Rhapsody suite of in silico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71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37785"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QuEEN expansion opportunities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QuEEN platform to date has been focused on identifying and developing MGDs that induce the binding of degron-containing neosubstrates to cereblon as a means of targeting them for degradation. We are expanding the scope of QuEEN to increase the cereblon target space and to leverage additional E3 ligases for targeted protein degradation.</w:t>
      </w:r>
    </w:p>
    <w:p>
      <w:pPr>
        <w:spacing w:after="0" w:line="84" w:lineRule="exact"/>
        <w:rPr>
          <w:sz w:val="20"/>
          <w:szCs w:val="20"/>
          <w:color w:val="auto"/>
        </w:rPr>
      </w:pPr>
    </w:p>
    <w:p>
      <w:pPr>
        <w:ind w:left="220" w:right="100" w:hanging="213"/>
        <w:spacing w:after="0" w:line="256" w:lineRule="auto"/>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Expand the cereblon neosubstrate universe</w:t>
      </w:r>
      <w:r>
        <w:rPr>
          <w:rFonts w:ascii="Arial" w:cs="Arial" w:eastAsia="Arial" w:hAnsi="Arial"/>
          <w:sz w:val="17"/>
          <w:szCs w:val="17"/>
          <w:color w:val="auto"/>
        </w:rPr>
        <w:t>: As we rationally designed our MGD compound library to increase diversity, we found in</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studies that there are degrons with a diversity of amino acid sequences that can be targeted and we have shown we can induce efficient protein degradation through these previously undisclosed degrons. We have used our proprietary AI-driven algorithms to predict the existence of degrons from the primary sequences and the topology of proteins and are using our rational design approach to expand chemical diversity of our MGD library so to be able to target this diverse set of cereblon-accessible loops</w:t>
      </w:r>
    </w:p>
    <w:p>
      <w:pPr>
        <w:spacing w:after="0" w:line="80" w:lineRule="exact"/>
        <w:rPr>
          <w:rFonts w:ascii="Arial" w:cs="Arial" w:eastAsia="Arial" w:hAnsi="Arial"/>
          <w:sz w:val="17"/>
          <w:szCs w:val="17"/>
          <w:color w:val="auto"/>
        </w:rPr>
      </w:pPr>
    </w:p>
    <w:p>
      <w:pPr>
        <w:ind w:left="220" w:right="20" w:hanging="213"/>
        <w:spacing w:after="0" w:line="285" w:lineRule="auto"/>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Utilize additional E3 ligases</w:t>
      </w:r>
      <w:r>
        <w:rPr>
          <w:rFonts w:ascii="Arial" w:cs="Arial" w:eastAsia="Arial" w:hAnsi="Arial"/>
          <w:sz w:val="17"/>
          <w:szCs w:val="17"/>
          <w:color w:val="auto"/>
        </w:rPr>
        <w:t>: We believe that we will be able to reprogram other E3 ligases through the discovery of specific ligase-accessible</w:t>
      </w:r>
      <w:r>
        <w:rPr>
          <w:rFonts w:ascii="Arial" w:cs="Arial" w:eastAsia="Arial" w:hAnsi="Arial"/>
          <w:sz w:val="17"/>
          <w:szCs w:val="17"/>
          <w:i w:val="1"/>
          <w:iCs w:val="1"/>
          <w:color w:val="auto"/>
        </w:rPr>
        <w:t xml:space="preserve"> </w:t>
      </w:r>
      <w:r>
        <w:rPr>
          <w:rFonts w:ascii="Arial" w:cs="Arial" w:eastAsia="Arial" w:hAnsi="Arial"/>
          <w:sz w:val="17"/>
          <w:szCs w:val="17"/>
          <w:color w:val="auto"/>
        </w:rPr>
        <w:t>degrons, which would enable us to generate ternary complexes with a further subset of the approximately 600 E3 ligases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Expanding the universe of neosubstrates and recruitment of neosubstrates to additional E3 ligases through the continued identification of degrons has the potential to bring more therapeutically-relevant proteins into the universe of druggable targets, which we anticipate will allow us to address additional therapeutic targets that are undruggable or insufficiently drugged.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20"/>
          </w:cols>
          <w:pgMar w:left="320" w:top="456"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precision medicine programs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GSPT1 degrader for Myc-driven diseases</w:t>
      </w:r>
    </w:p>
    <w:p>
      <w:pPr>
        <w:spacing w:after="0" w:line="13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developing an oral MGD molecule that selectively targets GSPT1, a G-loop degron-containing neosubstrate that has been identified as a potential target in oncology. GSPT1 is a translational termination factor and our GSPT1-directed MGD molecules have been observed to potently induce cell death in tumor cell lines addicted to high levels of protein translation, such as those driven by the Myc oncogenes. We have shown that once daily oral doses of our MGD molecules induced regression of Myc-driven tumors in human xenograft mouse models including models of NSCLC and SCLC. We anticipate selecting a development candidate in this program in the second half of 2021, which we are planning to develop in biomarker-driven clinical trials.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Myc regulates transcription and translation of cancer-related genes</w:t>
      </w:r>
    </w:p>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The Myc family of transcription factors has long been recognized as a driver of multiple human cancers and they are among the most frequently mutated, translocated and overexpressed oncogenes in human cancers. We believe that targeting the Myc pathways via downstream vulnerabilities is a viable approach to addressing Myc-driven tumors.</w:t>
      </w:r>
    </w:p>
    <w:p>
      <w:pPr>
        <w:spacing w:after="0" w:line="8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humans, the Myc family of transcription factors comprises three proteins, c-Myc, N-Myc, and L-Myc, encoded by three different genes. Mutation, translocation or overexpression of any of these three proteins can lead to tumor development and progression. Extensive third-party studies on the role of Myc in cancer have provided insight on the mechanism by which mutations, translocations or overexpression of Myc result in uncontrolled cell growth. c-Myc is a transcription factor that is normally activated by growth factors to drive the expression of a number of genes involved in cell growth and proliferation. The aberrant activation of the gene encoding c-Myc can lead to constitutive, or always on, activation of the transcription of cell proliferation genes resulting in uncontrolled cell growth. As a consequence, there is an increasing realization that Myc-driven tumors critically rely on high translational output and the ramp up of the protein translational machinery to drive growth and proliferation.</w:t>
      </w:r>
    </w:p>
    <w:p>
      <w:pPr>
        <w:spacing w:after="0" w:line="29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Inhibition of Myc activity using genetic constructs has been observed to lead to strong antitumor responses in animal models of cancer. However, over forty years after the discovery of the Myc oncogene, there are no approved therapies that target the Myc family of transcription factors itself or its downstream pathways. We believe that the administration of our GSPT1-directed MGD product candidate will address a critical downstream vulnerability of Myc activation.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opportunity of GSPT1 degraders to target downstream vulnerabilities of Myc activation</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Aberrant activation of Myc signaling in cancer cells leads to increased transcription and, as a consequence, dependence on high rates of protein translation. This addiction creates a vulnerability to changes to the protein translation machinery in Myc-driven tumors. Using our QuEEN platform, we confirmed GSPT1, a key player of protein synthesis, as a degron-containing protein and possible neosubstrate. To date, the GSPT1 protein has been considered undruggable using conventional small molecule approaches. Leveraging our GSPT1-directed MGD molecules, we observed changes in several downstream markers for the Myc pathway </w:t>
      </w:r>
      <w:r>
        <w:rPr>
          <w:rFonts w:ascii="Arial" w:cs="Arial" w:eastAsia="Arial" w:hAnsi="Arial"/>
          <w:sz w:val="17"/>
          <w:szCs w:val="17"/>
          <w:i w:val="1"/>
          <w:iCs w:val="1"/>
          <w:color w:val="auto"/>
        </w:rPr>
        <w:t>in vitro</w:t>
      </w:r>
      <w:r>
        <w:rPr>
          <w:rFonts w:ascii="Arial" w:cs="Arial" w:eastAsia="Arial" w:hAnsi="Arial"/>
          <w:sz w:val="17"/>
          <w:szCs w:val="17"/>
          <w:color w:val="auto"/>
        </w:rPr>
        <w:t>, which we believe demonstrates that GSPT1 degradation is a key vulnerability for Myc-driven cancers. We observed that GSPT1 degradation led to decreased translation, downregulation of Myc proteins itself and reduced Myc signaling.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456"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Overview of Myc addiction and targeted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91440</wp:posOffset>
            </wp:positionV>
            <wp:extent cx="4645025" cy="44329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45025" cy="443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indications</w:t>
      </w:r>
    </w:p>
    <w:p>
      <w:pPr>
        <w:spacing w:after="0" w:line="13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Recent studies across 33 tumor types showed that 28% of solid cancers have an amplification of one of the Myc family genes. Amplification of c-Myc occurs most frequently in ovarian cancer (64%), esophageal cancer (45.3%), squamous lung cancer (37.2%) and breast cancer (30%). N-Myc amplifications or overexpression have been reported in approximately seven to ten percent of lung adenocarcinomas, or LUAD, the main subtype of NSCLC, in addition to tumors with neuroendocrine features such as neuroblastoma, retinoblastoma, medulloblastoma, or lung cancer and prostate cancer (neuroendocrine type, Lu-NET and NEPC, respectively). Similarly, L-Myc amplifications or overexpression have been observed in approximately 50% of SCLC. In hematological malignancies c-Myc was found to be translocated in 36% of patients with multiple myeloma, and different translocations were found at a rate between 70% and 100% in Burkitt lymphoma and to a lesser extent in other lymphomas. High N-Myc expression has also been reported in highly proliferative acute myeloid leukemia, or AML.</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Non-small cell lung cancer</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There are an estimated 228,000 new cases of lung cancer diagnosed in the United States each year. Also, lung cancer causes 143,000 deaths annually in the United States. NSCLC accounts for 80 to 85 percent of lung cancer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100"/>
          </w:cols>
          <w:pgMar w:left="320" w:top="456"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cases. While targeted therapies have been developed for patients with tumors containing alterations in epidermal growth factor receptor, or EGFR, ROS proto-oncogene 1, or ROS1, rearranged during transfection gene, or RET, anaplastic lymphoma kinase gene, or ALK, less than thirty percent of patients are eligible for these therapies. Patients who are ineligible or resistant to these therapies can be treated with immune checkpoint inhibitors that lead to significant improvements in progression free survival and overall survival compared to standard chemotherapy. However, despite the availability of these therapies, very few patients are cured of their disease and the prognosis in NSCLC remains poor, with an overall five-year survival rate for all patients diagnosed with NSCLC of 19 percent.</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and others’ analyses of molecular data from NSCLC tumors found that seven to ten percent, respectively, of these tumors have elevated N-Myc expression which our preclinical data suggests will sensitize them to GSPT1-directed MGD molecules. Furthermore, we found that there is little overlap between tumors that have high levels of N-Myc and those that have genetic changes that are targeted by approved drugs. Most N-Myc overexpressing lung tumors, for example, do not have alterations in genes encoding EGFR, ALK, ROS1 or RET.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N-Myc expression in lung adenocarcinoma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9869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3778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Small cell lung cancer</w:t>
      </w:r>
    </w:p>
    <w:p>
      <w:pPr>
        <w:spacing w:after="0" w:line="13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SCLC represents approximately fifteen percent of all lung cancers, accounting for 30,000 new cases a year in the United States. SCLC is a rapidly progressive disease with short overall survival after initial therapeutic responses. SCLC is derived from neuroendocrine cells and is distinguished clinically from NSCLC by its rapid doubling time and the early development of metastases. Most patients have metastatic disease at the time of their initial diagnoses. Unlike NSCLC, there are no targeted therapies approved for SCLC. First line therapy for these patients typically involves combination chemotherapy or radiation therapy. While patients initially respond to this chemotherapy, approximately 90 percent progress within one year and die within two years. The average five-year survival for newly diagnosed SCLC is seven percent. Immuno-oncology agents have received approval in SCLC, but their efficacy is limited compared to that in other tumors, and some agents, such as nivolumab and pembrolizumab, have been recently withdrawn from the market for this indication. Our analyses of molecular data from SCLC tumors found that over half of these tumors have elevated levels of L-Myc expression which our preclinical data suggests will sensitize them to GSPT1-directed MGD molecules.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00"/>
          </w:cols>
          <w:pgMar w:left="320" w:top="456"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and data</w:t>
      </w:r>
    </w:p>
    <w:p>
      <w:pPr>
        <w:spacing w:after="0" w:line="112"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 xml:space="preserve">In support of future IND-enabling studies, we have observed high activity, selectivity and therapeutic potential in both </w:t>
      </w:r>
      <w:r>
        <w:rPr>
          <w:rFonts w:ascii="Arial" w:cs="Arial" w:eastAsia="Arial" w:hAnsi="Arial"/>
          <w:sz w:val="17"/>
          <w:szCs w:val="17"/>
          <w:i w:val="1"/>
          <w:iCs w:val="1"/>
          <w:color w:val="auto"/>
        </w:rPr>
        <w:t>in vitro and in vivo</w:t>
      </w:r>
      <w:r>
        <w:rPr>
          <w:rFonts w:ascii="Arial" w:cs="Arial" w:eastAsia="Arial" w:hAnsi="Arial"/>
          <w:sz w:val="17"/>
          <w:szCs w:val="17"/>
          <w:color w:val="auto"/>
        </w:rPr>
        <w:t xml:space="preserve"> studies for versions of our GSPT1-directed MGD molecules, including MRT-048 and MRT-1577. We intend to select a development candidate in our GSPT1 program prior to moving forward with IND-enabling studies, and to submit an IND to the FDA in the first half of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Targeting GSPT1 with our MGD molecules</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rationally designed potent and highly selective GSPT1-directed MGD molecules, of which MRT-048 is a representative molecule, for the treatment of Myc-driven cancers. We utilized engineered human mammary epithelial cells, or HMECs, overexpressing c-Myc in a doxycycline-inducible manner to evaluate the vulnerability of Myc-driven tumors to disruption of protein translation through degradation of GSPT1, a key player in protein synthesis. As shown in the figure on the left below, after c-Myc induction, the cells displayed key biomarkers of enhanced protein translation, including upregulation and phosphorylation of 4EBP1. In the figure on the right, we show that MRT-048 induced cell death with an EC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0.64 µM in the presence of high c-Myc expression but did not induce cell death at the highest concentration tested of 30 µM in the absence of doxycycline-driven c-Myc expression or after doxycycline was washed out to remove c-Myc expression in cells that previously expressed c-Myc. In addition, as shown in the figure below, MRT-048 did not induce death in cells for which cereblon was knocked out, confirming cereblon-dependence of MRT-048’s viability effect.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Vulnerability of c-Myc-driven tumors to cereblon-dependent GSPT1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91440</wp:posOffset>
            </wp:positionV>
            <wp:extent cx="4577080" cy="27514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708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KO and WT in lower graph above means “knock out” and “wild type”.</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After observing that cell death induced by GSPT1 degradation was dependent on Myc and cereblon expression, we tested MRT-048 in a panel of about 300 tumor cell lines. Shown in the figure below is MRT-048 viability data (represented as EC</w:t>
      </w:r>
      <w:r>
        <w:rPr>
          <w:rFonts w:ascii="Arial" w:cs="Arial" w:eastAsia="Arial" w:hAnsi="Arial"/>
          <w:sz w:val="22"/>
          <w:szCs w:val="22"/>
          <w:color w:val="auto"/>
          <w:vertAlign w:val="subscript"/>
        </w:rPr>
        <w:t>50</w:t>
      </w:r>
      <w:r>
        <w:rPr>
          <w:rFonts w:ascii="Arial" w:cs="Arial" w:eastAsia="Arial" w:hAnsi="Arial"/>
          <w:sz w:val="17"/>
          <w:szCs w:val="17"/>
          <w:color w:val="auto"/>
        </w:rPr>
        <w:t>) in NSCLC, SCLC and breast cancer cell lines. Sensitivity to MRT-048 correlated with one or more of the following Myc signaling biomarkers: N- or L-Myc expression, 4EBP1 phosphorylation, or p4EBP1, or 4EBP2 expression. We observed that sensitivity to MRT-048 in NSCLC was associated with high levels of N-Myc expression or p4EBP1, and in SCLC cell lines correlated to high levels of 4EBP2, N- or L-Myc expression. In addition, sensitivity of breast cancer lines was associated with high levels of p4EBP1, one of the key biomarkers of c-Myc transformed tumor cells.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20"/>
          </w:cols>
          <w:pgMar w:left="320" w:top="456"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Sensitivity to MRT-048 in tumor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21399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37785"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Mechanistically, we observed that GSPT1 degradation with MRT-048 led to ribosomal stalling at stop codons of distinct mRNAs. Additionally, polysome profiling of cancer cells treated with MRT-048 was associated with a global reduction of the intensities of the polysome peaks and concomitant increase in the monosome peaks as previously observed in GSPT1 knockdown experiments, suggesting that GSPT1 degradation by our MGD molecules affects both the termination stage of translation as well as the initial stage. In summary, we believe these data demonstrate that GSPT1 is a key vulnerability in Myc-driven tumors with a ramped up protein translation machinery.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Generation of highly potent and orally bioavailable GSPT1-directed MGD molecules</w:t>
      </w:r>
    </w:p>
    <w:p>
      <w:pPr>
        <w:spacing w:after="0" w:line="130"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We have generated a series of GSPT1-directed MGD molecules with improved potency and pharmacokinetic properties compared to our early lead, MRT-048. One of these molecules is MRT-1577, a potent, highly selective and orally bioavailable GSPT1-directed MGD molecule.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vitro data</w:t>
      </w:r>
    </w:p>
    <w:p>
      <w:pPr>
        <w:spacing w:after="0" w:line="130"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As we observed for MRT-048, MRT-1577 is a potent and highly selective degrader of GSPT1. On the left below, we show that MRT-1577 induced complete GSPT1 degradation in cells treated at a concentration of 0.3 µM. In contrast, none of the known cereblon-neosubstrates was degraded at the highest concentration tested of 30 µM. In addition, as shown on the right below, mass spectrometry-based proteomics analysis of a cancer cell line treated with MRT-1577 demonstrated that GSPT1 was the most statistically significant downregulated protein.</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180"/>
          </w:cols>
          <w:pgMar w:left="320" w:top="456"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Induction of GSPT1 degradation and downregulation by MRT-1577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91440</wp:posOffset>
            </wp:positionV>
            <wp:extent cx="3218815" cy="16217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18815" cy="162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selectivity of MRT-1577 was also determined using mass spectrometry-based proteomics analysis of cells engineered to express a non-degradable form of GSPT1, GSPT1 G575N. This G to N mutation at position 575 located in the GSPT1 G-loop creates a steric clash precluding its binding to the cereblon/MRT-1577 complex. In cells expressing the wild-type form of GSPT1, we observed that MRT-1577 selectively downregulated the GSPT1 protein, as shown in the volcano plot on the left. In cells expressing GSPT1 G575N we did not observe any statistically significant downregulated protein, which we believe suggests the high selectivity of MRT-1577.</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Degradation of GSPT1 by MRT-1577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91440</wp:posOffset>
            </wp:positionV>
            <wp:extent cx="5001895" cy="1918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01895" cy="191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As shown on the left below, N-Myc dependency correlates with N-Myc expression levels. As shown on the right below, NSCLC cell lines expressing high levels of N-Myc were observed to be highly sensitive to MRT-1577 treatment, when compared to the cell lines expressing low levels of N-Myc. GSPT1 was degraded by MRT-1577 after six hours of treatment in high N-Myc NCI-H1155 and ABC-1 cells with a DC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3 nM and 22 nM, respectively. In both cell lines, we observed complete degradation of GSPT1.</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60"/>
          </w:cols>
          <w:pgMar w:left="320" w:top="456" w:right="41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346"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auto"/>
        </w:rPr>
        <w:t>N-Myc dependency correlates with N-Myc</w:t>
      </w:r>
    </w:p>
    <w:p>
      <w:pPr>
        <w:spacing w:after="0" w:line="27"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auto"/>
        </w:rPr>
        <w:t>expression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77470</wp:posOffset>
            </wp:positionV>
            <wp:extent cx="1460500" cy="15119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0500" cy="1511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40"/>
        <w:spacing w:after="0" w:line="290" w:lineRule="auto"/>
        <w:rPr>
          <w:sz w:val="20"/>
          <w:szCs w:val="20"/>
          <w:color w:val="auto"/>
        </w:rPr>
      </w:pPr>
      <w:r>
        <w:rPr>
          <w:rFonts w:ascii="Arial" w:cs="Arial" w:eastAsia="Arial" w:hAnsi="Arial"/>
          <w:sz w:val="17"/>
          <w:szCs w:val="17"/>
          <w:b w:val="1"/>
          <w:bCs w:val="1"/>
          <w:color w:val="auto"/>
        </w:rPr>
        <w:t>MRT-1577 sensitivity correlates with the expression of N-Myc in NSCLC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43180</wp:posOffset>
            </wp:positionV>
            <wp:extent cx="3048635" cy="1435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48635" cy="1435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26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MRT-1577 degrades GSPT1 in a concentration 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91440</wp:posOffset>
            </wp:positionV>
            <wp:extent cx="4577080" cy="1537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77080"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Additionally, we observed sustained downregulation of N-Myc expression, which we believe is a consequence of the degradation of GSPT1, and induction of the known markers of cell death or apoptosis, Caspase 8 and Caspase 3 cleavage.</w:t>
      </w:r>
    </w:p>
    <w:p>
      <w:pPr>
        <w:spacing w:after="0" w:line="5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Sustained downregulation of N-Myc expression and induction of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91440</wp:posOffset>
            </wp:positionV>
            <wp:extent cx="4739005" cy="2301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39005" cy="230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080"/>
          </w:cols>
          <w:pgMar w:left="320" w:top="456" w:right="49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vivo data</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observed that oral administration of MRT-1577 in the N-Myc-driven mouse xenograft model using the human cell line NCI-H1155 did not lead to body weight loss and led to tumor growth inhibition. Further, at a dose of 1 mg/kg once daily, tumor growth was suppressed for two weeks. At a dose of 3 mg/kg once daily or 6 mg/kg dosed for five days on and nine days off, tumor size decreased, became undetectable by day eight and remained so until the end of the study at day 21. Complete degradation of GSPT1 was observed in tumors of mice treated with MRT-1577 at all three dose levels as compared to mice treated with vehicle control. Similar results were observed in two additional xenograft models with high N-Myc levels, NCI-H1770 (NSCLC) and NCI-H526 (SCLC) shown below.</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Antitumor activity of MRT-1577 in N-Myc high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22332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37785"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Antitumor activity of MRT-1577 in N-Myc high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91440</wp:posOffset>
            </wp:positionV>
            <wp:extent cx="4951095" cy="22167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1095"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Clinical development plans for a GSPT1-directed MGD </w:t>
      </w:r>
      <w:r>
        <w:rPr>
          <w:rFonts w:ascii="Arial" w:cs="Arial" w:eastAsia="Arial" w:hAnsi="Arial"/>
          <w:sz w:val="17"/>
          <w:szCs w:val="17"/>
          <w:b w:val="1"/>
          <w:bCs w:val="1"/>
          <w:i w:val="1"/>
          <w:iCs w:val="1"/>
          <w:color w:val="auto"/>
        </w:rPr>
        <w:t>molecule</w:t>
      </w:r>
    </w:p>
    <w:p>
      <w:pPr>
        <w:spacing w:after="0" w:line="132" w:lineRule="exact"/>
        <w:rPr>
          <w:sz w:val="20"/>
          <w:szCs w:val="20"/>
          <w:color w:val="auto"/>
        </w:rPr>
      </w:pPr>
    </w:p>
    <w:p>
      <w:pPr>
        <w:spacing w:after="0"/>
        <w:tabs>
          <w:tab w:leader="none" w:pos="8640" w:val="left"/>
        </w:tabs>
        <w:rPr>
          <w:sz w:val="20"/>
          <w:szCs w:val="20"/>
          <w:color w:val="auto"/>
        </w:rPr>
      </w:pPr>
      <w:r>
        <w:rPr>
          <w:rFonts w:ascii="Arial" w:cs="Arial" w:eastAsia="Arial" w:hAnsi="Arial"/>
          <w:sz w:val="17"/>
          <w:szCs w:val="17"/>
          <w:color w:val="auto"/>
        </w:rPr>
        <w:t>We intend to advance a lead GSPT1-directed MGD development candidate into IND-enabling studies in</w:t>
      </w:r>
      <w:r>
        <w:rPr>
          <w:sz w:val="20"/>
          <w:szCs w:val="20"/>
          <w:color w:val="auto"/>
        </w:rPr>
        <w:tab/>
      </w:r>
      <w:r>
        <w:rPr>
          <w:rFonts w:ascii="Arial" w:cs="Arial" w:eastAsia="Arial" w:hAnsi="Arial"/>
          <w:sz w:val="17"/>
          <w:szCs w:val="17"/>
          <w:color w:val="auto"/>
        </w:rPr>
        <w:t>with the goal of submitting an</w:t>
      </w:r>
    </w:p>
    <w:p>
      <w:pPr>
        <w:spacing w:after="0" w:line="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IND in the first half of 2022 and initiating a Phase 1 clinical trial shortly thereafter. Our planned Phase 1 trial is designed as a dose escalation trial to identify the recommended dose for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160"/>
          </w:cols>
          <w:pgMar w:left="320" w:top="456"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expansion in patients selected for N-Myc overexpression. The primary endpoint of this trial will be to determine the safety and tolerability of the selected MGD molecule dosed orally and the secondary endpoints will be to characterize the PK/PD and anti-tumor activity in the biomarker positive patients.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CDK2-directed MGD molecules for the treatment of ovarian and breast cancer</w:t>
      </w:r>
    </w:p>
    <w:p>
      <w:pPr>
        <w:spacing w:after="0" w:line="13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Cyclin dependent kinases, or CDKs, are a family of closely related kinases that regulate progression through the cell cycle. CDK activity is further modulated by levels of specific cyclins, for example, cyclin E1 activates cyclin-dependent kinase 2, or CDK2. Tumors with CDK2 are activated by</w:t>
      </w:r>
    </w:p>
    <w:p>
      <w:pPr>
        <w:ind w:firstLine="7"/>
        <w:spacing w:after="0" w:line="249" w:lineRule="auto"/>
        <w:tabs>
          <w:tab w:leader="none" w:pos="2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amplification of Cyclin E1 or E2 or the loss of the AMBRA1 gene and (ii) the loss of retinoblastoma. Cyclin E1 dysregulation has been found in a number of cancers, including ovarian and triple negative breast cancer. In addition, cyclin E1 dysregulation and CDK2 activation has also been found to be one of the mechanisms of resistance in estrogen receptor positive breast cancer patients treated with CDK4/CDK6 inhibitors, such as palbociclib. Therefore, we believe selective elimination of CDK2 may provide benefit to these patients. Small molecule inhibitors and PROTACs of CDK2 have been limited in their selectivity due to the high degree of similarity among the active sites of CDKs. We have identified multiple MGD molecules that selectively promoted the association of CDK2 and cereblon </w:t>
      </w:r>
      <w:r>
        <w:rPr>
          <w:rFonts w:ascii="Arial" w:cs="Arial" w:eastAsia="Arial" w:hAnsi="Arial"/>
          <w:sz w:val="17"/>
          <w:szCs w:val="17"/>
          <w:i w:val="1"/>
          <w:iCs w:val="1"/>
          <w:color w:val="auto"/>
        </w:rPr>
        <w:t>in vitro</w:t>
      </w:r>
      <w:r>
        <w:rPr>
          <w:rFonts w:ascii="Arial" w:cs="Arial" w:eastAsia="Arial" w:hAnsi="Arial"/>
          <w:sz w:val="17"/>
          <w:szCs w:val="17"/>
          <w:color w:val="auto"/>
        </w:rPr>
        <w:t>, while avoiding other CDKs, and are in the process of optimizing the chemical leads.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64770</wp:posOffset>
            </wp:positionV>
            <wp:extent cx="2446020" cy="2420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46020"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Identification of CDK2 degron and MGD molecules</w:t>
      </w:r>
    </w:p>
    <w:p>
      <w:pPr>
        <w:spacing w:after="0" w:line="130"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Our Degron Encyclopedia indicates that CDK2 contains a degron which has low amino acid sequence identity compared to other members of the CDK family and within the kinase family in general. This is in contrast to the high sequence similarity of the active site shared between all CDK family members. Shown below is a structural and amino acid sequence comparison between CDK2 and CDK4, demonstrating how the degron sequence is more different at a sequence level compared to the active site, despite the high structural similarity of both the active site and the degron of these two kinases.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00"/>
          </w:cols>
          <w:pgMar w:left="320" w:top="456"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Low sequence similarity between the CDK2 and CDK4 degrons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91440</wp:posOffset>
            </wp:positionV>
            <wp:extent cx="2573020" cy="18770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730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screened a CDK2/cyclin E1 complex in a biochemical HTRF assay with our proprietary MGD molecule library and identified several MGD molecules that promoted the association of the CDK2/cyclin E1 complex with cereblon. We then confirmed that these MGD molecules showed concentration-dependent ternary complex formation. We also assessed the biochemical selectivity of our MGD molecules to other CDK family members, specifically CDK1, CDK4 and CDK9. As shown below, we did not detect any ternary complex formation of these CDK family members with our MGD molecules. A Z-score represents the number of standard deviations a given value is from the mean of all values, with larger Z-scores suggesting stronger evidence of an actual change. We highlight values with Z-scores greater than five as highly significant.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Identification of CDK2-directed MGD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409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3778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and data</w:t>
      </w:r>
    </w:p>
    <w:p>
      <w:pPr>
        <w:spacing w:after="0" w:line="112"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 xml:space="preserve">In support of future preclinical development activities, we have observed high selectivity potential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for our CDK2-directed MGD molecules.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vitro data</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identified several MGD molecules that promoted ternary complex in cells using our proximity-based Turbo-ID proteomics assay. We performed the experiment in HEK293 cells treated for six hours with our MGD molecule. As shown in the volcano plot below, CDK2 protein levels were significantly increased after treatment of cells with the CDK2-directed MGD molecule, indicating formation of ternary complex with cereblon. This was not observed with other CDK family members, highlighting the selectivity of our MGD molecule.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140"/>
          </w:cols>
          <w:pgMar w:left="320" w:top="456"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MGD molecule-induced spatial proximity of CDK2 to cereblon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91440</wp:posOffset>
            </wp:positionV>
            <wp:extent cx="3184525" cy="24714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84525"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NEK7 degraders for inflammatory disease</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The NLRP3 inflammasome is a multiprotein complex that serves as a central node to integrate cellular signals generated by pathogens, damage and stress, and triggers the generation of pro-inflammatory cytokines. Aberrant NLRP3 inflammasome activation has been implicated in a number of autoinflammatory disorders including Crohn’s disease, neurodegenerative diseases, diabetes and liver disease. Additionally, multiple activating NLRP3 mutations have been shown to be associated with Cryopyrin-associated periodic syndromes. NIMA-Related Kinase 7, or NEK7, a serine/threonine-protein kinase, activates the NLRP3 inflammasome in a kinase independent manner, suggesting that degradation of NEK7 with an MGD molecule is an attractive therapeutic approach. We found that NEK7 contains a well-defined degron and have identified MGD molecules that are highly selective for NEK7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We are currently optimizing chemical leads that are derived from multiple series of MGD molecules in this program.</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opportunity of NEK7 degraders</w:t>
      </w:r>
    </w:p>
    <w:p>
      <w:pPr>
        <w:spacing w:after="0" w:line="13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NEK7 binding to NLRP3 is an essential step in promoting the assembly of the NLRP3 inflammasome. The assembly of NLRP3/NEK7 with ASC and pro-caspase 1 in a multi-protein complex induces cleavage of pro-caspase 1, which then activates multiple inflammatory responses including secretion of the cytokines interleukin-1ß and interleukin-18 and induction of pyroptosis. Knockout of NEK7 in animal models has been shown to decrease inflammatory signaling, which leads to decreased disease severity in models of inflammatory diseases. Activation of the NLRP3 inflammasome is driven through a kinase-independent function of NEK7, suggesting that inhibition of the catalytic activity of NEK7 would be ineffective in blocking NLRP3 inflammasome activation.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00"/>
          </w:cols>
          <w:pgMar w:left="320" w:top="456"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NEK7-mediated NLRP3 inflammasome assembly and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91440</wp:posOffset>
            </wp:positionV>
            <wp:extent cx="2411730" cy="27768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11730"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Identification of NEK7 degron and MGD molecules</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NEK7 contains a well-defined degron, as identified using our proprietary Degron Encyclopedia. The amino acid sequence of the NEK7 degron is unique among the NEK family members, indicating the potential to identify MGD molecules that are highly selective for NEK7. Given the kinase independent role of NEK7 in activating the NLRP3 inflammasome, we believe our MGD molecules will have a therapeutic advantage by inducing degradation of NEK7. We screened NEK7 in a biochemical HTRF assay with our proprietary MGD molecule library and identified multiple MGD molecules that promoted association of NEK7 and cereblon. These MGD molecules showed concentration dependent ternary complex formation. In addition, these MGD molecules were highly selective over known and novel neosubstrates, including GSPT1 and CK1a.</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Identification of NEK7-directed MGD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333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3778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“Z-score” in the table above is a measure of statistical significance.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and data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 support of future preclinical development activities, we have observed high selectivity potential in in vitro studies for our NEK7 MGD molecules.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160"/>
          </w:cols>
          <w:pgMar w:left="320" w:top="456"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vitro data</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shown that several of our MGD molecules promoted ternary complex formation in cells. Highlighted below is a representative MGD molecule that led to association of NEK7 and cereblon in the CAL51 cell line. We performed a proximity-based Turbo-ID proteomics experiment in cells treated for six hours with our MGD molecule. As shown in the volcano plot below, NEK7 protein levels were significantly increased, compared to DMSO-treated cells, indicating that this MGD molecule promoted association of NEK7 and cereblon.</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MGD-induced spatial proximity of NEK7 to cereblon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91440</wp:posOffset>
            </wp:positionV>
            <wp:extent cx="2794000" cy="259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9400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We have shown that MGD molecules that promoted ternary complex formation in cells also promoted degradation of NEK7 </w:t>
      </w:r>
      <w:r>
        <w:rPr>
          <w:rFonts w:ascii="Arial" w:cs="Arial" w:eastAsia="Arial" w:hAnsi="Arial"/>
          <w:sz w:val="17"/>
          <w:szCs w:val="17"/>
          <w:i w:val="1"/>
          <w:iCs w:val="1"/>
          <w:color w:val="auto"/>
        </w:rPr>
        <w:t>in vitro</w:t>
      </w:r>
      <w:r>
        <w:rPr>
          <w:rFonts w:ascii="Arial" w:cs="Arial" w:eastAsia="Arial" w:hAnsi="Arial"/>
          <w:sz w:val="17"/>
          <w:szCs w:val="17"/>
          <w:color w:val="auto"/>
        </w:rPr>
        <w:t>. Shown below on the left is an MGD molecule representative of those in our portfolio that led to the concentration-dependent degradation of NEK7 in the CAL51 cell line. The activity was observed to be dependent on cereblon as demonstrated by the lack of degradation in a cereblon knockout cell line. To assess selectivity in cells, we performed deep mass spectrometry-based proteomics in the same cell line, treated for 6 hours with our MGD molecule. Shown in the volcano plot below, NEK7 was observed to be the most statistically downregulated protein, compared to DMSO-treated cells, suggesting the potential selectivity of our MGD molecule for NEK7.</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00"/>
          </w:cols>
          <w:pgMar w:left="320" w:top="456"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Our MGD molecules promote degradation of NEK7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91440</wp:posOffset>
            </wp:positionV>
            <wp:extent cx="5086985" cy="21399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86985"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KO and WT in figure above means “knock out” and “wild type”.</w:t>
      </w:r>
    </w:p>
    <w:p>
      <w:pPr>
        <w:spacing w:after="0" w:line="11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To determine the selectivity and activity in primary human cells, we treated human peripheral blood monocytes, or hPBMCs, from multiple donors with increasing concentrations of one of our MGD molecules. As shown below on the left, treatment with this MGD molecule led to a dose-dependent degradation of NEK7 in hPBMCs, with a DC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2.4 µM. We also performed deep mass spectrometry-based proteomics in hPBMCs that had been treated for 24 hours with our MGD molecule. As shown in the volcano plot below, NEK7 was the most downregulated protein, suggesting the potential for activity and selectivity of this MGD molecule in at least two cellular systems.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Our MGD molecules are active and selective across cellular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91440</wp:posOffset>
            </wp:positionV>
            <wp:extent cx="5120640" cy="24796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20640" cy="247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140"/>
          </w:cols>
          <w:pgMar w:left="320" w:top="456"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VAV1-directed MGD molecules for hematological cancers and autoimmune disease</w:t>
      </w:r>
    </w:p>
    <w:p>
      <w:pPr>
        <w:spacing w:after="0" w:line="13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VAV1, a Rho-family guanine nucleotide exchange factor, is expressed in immune cells including T and B cells and functions to activate T and B cell receptor signaling. VAV1 has also been implicated in hematological malignancies, including T-cell acute lymphoblastic leukemia, or T-ALL, diffuse large B-cell lymphoma, or DLBCL, and chronic lymphocytic leukemia, or CLL. Because of VAV1’s function in both T and B cells, degradation could also provide therapeutic benefits in autoimmune diseases, such as multiple sclerosis and myasthenia gravis. While considered an undruggable protein, we identified VAV1 as a degron-containing protein and have discovered MGD molecules that promoted association of VAV1 and cereblon. We plan to optimize chemical leads that are derived from multiple series of MGD molecules.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VAVI plays a key role in T-cell and B-cell development and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91440</wp:posOffset>
            </wp:positionV>
            <wp:extent cx="3898265" cy="35496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98265" cy="354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Identification of VAV1 degron and MGD molecules</w:t>
      </w:r>
    </w:p>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Our Degron Encyclopedia indicates that VAV1 contains a degron that is unique compared to other members of the VAV family, suggesting we can target VAV1 selectively with our MGD molecules. Using the Glue-omics Rhapsody tool, we built a structural model of the VAV1 protein in complex with cereblon. The ternary complex model showed favorable interaction surfaces between the VAV1 and cereblon proteins, suggesting that an MGD molecule has the potential to promote degradation of VAV1.</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screened VAV1 in a biochemical HTRF assay with our proprietary MGD molecule library and identified multiple MGD molecules that promoted the association of VAV1 and cereblon. We then observed that these MGD molecules showed concentration-dependent ternary complex formation. These MGD molecules were also highly selective over several known and novel neosubstrates, including GSPT1 and CK1a.</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00"/>
          </w:cols>
          <w:pgMar w:left="320" w:top="456"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Identification of VAV1-directed MGD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443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3778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500" w:firstLine="5"/>
        <w:spacing w:after="0" w:line="377" w:lineRule="auto"/>
        <w:rPr>
          <w:sz w:val="20"/>
          <w:szCs w:val="20"/>
          <w:color w:val="auto"/>
        </w:rPr>
      </w:pPr>
      <w:r>
        <w:rPr>
          <w:rFonts w:ascii="Arial" w:cs="Arial" w:eastAsia="Arial" w:hAnsi="Arial"/>
          <w:sz w:val="17"/>
          <w:szCs w:val="17"/>
          <w:color w:val="auto"/>
        </w:rPr>
        <w:t xml:space="preserve">“Z-score” in the table above is a measure of statistical significance. </w:t>
      </w:r>
      <w:r>
        <w:rPr>
          <w:rFonts w:ascii="Arial" w:cs="Arial" w:eastAsia="Arial" w:hAnsi="Arial"/>
          <w:sz w:val="17"/>
          <w:szCs w:val="17"/>
          <w:b w:val="1"/>
          <w:bCs w:val="1"/>
          <w:i w:val="1"/>
          <w:iCs w:val="1"/>
          <w:color w:val="auto"/>
        </w:rPr>
        <w:t>BCL11A-directed MGD molecules for the treatment of sickle cell disease and ß-Thalassemia</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Sickle cell disease, or SCD, is caused by a mutation in a form of hemoglobin, leading to severe disease manifestations, including anemia and vaso-occlusive crises. However, in SCD patients, increasing levels of fetal hemoglobin, or HbF, are associated with fewer co-morbidities and a better prognosis. In adults, B-cell lymphoma/leukemia 11A, or BCL11A, represses transcription of the HBG gene, thereby silencing HbF expression. We believe that downregulation of BCL11A to reactivate HbF expression is a promising therapeutic strategy, and it is being clinically tested by third parties to treat SCD using adoptive cell therapy. BCL11A has to date been considered undruggable using small molecule therapies. We believe reactivation of HbF through MGD-mediated BCL11A degradation could be used as a therapeutic strategy for both SCD as well as other hemoglobinopathies, such as ß-Thalassemia. We identified BCL11A as a degron-containing protein and, in preclinical studies, we observed that our MGD molecules induced the association of BCL11A with cereblon. We plan to optimize chemical leads that are derived from multiple series of MGD molecules.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BCL11A is the zinc finger transcription repressor of the fetal globin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91440</wp:posOffset>
            </wp:positionV>
            <wp:extent cx="3507105" cy="3473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071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Identification of BCL11A degron and MGD molecules</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Degron Encyclopedia indicates that BCL11A contains a degron. Using our biochemical HTRF assay, we screened our proprietary MGD molecule library to identify MGD molecules that promoted the association of BCL11A and cereblon. We then observed that these MGD molecules showed concentration-dependent ternary complex formation. These MGD molecules were highly selective over several known and novel neosubstrates, including GSPT1 and CK1a.</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Identification of BCL11A-directed MGD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91440</wp:posOffset>
            </wp:positionV>
            <wp:extent cx="5137785" cy="1384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37785" cy="138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“Z-score” in the table above is a measure of statistical significance.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160"/>
          </w:cols>
          <w:pgMar w:left="320" w:top="456"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status and next steps of our discovery programs</w:t>
      </w:r>
    </w:p>
    <w:p>
      <w:pPr>
        <w:spacing w:after="0" w:line="132"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 xml:space="preserve">We are currently optimizing chemical leads that are derived from multiple series of MGD molecules in the CDK2, NEK7, VAV1 and BCL11A programs. We anticipate advancing at least two of these programs into lead optimization in 2021 where the most promising MGD molecules will be profiled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before advancing them into toxicology studies.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programs</w:t>
      </w:r>
    </w:p>
    <w:p>
      <w:pPr>
        <w:spacing w:after="0" w:line="13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are specifically focused on developing product candidates for targets that have been deemed undruggable or inadequately drugged. Our QuEEN platform was purpose-built to support the discovery and development of drugs that degrade a wide landscape of therapeutically-relevant proteins by (i) systematically identifying therapeutically-relevant target proteins that may be amenable to molecular glue-based degradation; and</w:t>
      </w:r>
    </w:p>
    <w:p>
      <w:pPr>
        <w:spacing w:after="0" w:line="1" w:lineRule="exact"/>
        <w:rPr>
          <w:sz w:val="20"/>
          <w:szCs w:val="20"/>
          <w:color w:val="auto"/>
        </w:rPr>
      </w:pPr>
    </w:p>
    <w:p>
      <w:pPr>
        <w:ind w:right="100" w:firstLine="7"/>
        <w:spacing w:after="0" w:line="251" w:lineRule="auto"/>
        <w:tabs>
          <w:tab w:leader="none" w:pos="241" w:val="left"/>
        </w:tabs>
        <w:numPr>
          <w:ilvl w:val="0"/>
          <w:numId w:val="79"/>
        </w:numPr>
        <w:rPr>
          <w:rFonts w:ascii="Arial" w:cs="Arial" w:eastAsia="Arial" w:hAnsi="Arial"/>
          <w:sz w:val="17"/>
          <w:szCs w:val="17"/>
          <w:color w:val="auto"/>
        </w:rPr>
      </w:pPr>
      <w:r>
        <w:rPr>
          <w:rFonts w:ascii="Arial" w:cs="Arial" w:eastAsia="Arial" w:hAnsi="Arial"/>
          <w:sz w:val="17"/>
          <w:szCs w:val="17"/>
          <w:color w:val="auto"/>
        </w:rPr>
        <w:t>rationally designing molecules that can be optimized towards high potency and selectivity, with properties that we believe to be favorable. Our early pipeline includes programs in genetically defined oncology indications, as well as inflammatory, immunologic and genetic disease indications. We are further engaged in the discovery of additional targets in other indications, including, but not limited to, neurodegenerative and other neurological diseases. We are planning to develop our MGD molecules in succinct patient populations through biomarker-driven clinical trials.</w:t>
      </w: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services, collaboration and licenses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Services agreement with Ridgeline</w:t>
      </w:r>
    </w:p>
    <w:p>
      <w:pPr>
        <w:spacing w:after="0" w:line="132"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During our initial years of operation, we built and conducted our research and development activities pursuant to the Ridgeline Services Agreement, with Ridgeline, a wholly-owned subsidiary of Versant Ventures, our largest shareholder. Ridgeline is a company incubator and discovery engine of Versant Ventures, focused on providing drug discovery expertise and operational support. By leveraging Ridgeline’s deep experience in the areas of discovery, drug design and medicinal chemistry, together with our biology expertise, we were able to accelerate the discovery and development of our molecular glue degraders. Alexander Mayweg, the chairman of our board of directors, is the president of Ridgeline and a Managing Director at Versant Ventures, Bradley Bolzon, a member of our board of directors, is the Chairman and Managing Director of Versant Ventures, and Markus Warmuth, our Chief Executive Officer and President and a member of our board of directors, is a Venture Partner at Versant Ventures.</w:t>
      </w:r>
    </w:p>
    <w:p>
      <w:pPr>
        <w:spacing w:after="0" w:line="9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Under the Ridgeline Services Agreement, all results, inventions and products and any related intellectual property arising from services provided by Ridgeline are owned by us. In consideration for the services provided under the Ridgeline Services Agreement, we pay Ridgeline an amount equal to actual costs incurred by Ridgeline in providing the services plus a specified markup on a quarterly basis. Certain executives and employees of Ridgeline have also received equity grants from us. No milestone or royalty payments are owed to Ridgeline. To date, we have paid Ridgeline $25.0 million in connection with the Ridgeline Services Agreement.</w:t>
      </w:r>
    </w:p>
    <w:p>
      <w:pPr>
        <w:spacing w:after="0" w:line="92"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term of the Ridgeline Services Agreement continues in effect unless either we or Ridgeline elect to terminate the agreement, which either party may do for any or no reason upon 30 days prior written notice.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2020, we continued to build our operations, internal chemistry, biology and preclinical development capabilities through key additional hires to assume activities conducted by Ridgeline on our behalf, and we expect to continue to reduce Ridgeline’s services under the Ridgeline Services Agreement in 2021.</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 with Cancer Research Technology Limited and the Institute of Cancer Research</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CRT and the ICR jointly own certain intellectual property generated at the ICR using funding from CRUK related to the field of protein degradation. In April 2018, we concurrently entered into a license agreement, or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20"/>
          </w:cols>
          <w:pgMar w:left="320" w:top="456"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License Agreement, with CRT and the ICR, and a formation and investment agreement, or the Formation and Investment Agreement with CRT and the ICR, pursuant to which we agreed to issue an aggregate of 4,000,000 common shares to CRT, the ICR and affiliated founding scientists as consideration for the rights granted under the License Agreement at a price per share of CHF 0.01 for an aggregate purchase price of CHF 40,000.</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and option agreement</w:t>
      </w:r>
    </w:p>
    <w:p>
      <w:pPr>
        <w:spacing w:after="0" w:line="13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April 2018, we entered into the Collaboration and Option Agreement, with CRT, a wholly-owned subsidiary of Cancer Research UK, or CRUK, and the ICR. Under the Collaboration and Option Agreement, the ICR was responsible for performing certain research and development activities through December 31, 2020, or the Collaboration Term, which included assembling a library of cereblon-binding compounds and identifying and validating new biological targets for drug discovery through phenotypic cell based screening. During the Collaboration Term, we paid the ICR certain amounts to cover the cost of employing eight full-time employees and certain research outsourcing costs.</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Under the Collaboration and Option Agreement, we are obligated to exercise commercially reasonable efforts at all times to (i) develop one or more products for use in human clinical trials, including at least one product with an application in oncology indication, (ii) pursue regulatory authorization for each product and, where applicable, price approval in at least one major market, which include the United Kingdom, the United States, France, Italy, Spain, Germany and Japan and (iii) introduce and commercialize each product in the foregoing major markets where regulatory authorization and, where applicable, price approval for such product has been obtained. Further, if a product is launched or ready to be launched in the United Kingdom, we are obligated to use commercially reasonable efforts to cause such product to be made available throughout the United Kingdom at an affordable price as specified in the Collaboration and Option Agreement.</w:t>
      </w:r>
    </w:p>
    <w:p>
      <w:pPr>
        <w:spacing w:after="0" w:line="9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Pursuant to the Collaboration and Option Agreement, we are obligated to pay CRT milestone payments upon the achievement of certain milestones. The aggregate amount of milestone payments and royalties to be paid will depend on whether or not the development candidates that we identify are subject to the Collaboration and Option Agreement. Those milestone payments are in the single-digit millions for the first product we develop under the Collaboration and Option Agreement and a reduced amount in milestone payments for any additional product we develop in the single-digit millions. We are also obligated to pay CRT low-single digit royalties on net sales on a product-by-product and country-by-country basis. Our obligation to pay royalties will expire upon the later of (i) the expiration of the last patent which covers such product in such country;</w:t>
      </w:r>
    </w:p>
    <w:p>
      <w:pPr>
        <w:spacing w:after="0" w:line="1" w:lineRule="exact"/>
        <w:rPr>
          <w:sz w:val="20"/>
          <w:szCs w:val="20"/>
          <w:color w:val="auto"/>
        </w:rPr>
      </w:pPr>
    </w:p>
    <w:p>
      <w:pPr>
        <w:ind w:right="100" w:firstLine="7"/>
        <w:spacing w:after="0" w:line="263" w:lineRule="auto"/>
        <w:tabs>
          <w:tab w:leader="none" w:pos="241" w:val="left"/>
        </w:tabs>
        <w:numPr>
          <w:ilvl w:val="0"/>
          <w:numId w:val="80"/>
        </w:numPr>
        <w:rPr>
          <w:rFonts w:ascii="Arial" w:cs="Arial" w:eastAsia="Arial" w:hAnsi="Arial"/>
          <w:sz w:val="17"/>
          <w:szCs w:val="17"/>
          <w:color w:val="auto"/>
        </w:rPr>
      </w:pPr>
      <w:r>
        <w:rPr>
          <w:rFonts w:ascii="Arial" w:cs="Arial" w:eastAsia="Arial" w:hAnsi="Arial"/>
          <w:sz w:val="17"/>
          <w:szCs w:val="17"/>
          <w:color w:val="auto"/>
        </w:rPr>
        <w:t>10 years following the first commercial sale of such product in such country; and (iii) the expiration of any extended patent exclusivity period in the relevant country. To date we have paid $4.8 million under the Collaboration and Option Agreement.</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All intellectual property developed or discovered pursuant to the research collaboration during the Collaboration term is owned by us, subject to the ICR’s and CRT’s rights in and to their pre-existing intellectual property and the ICR’s and CRT’s research rights; provided, however, any substrate list and target deconvolution data that is generated by or on behalf of the ICR in connection with its independent research and screening activities that result in a non-degradation program is jointly owned by CRT and the ICR under certain conditions. We are permitted to grant sub-licenses in respect of the rights granted under the Collaboration and Option Agreement, subject to certain limitations.</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Even though the Collaboration Term under the Collaboration and Option Agreement expired on December 31, 2020, the term of the Collaboration and Option Agreement itself continues until it is otherwise terminated by (i) either party in the event of a material breach or upon an insolvency event, (ii) mutual agreement of the parties for any reason, (iii) us in the event that CRT and/or the ICR challenges the validity of any patent made or conceived pursuant to the research collaboration or if the joint steering committee determines that the continuation of the research collaboration would be commercially unreasonable, scientifically unviable, illegal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456"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or impossible or (iv) CRT and the ICR (acting together) in the event that any person who develops, sells or manufactures tobacco or otherwise makes a majority of its profits in the tobacco business acquires more than 50% of our voting securities or if we permanently abandon all discovery, development and commercialization efforts for all products related to the research collaboration.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Under the License Agreement, CRT and the ICR granted us a worldwide, exclusive, fully-paid, irrevocable, perpetual, sub-licensable license to</w:t>
      </w:r>
    </w:p>
    <w:p>
      <w:pPr>
        <w:spacing w:after="0" w:line="5" w:lineRule="exact"/>
        <w:rPr>
          <w:sz w:val="20"/>
          <w:szCs w:val="20"/>
          <w:color w:val="auto"/>
        </w:rPr>
      </w:pPr>
    </w:p>
    <w:p>
      <w:pPr>
        <w:ind w:right="80" w:firstLine="7"/>
        <w:spacing w:after="0" w:line="248" w:lineRule="auto"/>
        <w:tabs>
          <w:tab w:leader="none" w:pos="203" w:val="left"/>
        </w:tabs>
        <w:numPr>
          <w:ilvl w:val="0"/>
          <w:numId w:val="81"/>
        </w:numPr>
        <w:rPr>
          <w:rFonts w:ascii="Arial" w:cs="Arial" w:eastAsia="Arial" w:hAnsi="Arial"/>
          <w:sz w:val="17"/>
          <w:szCs w:val="17"/>
          <w:color w:val="auto"/>
        </w:rPr>
      </w:pPr>
      <w:r>
        <w:rPr>
          <w:rFonts w:ascii="Arial" w:cs="Arial" w:eastAsia="Arial" w:hAnsi="Arial"/>
          <w:sz w:val="17"/>
          <w:szCs w:val="17"/>
          <w:color w:val="auto"/>
        </w:rPr>
        <w:t>CRT and the ICR’s intellectual property rights in its compound library to research, develop and commercialize products that (a) contain or comprise such compounds or (b) are discovered, developed or generated using or incorporating CRT and the ICR’s existing intellectual property, or Licensed Products, and (ii) CRT and the ICR’s certain specified know-how and other intellectual property rights unrelated to its compound library to research, develop and commercialize products designed or intended to have a primary mechanism of action through cereblon-mediated protein degradation, or Protein Degradation Products, in each case of (i) and (ii), for the treatment, prevention and/or diagnosis of any and all diseases, disorders or conditions. CRT and the ICR also granted us a worldwide, non-exclusive, fully-paid, irrevocable, perpetual and sub-licensable license to certain of CRT and the ICR’s specified non-compound related intellectual property rights and know-how to research, develop and commercialize Licensed Products and Protein Degradation Products for the treatment, prevention and/or diagnosis of any and all diseases, disorders or conditions. The foregoing exclusive license is subject to CRT and the ICR’s retained rights to practice certain specified licensed intellectual property rights to carry out noncommercial academic research and teaching.</w:t>
      </w:r>
    </w:p>
    <w:p>
      <w:pPr>
        <w:spacing w:after="0" w:line="9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consideration for the rights granted under the License Agreement, we issued an aggregate of 4,000,000 common shares to CRT, the ICR and affiliated founding scientists pursuant to the Formation and Investment Agreement at a price per share of CHF 0.01 for an aggregate purchase price of CHF 40,000 and paid CRT a technology access fee equal to approximately $42,000. The License Agreement will remain effective until terminated by written agreement between us, CRT and the ICR.</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14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biotechnology industry is extremely competitive in the race to develop new products. While we believe we have significant competitive advantages due to our management team’s years of expertise in protein degradation, molecular glues and clinical and preclinical development of precision medicines in general, we currently face and will continue to face competition for our development programs from other companies that develop heterobifunctional degraders, similar molecular glue degraders or have protein degradation development platforms. Our competition will also include companies focused on existing and novel therapeutic modalities such as small molecule inhibitors antibodies and gene therapies. The competition is likely to come from multiple sources, including large and specialty pharmaceutical companies, biotechnology companies and academic institutions that are in the business of research, development, manufacturing and commercialization</w:t>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Competitors in our efforts to develop MGD therapeutics for patients, include, but are not limited to, BioTheryX Therapeutics, Inc., C4 Therapeutics, Inc., Nurix Therapeutics, Inc., Kymera Therapeutics, Inc., Arvinas, Inc. and Seed Therapeutics, Inc., all of whom currently have product candidates in preclinical or clinical development. In addition, lenalidomide and pomalidomide, which are both marketed by Bristol-Myers Squibb, are believed to function as MGDs. Further, several large pharmaceutical companies have disclosed investments in this field.</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to the competitors we face in developing small molecule protein degraders, we will also face competition in the indications we expect to pursue with our MGD programs. Many of these indications already have approved standards of care which may include existing therapeutic modalities. In order to compete effectively with these existing therapies, we will need to demonstrate that our MGDs perform favorably when compared to existing therapeutics.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20"/>
          </w:cols>
          <w:pgMar w:left="320" w:top="456"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14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do not own or operate manufacturing facilities for the production of our product candidates and currently have no plans to build our own clinical or commercial scale manufacturing capabilities. We currently engage with third-party contract manufacturing organizations, or CMOs, for the manufacture of our product candidates and we intend to continue to do so in the future. We rely on and expect to continue to engage on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are considered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9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Patent Cooperation Treaty, or PCT, patent applications, and any patent applications that we may in the future file or license from third parties, may not result in the issuance of patents and any issued patents we may obtain do not guarantee us the right to practice our technology in relation to the commercialization of our products.</w:t>
      </w:r>
    </w:p>
    <w:p>
      <w:pPr>
        <w:spacing w:after="0" w:line="199"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As of April 19, 2021, we owned 9 Swiss pending patent applications, one U.S. pending patent application and one pending PCT application that has not entered national stage relating to our QuEEN platform and our GSPT1 program as further described below. Patent prosecution related to our pending patent applications is in the early stages and, as such, no patent examiner has yet fully scrutinized the merits of any of our pending patent applications. Additionally, we own three pending U.S. applications to register trademark for our marks “MONTE ROSA,” “MONTE ROSA THERAPEUTICS” and “GLUEOMICS.”</w:t>
      </w:r>
    </w:p>
    <w:p>
      <w:pPr>
        <w:spacing w:after="0" w:line="9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With respect to our GSPT1 program, as of April 19, 2021, we owned four Swiss priority patent applications and one PCT patent application (WO2021069705) that has not entered national stage that cover various GSPT1 degraders. Each of these patent applications includes composition of matter, pharmaceutical compositions, and methods of using the disclosed GSPT1 degraders. Any U.S. or foreign patent issuing from the PCT patent application, if such patent is issued, would be scheduled to expire in 2040, and any U.S. or foreign patents issuing from the four Swiss priority patent applications, if such patents are issued, would be scheduled to expire in 2042, excluding any additional term for patent term adjustment or patent term extension, and assuming national phase entries are timely made based upon the pending PCT application and timely payment of all applicable maintenance or annuity fees. We also own four Swiss priority patent applications that cover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20"/>
          </w:cols>
          <w:pgMar w:left="320" w:top="456"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biomarkers and one Swiss priority patent application directed to certain methods of reading through nonsense mutations, each of which relates to our GSPT1 program. Any U.S. or foreign patents issuing from these five Swiss priority patent applications, if such patents are issued, would be scheduled to expire in 2042, excluding any additional term for patent term adjustment or patent term extension, and assuming national phase entries are timely made based upon the pending PCT application and timely payment of all applicable maintenance or annuity fees.</w:t>
      </w:r>
    </w:p>
    <w:p>
      <w:pPr>
        <w:spacing w:after="0" w:line="9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With respect to our QuEEN platform, as of April 19, 2021, we owned one U.S. provisional patent application that covers our QuEEN platform and the use thereof in developing and applying therapeutics. We are continuing to assess whether we will convert this U.S. provisional patent application into a non-provisional patent application and ultimately seek patent protection for our QuEEN platform, or instead maintain the intellectual property described in this provisional patent application as a trade secret. Any U.S. or foreign patent issuing from this U.S. provisional patent application, if such patent is issued, would be scheduled to expire in 2042, excluding any additional term for patent term adjustment or patent term extension.</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FDA and other regulatory authorities at federal, state and local level, as well as in foreign countries and local jurisdictions, extensively regulate among other things, the research, development, testing, manufacture, quality control, sampling,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29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the U.S.,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may be marketed in the U.S. generally involves the following:</w:t>
      </w:r>
    </w:p>
    <w:p>
      <w:pPr>
        <w:spacing w:after="0" w:line="125" w:lineRule="exact"/>
        <w:rPr>
          <w:sz w:val="20"/>
          <w:szCs w:val="20"/>
          <w:color w:val="auto"/>
        </w:rPr>
      </w:pPr>
    </w:p>
    <w:p>
      <w:pPr>
        <w:ind w:left="220" w:right="400" w:hanging="213"/>
        <w:spacing w:after="0" w:line="263" w:lineRule="auto"/>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completion of extensive preclinical studies in accordance with applicable regulations, including studies conducted in accordance with good laboratory practice, or GLP, requirements;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submission to the FDA of an IND application, which must become effective before clinical trials may begin;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approval by an IRB or independent ethics committee at each clinical trial site before each trial may be initiated;</w:t>
      </w:r>
    </w:p>
    <w:p>
      <w:pPr>
        <w:spacing w:after="0" w:line="125" w:lineRule="exact"/>
        <w:rPr>
          <w:rFonts w:ascii="Arial" w:cs="Arial" w:eastAsia="Arial" w:hAnsi="Arial"/>
          <w:sz w:val="17"/>
          <w:szCs w:val="17"/>
          <w:color w:val="auto"/>
        </w:rPr>
      </w:pPr>
    </w:p>
    <w:p>
      <w:pPr>
        <w:ind w:left="220" w:right="140" w:hanging="213"/>
        <w:spacing w:after="0" w:line="263" w:lineRule="auto"/>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applicable IND regulations, GCP requirements and other clinical trial-related regulations, to establish the safety and efficacy of the investigational product for each proposed indication;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456"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submission to the FDA of a NDA;</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accept the filing for review;</w:t>
      </w:r>
    </w:p>
    <w:p>
      <w:pPr>
        <w:spacing w:after="0" w:line="125" w:lineRule="exact"/>
        <w:rPr>
          <w:rFonts w:ascii="Arial" w:cs="Arial" w:eastAsia="Arial" w:hAnsi="Arial"/>
          <w:sz w:val="17"/>
          <w:szCs w:val="17"/>
          <w:color w:val="auto"/>
        </w:rPr>
      </w:pPr>
    </w:p>
    <w:p>
      <w:pPr>
        <w:ind w:left="220" w:hanging="213"/>
        <w:spacing w:after="0" w:line="254"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01" w:lineRule="exact"/>
        <w:rPr>
          <w:rFonts w:ascii="Arial" w:cs="Arial" w:eastAsia="Arial" w:hAnsi="Arial"/>
          <w:sz w:val="17"/>
          <w:szCs w:val="17"/>
          <w:color w:val="auto"/>
        </w:rPr>
      </w:pPr>
    </w:p>
    <w:p>
      <w:pPr>
        <w:ind w:left="220" w:hanging="213"/>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potential FDA audit of the clinical trial sites that generated the data in support of the NDA;</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payment of user fees for FDA review of the NDA; and</w:t>
      </w:r>
    </w:p>
    <w:p>
      <w:pPr>
        <w:spacing w:after="0" w:line="125" w:lineRule="exact"/>
        <w:rPr>
          <w:rFonts w:ascii="Arial" w:cs="Arial" w:eastAsia="Arial" w:hAnsi="Arial"/>
          <w:sz w:val="17"/>
          <w:szCs w:val="17"/>
          <w:color w:val="auto"/>
        </w:rPr>
      </w:pPr>
    </w:p>
    <w:p>
      <w:pPr>
        <w:ind w:left="220" w:right="160" w:hanging="213"/>
        <w:spacing w:after="0" w:line="263"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FDA review and approval of the NDA, including consideration of the views of any FDA advisory committee, prior to any commercial marketing or sale of the drug in the U.S.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 and clinical trials for drugs</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Before testing any drug in humans, the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clinical hold.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w:t>
      </w:r>
    </w:p>
    <w:p>
      <w:pPr>
        <w:spacing w:after="0" w:line="29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456"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registries. Information about applicable clinical trials, including clinical trial results, must be submitted within specific timeframes for publication on the www.clinicaltrials.gov website.</w:t>
      </w:r>
    </w:p>
    <w:p>
      <w:pPr>
        <w:spacing w:after="0" w:line="8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 sponsor who wishes to conduct a clinical trial outside of the U.S. may, but need not, obtain FDA authorization to conduct the clinical trial under an IND. If a foreign clinical trial is not conducted under an IND, the sponsor must submit data from the clinical trial to the FDA in support of an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9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Clinical trials to evaluate therapeutic indications to support NDAs for marketing approval are typically conducted in three sequential phases, which may overlap or be combined.</w:t>
      </w:r>
    </w:p>
    <w:p>
      <w:pPr>
        <w:spacing w:after="0" w:line="93" w:lineRule="exact"/>
        <w:rPr>
          <w:sz w:val="20"/>
          <w:szCs w:val="20"/>
          <w:color w:val="auto"/>
        </w:rPr>
      </w:pPr>
    </w:p>
    <w:p>
      <w:pPr>
        <w:ind w:left="220" w:hanging="213"/>
        <w:spacing w:after="0" w:line="250"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105" w:lineRule="exact"/>
        <w:rPr>
          <w:rFonts w:ascii="Arial" w:cs="Arial" w:eastAsia="Arial" w:hAnsi="Arial"/>
          <w:sz w:val="17"/>
          <w:szCs w:val="17"/>
          <w:color w:val="auto"/>
        </w:rPr>
      </w:pPr>
    </w:p>
    <w:p>
      <w:pPr>
        <w:ind w:left="220" w:hanging="213"/>
        <w:spacing w:after="0" w:line="254"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w:t>
      </w:r>
    </w:p>
    <w:p>
      <w:pPr>
        <w:spacing w:after="0" w:line="101" w:lineRule="exact"/>
        <w:rPr>
          <w:rFonts w:ascii="Arial" w:cs="Arial" w:eastAsia="Arial" w:hAnsi="Arial"/>
          <w:sz w:val="17"/>
          <w:szCs w:val="17"/>
          <w:color w:val="auto"/>
        </w:rPr>
      </w:pPr>
    </w:p>
    <w:p>
      <w:pPr>
        <w:ind w:left="220" w:right="40" w:hanging="213"/>
        <w:spacing w:after="0" w:line="250"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clinical trials are required by the FDA for approval of an NDA.</w:t>
      </w:r>
    </w:p>
    <w:p>
      <w:pPr>
        <w:spacing w:after="0" w:line="9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9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20"/>
          </w:cols>
          <w:pgMar w:left="320" w:top="456"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580"/>
        <w:spacing w:after="0" w:line="254" w:lineRule="auto"/>
        <w:rPr>
          <w:sz w:val="20"/>
          <w:szCs w:val="20"/>
          <w:color w:val="auto"/>
        </w:rPr>
      </w:pPr>
      <w:r>
        <w:rPr>
          <w:rFonts w:ascii="Arial" w:cs="Arial" w:eastAsia="Arial" w:hAnsi="Arial"/>
          <w:sz w:val="17"/>
          <w:szCs w:val="17"/>
          <w:color w:val="auto"/>
        </w:rPr>
        <w:t>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marketing approval for drugs</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must contain proof of the drug’s safety and efficacy in order to be approved. The marketing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U.S.</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9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Further, under PDUFA, as amended, each NDA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92"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FDA also may require submission of a Risk Evaluation and Mitigation Strategy, or REMS, program to ensure that the benefits of the drug outweigh its risks. The REMS program could include medication guides, physician communication plans, assessment plans and/or elements to assure safe use, such as restricted distribution methods, patient registries or other risk-minimization tools.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9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20"/>
          </w:cols>
          <w:pgMar w:left="320" w:top="456"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more clinical trial sites to assure compliance with GCP and other requirements and the integrity of the clinical data submitted to the FDA.</w:t>
      </w:r>
    </w:p>
    <w:p>
      <w:pPr>
        <w:spacing w:after="0" w:line="11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3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U.S., or if it affects 200,000 or more individuals in the U.S., there is no reasonable expectation that the cost of developing and making the product available in the U.S. for the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but for a different indication than that for which the orphan product has exclusivity. Orphan product exclusivity could also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U.S. may be lost if the FDA later determines that the request for designation was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00"/>
          </w:cols>
          <w:pgMar w:left="320" w:top="456"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materially defective or the manufacturer of the approved product is unable to assure sufficient quantities of the product to meet the needs of patients with the rare disease or condition.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Expedited development and review programs for drugs</w:t>
      </w:r>
    </w:p>
    <w:p>
      <w:pPr>
        <w:spacing w:after="0" w:line="13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92"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w:t>
      </w:r>
    </w:p>
    <w:p>
      <w:pPr>
        <w:spacing w:after="0" w:line="9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targets reviewing an application in six months after filing compared to ten months after filing for a standard review.</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The FDA may withdraw approval of a drug or indication approved under Accelerated Approval if, for example,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93"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456"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information and pediatric exclusivity</w:t>
      </w:r>
    </w:p>
    <w:p>
      <w:pPr>
        <w:spacing w:after="0" w:line="13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Under the Pediatric Research Equity Act, or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trial.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95"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FDA-issued “Written Request” for such trials.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post-approval requirements for drugs</w:t>
      </w:r>
    </w:p>
    <w:p>
      <w:pPr>
        <w:spacing w:after="0" w:line="13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and individuals working on behalf of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 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30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20"/>
          </w:cols>
          <w:pgMar w:left="320" w:top="456"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5" w:lineRule="exact"/>
        <w:rPr>
          <w:sz w:val="20"/>
          <w:szCs w:val="20"/>
          <w:color w:val="auto"/>
        </w:rPr>
      </w:pPr>
    </w:p>
    <w:p>
      <w:pPr>
        <w:ind w:left="220" w:hanging="213"/>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5" w:lineRule="exact"/>
        <w:rPr>
          <w:rFonts w:ascii="Arial" w:cs="Arial" w:eastAsia="Arial" w:hAnsi="Arial"/>
          <w:sz w:val="17"/>
          <w:szCs w:val="17"/>
          <w:color w:val="auto"/>
        </w:rPr>
      </w:pPr>
    </w:p>
    <w:p>
      <w:pPr>
        <w:ind w:left="220" w:right="180" w:hanging="213"/>
        <w:spacing w:after="0" w:line="263" w:lineRule="auto"/>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safety alerts, Dear Healthcare Provider letters, press releases or other communications containing warnings or other safety information about the product;</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fines, warning letters or untitled letters or holds on post-approval clinical trials;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and</w:t>
      </w:r>
    </w:p>
    <w:p>
      <w:pPr>
        <w:spacing w:after="0" w:line="125" w:lineRule="exact"/>
        <w:rPr>
          <w:rFonts w:ascii="Arial" w:cs="Arial" w:eastAsia="Arial" w:hAnsi="Arial"/>
          <w:sz w:val="17"/>
          <w:szCs w:val="17"/>
          <w:color w:val="auto"/>
        </w:rPr>
      </w:pPr>
    </w:p>
    <w:p>
      <w:pPr>
        <w:ind w:left="220" w:right="580" w:hanging="213"/>
        <w:spacing w:after="0" w:line="263" w:lineRule="auto"/>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 or mandated modification of promotional materials and labeling and issuance of corrective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exclusivity</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Market exclusivity provisions under the FD&amp;C Act can delay the submission or the approval of certain marketing applications. The FD&amp;C Act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However, such an application may be submitted after four years if it contains a certification of patent invalidity or non-infringement to one of the patents listed with the FDA by the innovator NDA holder.</w:t>
      </w:r>
    </w:p>
    <w:p>
      <w:pPr>
        <w:spacing w:after="0" w:line="9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matters</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40"/>
          </w:cols>
          <w:pgMar w:left="320" w:top="456"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reform legislation</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the United States, the Patient Protection and Affordable Care Act, as amended by the Health Care and Education Reconciliation Act, or ACA, among other things, subjected products to potential competition by lower-cost products, expanded the types of entities eligible for the 340B drug discount program, addressed a new methodology by which rebates owed by manufacturers under the Medicaid Drug Rebate Program are calculated for drugs that are inhaled, infused, instilled, implanted or injected, increases rebates owed by manufacturers under the Medicaid Drug Rebate Program and extended the rebate program to individuals enrolled in Medicaid managed care organizations, established annual fees and taxes on manufacturers of certain branded prescription drugs, and created a Medicare Part D coverage gap discount program for certain Medicare Part D beneficiaries,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9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There have been executive, judicial and congressional challenges to certain aspects of the ACA Act as well as efforts to repeal or replace certain aspects of the ACA. For example, the U.S. Supreme Court is currently reviewing the constitutionality of the ACA, but it is unknown when a decision will be reached.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9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Other federal health reform measures have been proposed and adopted in the U.S. since the ACA was enacted. By way of example, the Budget Control Act of 2011, among other things, included aggregate reductions to Medicare payments to providers of up to 2% per fiscal year. This reduction went into effect in April 2013 and, due to subsequent legislative amendments, will remain in effect through 2030, with the exception of a temporary suspension from May 1, 2020 through December 31, 2021. CMS has indicated that it is delaying the processing of claims in April to allow Congress to pass legislation that would extend the suspension. In addition, the American Taxpayer Relief Act of 2012 was signed into law which, among other things, reduced Medicare payments to several providers, and increased the statute of limitations period for the government to recover overpayments to providers from three to five years.</w:t>
      </w:r>
    </w:p>
    <w:p>
      <w:pPr>
        <w:spacing w:after="0" w:line="92"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 At the federal level, the previous administration used several</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20"/>
          </w:cols>
          <w:pgMar w:left="320" w:top="456"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means to propose or implement drug pricing reform, including through federal budget proposals, executive orders and policy initiatives. It is unclear whether the Biden administration will work to reverse these measures or pursue similar policy initiatives.</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 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 Further, it is possible that additional governmental action is taken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payor coverage and reimbursement</w:t>
      </w:r>
    </w:p>
    <w:p>
      <w:pPr>
        <w:spacing w:after="0" w:line="13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and markets in other countries, sales of any products for which we may receive regulatory marketing approval for commercial sale will depend, in part, on the availability of coverage and reimbursement from third-party payors. Third-party payors include government healthcare programs (e.g., Medicare, Medicaid), managed care providers,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the United States, no uniform policy exists for coverage and reimbursement for products among third-party payors. Therefore, decisions regarding the extent of coverage and amount of reimbursement to be provided can differ significantly from payor to payor. Third-party payors often follow Medicare coverage policy and payment limitations in setting their own reimbursement rates, but also have their own methods and approval process apart from Medicare determinations. Factors payors consider in determining reimbursement are based on whether the product is:</w:t>
      </w:r>
    </w:p>
    <w:p>
      <w:pPr>
        <w:spacing w:after="0" w:line="105" w:lineRule="exact"/>
        <w:rPr>
          <w:sz w:val="20"/>
          <w:szCs w:val="20"/>
          <w:color w:val="auto"/>
        </w:rPr>
      </w:pPr>
    </w:p>
    <w:p>
      <w:pPr>
        <w:ind w:left="220" w:hanging="213"/>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One third-party payor’s decision to cover a particular product or service does not ensure that other payors will also provide coverage for the medical product or service .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 Our ability to successfully commercialize our product candidates will depend in part on the extent to which coverage and adequate reimbursement for these products and related treatments will be available from third-party payors.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240"/>
          </w:cols>
          <w:pgMar w:left="320" w:top="456"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Moreover, the process for determining whether a payor will provide coverage for a product may be separate from the process for setting the reimbursement rate a payor will pay for the product. A payor’s decision to provide coverage for a product does not imply that an adequate reimbursement rate will be approved. 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9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Finally, in some foreign countries, the proposed pricing for a product candidate must be approved before it may be lawfully marketed. The requirements governing product pricing vary widely from country to country. For example, in the European Union, or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regulations</w:t>
      </w:r>
    </w:p>
    <w:p>
      <w:pPr>
        <w:spacing w:after="0" w:line="132"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may expose us to broadly applicable federal and state fraud and abuse laws, as well as other healthcare laws and regulations. These laws may impact, among other things, our proposed sales, marketing, and distribution strategies. In the U.S., these laws include, among others:</w:t>
      </w:r>
    </w:p>
    <w:p>
      <w:pPr>
        <w:spacing w:after="0" w:line="105" w:lineRule="exact"/>
        <w:rPr>
          <w:sz w:val="20"/>
          <w:szCs w:val="20"/>
          <w:color w:val="auto"/>
        </w:rPr>
      </w:pPr>
    </w:p>
    <w:p>
      <w:pPr>
        <w:ind w:left="220" w:hanging="213"/>
        <w:spacing w:after="0" w:line="248" w:lineRule="auto"/>
        <w:tabs>
          <w:tab w:leader="none" w:pos="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any person or entity from knowingly and willfully offering, soliciting, receiving or paying remuneration (a term interpreted broadly to include anything of value, including, for example, gifts, discounts and credits), directly or indirectly, overtly or covertly, in cash or in kind, to induce or reward, or in return for, either the referral of an individual for, or the purchase, lease, order or recommendation of, or arranging for, an item, good, facility or service for which payment may be made under a federal healthcare program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240"/>
          </w:cols>
          <w:pgMar w:left="320" w:top="456"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right="80" w:hanging="213"/>
        <w:spacing w:after="0" w:line="249"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Further, a violation of the federal Anti-Kickback Statute can also form the basis for False Claims Act liability.</w:t>
      </w:r>
    </w:p>
    <w:p>
      <w:pPr>
        <w:spacing w:after="0" w:line="107" w:lineRule="exact"/>
        <w:rPr>
          <w:rFonts w:ascii="Arial" w:cs="Arial" w:eastAsia="Arial" w:hAnsi="Arial"/>
          <w:sz w:val="17"/>
          <w:szCs w:val="17"/>
          <w:color w:val="auto"/>
        </w:rPr>
      </w:pPr>
    </w:p>
    <w:p>
      <w:pPr>
        <w:ind w:left="220" w:hanging="213"/>
        <w:spacing w:after="0" w:line="249"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04" w:lineRule="exact"/>
        <w:rPr>
          <w:rFonts w:ascii="Arial" w:cs="Arial" w:eastAsia="Arial" w:hAnsi="Arial"/>
          <w:sz w:val="17"/>
          <w:szCs w:val="17"/>
          <w:color w:val="auto"/>
        </w:rPr>
      </w:pPr>
    </w:p>
    <w:p>
      <w:pPr>
        <w:ind w:left="220" w:right="100" w:hanging="213"/>
        <w:spacing w:after="0" w:line="248"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09" w:lineRule="exact"/>
        <w:rPr>
          <w:rFonts w:ascii="Arial" w:cs="Arial" w:eastAsia="Arial" w:hAnsi="Arial"/>
          <w:sz w:val="17"/>
          <w:szCs w:val="17"/>
          <w:color w:val="auto"/>
        </w:rPr>
      </w:pPr>
    </w:p>
    <w:p>
      <w:pPr>
        <w:ind w:left="220" w:right="60" w:hanging="213"/>
        <w:spacing w:after="0" w:line="249"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created under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This information is subsequently made publicly available in a searchable format on a CMS website.</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Analogous state law equivalents of each of the above U.S. federal laws and similar healthcare laws and regulations in the European Union and other jurisdictions, such, such as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200"/>
          </w:cols>
          <w:pgMar w:left="320" w:top="456" w:right="3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industry’s voluntary compliance guidelines and the relevant compliance guidance promulgated by the federal government; and state laws governing the privacy and security of health information in certain circumstances, many of which differ from each other in significant ways and often are not pre-empted by HIPAA, thus complicating compliance efforts.</w:t>
      </w:r>
    </w:p>
    <w:p>
      <w:pPr>
        <w:spacing w:after="0" w:line="8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state and foreign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from participation in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any of which could adversely affect our ability to operate our business and our financial results.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 consuming and can divert a company’s attention from the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with other federal and state laws or requirements; changing legal requirements</w:t>
      </w:r>
    </w:p>
    <w:p>
      <w:pPr>
        <w:spacing w:after="0" w:line="132"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we may be subject.</w:t>
      </w:r>
    </w:p>
    <w:p>
      <w:pPr>
        <w:spacing w:after="0" w:line="9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8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5" w:lineRule="exact"/>
        <w:rPr>
          <w:sz w:val="20"/>
          <w:szCs w:val="20"/>
          <w:color w:val="auto"/>
        </w:rPr>
      </w:pPr>
    </w:p>
    <w:p>
      <w:pPr>
        <w:ind w:right="100" w:firstLine="7"/>
        <w:spacing w:after="0" w:line="263" w:lineRule="auto"/>
        <w:tabs>
          <w:tab w:leader="none" w:pos="203" w:val="left"/>
        </w:tabs>
        <w:numPr>
          <w:ilvl w:val="0"/>
          <w:numId w:val="89"/>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or packaging; (iii) the recall or discontinuation of our products; or (iv) additional record-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20"/>
          </w:cols>
          <w:pgMar w:left="320" w:top="456"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860"/>
        <w:spacing w:after="0" w:line="377" w:lineRule="auto"/>
        <w:rPr>
          <w:sz w:val="20"/>
          <w:szCs w:val="20"/>
          <w:color w:val="auto"/>
        </w:rPr>
      </w:pPr>
      <w:r>
        <w:rPr>
          <w:rFonts w:ascii="Arial" w:cs="Arial" w:eastAsia="Arial" w:hAnsi="Arial"/>
          <w:sz w:val="17"/>
          <w:szCs w:val="17"/>
          <w:color w:val="auto"/>
        </w:rPr>
        <w:t xml:space="preserve">keeping requirements. If any such changes were to be imposed, they could adversely affect the operation of our business. </w:t>
      </w:r>
      <w:r>
        <w:rPr>
          <w:rFonts w:ascii="Arial" w:cs="Arial" w:eastAsia="Arial" w:hAnsi="Arial"/>
          <w:sz w:val="17"/>
          <w:szCs w:val="17"/>
          <w:b w:val="1"/>
          <w:bCs w:val="1"/>
          <w:i w:val="1"/>
          <w:iCs w:val="1"/>
          <w:color w:val="auto"/>
        </w:rPr>
        <w:t>Other U.S. environmental, health and safety laws and regulations</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2"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88"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drugs outside of the United States</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To market any product outside of the U.S.,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Whether or not we obtain FDA approval of a product, we must obtain the requisite approvals from regulatory authorities in foreign countries prior to the commencement of clinical trials or marketing of the product in those countries.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Non-clinical studies and clinical trials</w:t>
      </w:r>
    </w:p>
    <w:p>
      <w:pPr>
        <w:spacing w:after="0" w:line="13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Similarly to the U.S., the various phases of non-clinical and clinical research in the European Union, or EU, are subject to significant regulatory controls.</w:t>
      </w:r>
    </w:p>
    <w:p>
      <w:pPr>
        <w:spacing w:after="0" w:line="8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Non-clinical studies are performed to demonstrate the safety and non-toxicity of new chemical (or biological) substances. Non-clinical studies must be conducted in compliance with the principles of good laboratory practice, or GLP, as set forth in the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Organisation for Economic Co-operation and Development requirements.</w:t>
      </w:r>
    </w:p>
    <w:p>
      <w:pPr>
        <w:spacing w:after="0" w:line="9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Certain countries outside of the United States have a similar process that requires the submission of a clinical study application much like the IND prior to the commencement of human clinical studies. In the EU for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456"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example, a clinical trial authorization, or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member state(s), in accordance with a country’s requirements, clinical study development may proceed.</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Clinical trials of medicinal products in the European Union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 Under this system, and prior to commencing a clinical trial, the sponsor must obtain a CTA from the competent national authority of each EU member state in which the clinical trial is to be conducted. Furthermore, the sponsor may only start a clinical trial at a specific trial site after the relevant independent ethics committee has issued a favorable opinion. The CTA must be accompanied by, among other documents, a copy of the trial protocol and an investigational medicinal product dossier (the Common Technical Document) containing information about the manufacture and quality of the medicinal product under investigation and other supporting information prescribed by Directive 2001/20/EC, Directive 2005/28/EC, where relevant the implementing national provisions of the individual EU member states and further detailed in applicable guidance documents. Any substantial changes to the trial protocol or other information submitted with the CTA must be notified to or approved by the relevant competent authorities and ethics committees. Medicines used in clinical trials must be manufactured in accordance with GMP. Other national and EU-wide regulatory requirements may also apply.</w:t>
      </w:r>
    </w:p>
    <w:p>
      <w:pPr>
        <w:spacing w:after="0" w:line="29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April 2014, the new Clinical Trials Regulation (EU) No 536/2014, or the Clinical Trials Regulation, was adopted. It is expected that the Clinical Trials Regulation will apply following confirmation of full functionality of the Clinical Trials Information System, or CTIS, the centralized EU portal and database for clinical trials foreseen by the regulation, through an independent audit. The regulation becomes applicable six months after the European Commission publishes notice of this confirmation. The Clinical Trials Regulation is currently expected to become applicable by early 2022. The Clinical Trials Regulation will be directly applicable in all EU member states, repealing the current Clinical Trials Directive 2001/20/EC.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apply to the clinical trial from the expiry of such three year period. The Clinical Trials Regulation aims to simplify and streamline the approval of clinical trials in the EU, for example by providing for a streamlined application procedure via a single entry point and simplifying reporting procedures for clinical trial sponsors.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authorizations</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the EU, medicinal products can only be placed on the market after obtaining a marketing authorization, or MA. To obtain regulatory approval of an investigational drug in the EU, a marketing authorization application, or MAA must be submitted. The process for doing this depends, among other things, on the nature of the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20"/>
          </w:cols>
          <w:pgMar w:left="320" w:top="456"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medicinal product. Medicinal products must be authorized for marketing by using either the centralized authorization procedure or a national authorization procedures.</w:t>
      </w:r>
    </w:p>
    <w:p>
      <w:pPr>
        <w:spacing w:after="0" w:line="93" w:lineRule="exact"/>
        <w:rPr>
          <w:sz w:val="20"/>
          <w:szCs w:val="20"/>
          <w:color w:val="auto"/>
        </w:rPr>
      </w:pPr>
    </w:p>
    <w:p>
      <w:pPr>
        <w:ind w:left="220" w:hanging="213"/>
        <w:spacing w:after="0" w:line="247" w:lineRule="auto"/>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Centralized procedure—If pursuing a MA for a product candidate for a therapeutic indication under the centralized procedure, following the opinion of the European Medicines Agency’s, or EMA, Committee for Medicinal Products for Human Use, or, CHMP, the European Commission issues a single MA valid across the EU as well as in the European Economic Area, or EEA, countries Iceland, Liechtenstein and Norway. The centralized procedure is compulsory for human medicines derived from biotechnology processes, such as genetic engineering, or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the EMA provides the opinion together with supporting documentation to the European Commission, who makes the final decision to grant a marketing authorization, which is issued within 67 days of receipt of the EMA’s recommendation. In exceptional cases, the CHMP might perform an accelerated review of a MAA in no more than 150 days (not including clock stops). Innovative products that target an unmet medical need and are expected to be of major public health interest may be eligible for certain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however this is not guaranteed. The benefits of a PRIME designation include the appointment of a CHMP rapporteur before submission of a MAA, early dialogue and scientific advice at key development milestones, and the potential to qualify products for accelerated review earlier in the application process.</w:t>
      </w:r>
    </w:p>
    <w:p>
      <w:pPr>
        <w:spacing w:after="0" w:line="308" w:lineRule="exact"/>
        <w:rPr>
          <w:rFonts w:ascii="Arial" w:cs="Arial" w:eastAsia="Arial" w:hAnsi="Arial"/>
          <w:sz w:val="17"/>
          <w:szCs w:val="17"/>
          <w:color w:val="auto"/>
        </w:rPr>
      </w:pPr>
    </w:p>
    <w:p>
      <w:pPr>
        <w:ind w:left="220" w:right="340" w:hanging="213"/>
        <w:spacing w:after="0" w:line="263" w:lineRule="auto"/>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National authorization procedures—There are also two other possible routes to authorize products for therapeutic indications in several EU member states, which are available for products that fall outside the scope of the centralized procedure:</w:t>
      </w:r>
    </w:p>
    <w:p>
      <w:pPr>
        <w:spacing w:after="0" w:line="93" w:lineRule="exact"/>
        <w:rPr>
          <w:rFonts w:ascii="Arial" w:cs="Arial" w:eastAsia="Arial" w:hAnsi="Arial"/>
          <w:sz w:val="17"/>
          <w:szCs w:val="17"/>
          <w:color w:val="auto"/>
        </w:rPr>
      </w:pPr>
    </w:p>
    <w:p>
      <w:pPr>
        <w:ind w:left="880" w:hanging="432"/>
        <w:spacing w:after="0" w:line="263" w:lineRule="auto"/>
        <w:tabs>
          <w:tab w:leader="none" w:pos="8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Decentralized procedure—Under the decentralized procedure, an applicant may apply for simultaneous authorization in more than one EU member state for medicinal products that have not yet been authorized in any EU member states.</w:t>
      </w:r>
    </w:p>
    <w:p>
      <w:pPr>
        <w:spacing w:after="0" w:line="93" w:lineRule="exact"/>
        <w:rPr>
          <w:rFonts w:ascii="Arial" w:cs="Arial" w:eastAsia="Arial" w:hAnsi="Arial"/>
          <w:sz w:val="17"/>
          <w:szCs w:val="17"/>
          <w:color w:val="auto"/>
        </w:rPr>
      </w:pPr>
    </w:p>
    <w:p>
      <w:pPr>
        <w:ind w:left="880" w:right="60" w:hanging="432"/>
        <w:spacing w:after="0" w:line="254" w:lineRule="auto"/>
        <w:tabs>
          <w:tab w:leader="none" w:pos="8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Mutual recognition procedure—Under the mutual recognition procedure, a medicine is first authorized in one EU member state, in accordance with the national procedures of that country. Following this, the applicant may seek additional MAs from other EU member states in a procedure whereby the countries concerned agree to recognize the validity of the original, national MA.</w:t>
      </w:r>
    </w:p>
    <w:p>
      <w:pPr>
        <w:spacing w:after="0" w:line="88"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MAs have an initial duration of five years. After these five years, the authorization may be renewed for an unlimited period on the basis of a reevaluation of the risk-benefit balance.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20"/>
          </w:cols>
          <w:pgMar w:left="320" w:top="456"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MAs (under the Northern Irish Protocol, centralized MAs will continue to be recognized in Northern Ireland). All medicinal products with a current centralized MA were automatically converted to Great Britain MAs on January 1, 2021. For a period of two years from January 1, 2021, the Medicines and Healthcare products Regulatory Agency, or MHRA, the UK medicines regulator, may rely on a decision taken by the European Commission on the approval of a new MA in the centralized procedure, in order to more quickly grant a new Great Britain MA. A separate application will, however, still be required.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and marketing exclusivity</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the EU, upon receiving a MA, innovative medicinal products, sometimes referred to as new chemical entities (i.e., reference products) generally qualify for eight years of data exclusivity and an additional two years of market exclusivity. If granted, the data exclusivity period prevents generic or biosimilar applicants from relying on the non-clinical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market exclusivity, a generic/biosimilar MAA can be submitted, and the innovator’s data may be referenced, but no generic or biosimilar product can be marketed in the EU until the expiration of the market exclusivity period.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 or member state regulatory authorities to be a new chemical entity, and products may not qualify for data exclusivity.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medicinal products</w:t>
      </w:r>
    </w:p>
    <w:p>
      <w:pPr>
        <w:spacing w:after="0" w:line="13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U.S. In the EU a medicinal product may be designated as orphan if (i) it is intended for the diagnosis, prevention or treatment of a life-threatening or chronically debilitating condition;</w:t>
      </w:r>
    </w:p>
    <w:p>
      <w:pPr>
        <w:ind w:right="100" w:firstLine="7"/>
        <w:spacing w:after="0" w:line="248" w:lineRule="auto"/>
        <w:tabs>
          <w:tab w:leader="none" w:pos="241" w:val="left"/>
        </w:tabs>
        <w:numPr>
          <w:ilvl w:val="0"/>
          <w:numId w:val="91"/>
        </w:numPr>
        <w:rPr>
          <w:rFonts w:ascii="Arial" w:cs="Arial" w:eastAsia="Arial" w:hAnsi="Arial"/>
          <w:sz w:val="17"/>
          <w:szCs w:val="17"/>
          <w:color w:val="auto"/>
        </w:rPr>
      </w:pPr>
      <w:r>
        <w:rPr>
          <w:rFonts w:ascii="Arial" w:cs="Arial" w:eastAsia="Arial" w:hAnsi="Arial"/>
          <w:sz w:val="17"/>
          <w:szCs w:val="17"/>
          <w:color w:val="auto"/>
        </w:rPr>
        <w:t>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application for MA. Orphan medicinal products are eligible for financial incentives such as reduction of fees or fee waivers and are, upon grant of a MA, entitled to ten years of market exclusivity for the approved therapeutic indication. During this ten-year orphan market exclusivity period, no MAA shall be accepted by the EMA for the same indication in respect of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9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00"/>
          </w:cols>
          <w:pgMar w:left="320" w:top="456" w:right="3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development</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the EU, MAAs for new medicinal products must include the results of trials conducted in the pediatric population, in compliance with a pediatric investigation plan, or PIP, agreed with the EMA’s Pediatric Committee, or PDCO, unless a waiver or deferral applies. The PIP sets out the timing and measures proposed to generate data to support a pediatric indication of the drug for which a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9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9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aforementioned EU rules are generally applicable in the European Economic Area, or EEA, which consists of the 27 EU member states plus Norway, Liechtenstein and Iceland.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140"/>
          </w:cols>
          <w:pgMar w:left="320" w:top="456"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For other countries outside of the European Union, such as countries in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88"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Brexit and the regulatory framework in the United Kingdom</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June 2016, the electorate in the United Kingdom voted in favor of leaving the European Union, commonly referred to as “Brexit”. Thereafter, in March 2017, the country formally notified the European Union of its intention to withdraw pursuant to Article 50 of the Lisbon Treaty. The United Kingdom formally left the European Union on January 31, 2020. A transition period began on February 1, 2020, during which European Union pharmaceutical law remains applicable to the United Kingdom. This transition period is due to end on December 31, 2020. This means that since January 1, 2021, the United Kingdom operates under a distinct regulatory regime. EU pharmaceutical laws now only apply to the United Kingdom in respect of Northern Ireland (as laid out in the Protocol on Ireland and Northern Ireland, including but not limited to MAAs). Since the regulatory framework for pharmaceutical products in the United Kingdom covering quality, safety and efficacy of pharmaceutical products, clinical trials, MA, commercial sales and distribution of pharmaceutical products is derived from European Union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 and human capital resources</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of April 19, 2021, we had 60 full-time employees, of which 32 have M.D. or Ph.D. degrees. We also contract for the services of 3.2 full-time equivalent employees through our agreement with Ridgeline. Within our workforce, 47 employees are engaged in research and development and 12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9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Facilities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corporate headquarters is located in Boston, Massachusetts, where we lease and occupy approximately 16,748 square feet of office space at 645 Summer Street, Boston, MA 02210. The current term of our Boston lease expires in March 2026. We have an additional location used for office and lab space that occupies approximately 2,110 square feet located at Hochbergerstrasse 60C, 4057 Basel, Basel-City, Switzerland.</w:t>
      </w:r>
    </w:p>
    <w:p>
      <w:pPr>
        <w:spacing w:after="0" w:line="8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believe that our facilities are adequate for our current needs and for the foreseeable future. To meet the future needs of our business, we may lease additional or alternate space. We believe that suitable additional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40"/>
          </w:cols>
          <w:pgMar w:left="320" w:top="456"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substitute space at commercially reasonable terms will be available as needed to accommodate any future expansion of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proceedings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From time to time, we may become involved in litigation or other legal proceedings arising in the ordinary course of business.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00"/>
          </w:cols>
          <w:pgMar w:left="320" w:top="456" w:right="3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our executive officers and directors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Age</w:t>
            </w:r>
          </w:p>
        </w:tc>
        <w:tc>
          <w:tcPr>
            <w:tcW w:w="718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Position(s)</w:t>
            </w:r>
          </w:p>
        </w:tc>
      </w:tr>
      <w:tr>
        <w:trPr>
          <w:trHeight w:val="47"/>
        </w:trPr>
        <w:tc>
          <w:tcPr>
            <w:tcW w:w="3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180" w:type="dxa"/>
            <w:vAlign w:val="bottom"/>
          </w:tcPr>
          <w:p>
            <w:pPr>
              <w:spacing w:after="0"/>
              <w:rPr>
                <w:sz w:val="4"/>
                <w:szCs w:val="4"/>
                <w:color w:val="auto"/>
              </w:rPr>
            </w:pPr>
          </w:p>
        </w:tc>
      </w:tr>
      <w:tr>
        <w:trPr>
          <w:trHeight w:val="201"/>
        </w:trPr>
        <w:tc>
          <w:tcPr>
            <w:tcW w:w="304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Executive Officers</w:t>
            </w:r>
          </w:p>
        </w:tc>
        <w:tc>
          <w:tcPr>
            <w:tcW w:w="10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r>
      <w:tr>
        <w:trPr>
          <w:trHeight w:val="212"/>
        </w:trPr>
        <w:tc>
          <w:tcPr>
            <w:tcW w:w="3040" w:type="dxa"/>
            <w:vAlign w:val="bottom"/>
          </w:tcPr>
          <w:p>
            <w:pPr>
              <w:ind w:left="220"/>
              <w:spacing w:after="0"/>
              <w:rPr>
                <w:sz w:val="20"/>
                <w:szCs w:val="20"/>
                <w:color w:val="auto"/>
              </w:rPr>
            </w:pPr>
            <w:r>
              <w:rPr>
                <w:rFonts w:ascii="Arial" w:cs="Arial" w:eastAsia="Arial" w:hAnsi="Arial"/>
                <w:sz w:val="17"/>
                <w:szCs w:val="17"/>
                <w:color w:val="auto"/>
              </w:rPr>
              <w:t>Markus Warmuth, M.D.</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7180" w:type="dxa"/>
            <w:vAlign w:val="bottom"/>
          </w:tcPr>
          <w:p>
            <w:pPr>
              <w:ind w:left="200"/>
              <w:spacing w:after="0"/>
              <w:rPr>
                <w:sz w:val="20"/>
                <w:szCs w:val="20"/>
                <w:color w:val="auto"/>
              </w:rPr>
            </w:pPr>
            <w:r>
              <w:rPr>
                <w:rFonts w:ascii="Arial" w:cs="Arial" w:eastAsia="Arial" w:hAnsi="Arial"/>
                <w:sz w:val="17"/>
                <w:szCs w:val="17"/>
                <w:color w:val="auto"/>
              </w:rPr>
              <w:t>Chief Executive Officer, President and Director</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Ajim Tamboli, CFA.</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44</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 Financial Officer</w:t>
            </w:r>
          </w:p>
        </w:tc>
      </w:tr>
      <w:tr>
        <w:trPr>
          <w:trHeight w:val="319"/>
        </w:trPr>
        <w:tc>
          <w:tcPr>
            <w:tcW w:w="3040" w:type="dxa"/>
            <w:vAlign w:val="bottom"/>
          </w:tcPr>
          <w:p>
            <w:pPr>
              <w:ind w:left="220"/>
              <w:spacing w:after="0"/>
              <w:rPr>
                <w:sz w:val="20"/>
                <w:szCs w:val="20"/>
                <w:color w:val="auto"/>
              </w:rPr>
            </w:pPr>
            <w:r>
              <w:rPr>
                <w:rFonts w:ascii="Arial" w:cs="Arial" w:eastAsia="Arial" w:hAnsi="Arial"/>
                <w:sz w:val="17"/>
                <w:szCs w:val="17"/>
                <w:color w:val="auto"/>
              </w:rPr>
              <w:t>Owen B. Wallace, Ph.D.</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52</w:t>
            </w:r>
          </w:p>
        </w:tc>
        <w:tc>
          <w:tcPr>
            <w:tcW w:w="7180" w:type="dxa"/>
            <w:vAlign w:val="bottom"/>
          </w:tcPr>
          <w:p>
            <w:pPr>
              <w:ind w:left="200"/>
              <w:spacing w:after="0"/>
              <w:rPr>
                <w:sz w:val="20"/>
                <w:szCs w:val="20"/>
                <w:color w:val="auto"/>
              </w:rPr>
            </w:pPr>
            <w:r>
              <w:rPr>
                <w:rFonts w:ascii="Arial" w:cs="Arial" w:eastAsia="Arial" w:hAnsi="Arial"/>
                <w:sz w:val="17"/>
                <w:szCs w:val="17"/>
                <w:color w:val="auto"/>
              </w:rPr>
              <w:t>Chief Scientific Officer</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Sharon Townson, Ph.D.</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46</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 Technology Officer</w:t>
            </w:r>
          </w:p>
        </w:tc>
      </w:tr>
      <w:tr>
        <w:trPr>
          <w:trHeight w:val="319"/>
        </w:trPr>
        <w:tc>
          <w:tcPr>
            <w:tcW w:w="3040" w:type="dxa"/>
            <w:vAlign w:val="bottom"/>
          </w:tcPr>
          <w:p>
            <w:pPr>
              <w:ind w:left="220"/>
              <w:spacing w:after="0"/>
              <w:rPr>
                <w:sz w:val="20"/>
                <w:szCs w:val="20"/>
                <w:color w:val="auto"/>
              </w:rPr>
            </w:pPr>
            <w:r>
              <w:rPr>
                <w:rFonts w:ascii="Arial" w:cs="Arial" w:eastAsia="Arial" w:hAnsi="Arial"/>
                <w:sz w:val="17"/>
                <w:szCs w:val="17"/>
                <w:color w:val="auto"/>
              </w:rPr>
              <w:t>John Castle, Ph.D.</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7180" w:type="dxa"/>
            <w:vAlign w:val="bottom"/>
          </w:tcPr>
          <w:p>
            <w:pPr>
              <w:ind w:left="200"/>
              <w:spacing w:after="0"/>
              <w:rPr>
                <w:sz w:val="20"/>
                <w:szCs w:val="20"/>
                <w:color w:val="auto"/>
              </w:rPr>
            </w:pPr>
            <w:r>
              <w:rPr>
                <w:rFonts w:ascii="Arial" w:cs="Arial" w:eastAsia="Arial" w:hAnsi="Arial"/>
                <w:sz w:val="17"/>
                <w:szCs w:val="17"/>
                <w:color w:val="auto"/>
              </w:rPr>
              <w:t>Chief Data Scientist</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Filip Janku, M.D., Ph.D</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47</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 Medical Officer</w:t>
            </w:r>
          </w:p>
        </w:tc>
      </w:tr>
      <w:tr>
        <w:trPr>
          <w:trHeight w:val="267"/>
        </w:trPr>
        <w:tc>
          <w:tcPr>
            <w:tcW w:w="3040" w:type="dxa"/>
            <w:vAlign w:val="bottom"/>
          </w:tcPr>
          <w:p>
            <w:pPr>
              <w:spacing w:after="0"/>
              <w:rPr>
                <w:sz w:val="20"/>
                <w:szCs w:val="20"/>
                <w:color w:val="auto"/>
              </w:rPr>
            </w:pPr>
            <w:r>
              <w:rPr>
                <w:rFonts w:ascii="Arial" w:cs="Arial" w:eastAsia="Arial" w:hAnsi="Arial"/>
                <w:sz w:val="17"/>
                <w:szCs w:val="17"/>
                <w:b w:val="1"/>
                <w:bCs w:val="1"/>
                <w:i w:val="1"/>
                <w:iCs w:val="1"/>
                <w:color w:val="auto"/>
              </w:rPr>
              <w:t>Non-Employee Directors</w:t>
            </w:r>
          </w:p>
        </w:tc>
        <w:tc>
          <w:tcPr>
            <w:tcW w:w="1020" w:type="dxa"/>
            <w:vAlign w:val="bottom"/>
          </w:tcPr>
          <w:p>
            <w:pPr>
              <w:spacing w:after="0"/>
              <w:rPr>
                <w:sz w:val="23"/>
                <w:szCs w:val="23"/>
                <w:color w:val="auto"/>
              </w:rPr>
            </w:pPr>
          </w:p>
        </w:tc>
        <w:tc>
          <w:tcPr>
            <w:tcW w:w="7180" w:type="dxa"/>
            <w:vAlign w:val="bottom"/>
          </w:tcPr>
          <w:p>
            <w:pPr>
              <w:spacing w:after="0"/>
              <w:rPr>
                <w:sz w:val="23"/>
                <w:szCs w:val="23"/>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Alexander Mayweg, Ph.D.</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46</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 and Non-Executive Chair of the Board of Directors</w:t>
            </w:r>
          </w:p>
        </w:tc>
      </w:tr>
      <w:tr>
        <w:trPr>
          <w:trHeight w:val="319"/>
        </w:trPr>
        <w:tc>
          <w:tcPr>
            <w:tcW w:w="3040" w:type="dxa"/>
            <w:vAlign w:val="bottom"/>
          </w:tcPr>
          <w:p>
            <w:pPr>
              <w:ind w:left="220"/>
              <w:spacing w:after="0"/>
              <w:rPr>
                <w:sz w:val="20"/>
                <w:szCs w:val="20"/>
                <w:color w:val="auto"/>
              </w:rPr>
            </w:pPr>
            <w:r>
              <w:rPr>
                <w:rFonts w:ascii="Arial" w:cs="Arial" w:eastAsia="Arial" w:hAnsi="Arial"/>
                <w:sz w:val="17"/>
                <w:szCs w:val="17"/>
                <w:color w:val="auto"/>
              </w:rPr>
              <w:t>Bradley J. Bolzon, Ph.D.</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61</w:t>
            </w:r>
          </w:p>
        </w:tc>
        <w:tc>
          <w:tcPr>
            <w:tcW w:w="7180" w:type="dxa"/>
            <w:vAlign w:val="bottom"/>
          </w:tcPr>
          <w:p>
            <w:pPr>
              <w:ind w:left="200"/>
              <w:spacing w:after="0"/>
              <w:rPr>
                <w:sz w:val="20"/>
                <w:szCs w:val="20"/>
                <w:color w:val="auto"/>
              </w:rPr>
            </w:pPr>
            <w:r>
              <w:rPr>
                <w:rFonts w:ascii="Arial" w:cs="Arial" w:eastAsia="Arial" w:hAnsi="Arial"/>
                <w:sz w:val="17"/>
                <w:szCs w:val="17"/>
                <w:color w:val="auto"/>
              </w:rPr>
              <w:t>Director</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Ali Behbahani, M.D.(2)</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45</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319"/>
        </w:trPr>
        <w:tc>
          <w:tcPr>
            <w:tcW w:w="3040" w:type="dxa"/>
            <w:vAlign w:val="bottom"/>
          </w:tcPr>
          <w:p>
            <w:pPr>
              <w:ind w:left="220"/>
              <w:spacing w:after="0"/>
              <w:rPr>
                <w:sz w:val="20"/>
                <w:szCs w:val="20"/>
                <w:color w:val="auto"/>
              </w:rPr>
            </w:pPr>
            <w:r>
              <w:rPr>
                <w:rFonts w:ascii="Arial" w:cs="Arial" w:eastAsia="Arial" w:hAnsi="Arial"/>
                <w:sz w:val="17"/>
                <w:szCs w:val="17"/>
                <w:color w:val="auto"/>
              </w:rPr>
              <w:t>Kimberly L. Blackwell, M.D.(2)</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52</w:t>
            </w:r>
          </w:p>
        </w:tc>
        <w:tc>
          <w:tcPr>
            <w:tcW w:w="7180" w:type="dxa"/>
            <w:vAlign w:val="bottom"/>
          </w:tcPr>
          <w:p>
            <w:pPr>
              <w:ind w:left="200"/>
              <w:spacing w:after="0"/>
              <w:rPr>
                <w:sz w:val="20"/>
                <w:szCs w:val="20"/>
                <w:color w:val="auto"/>
              </w:rPr>
            </w:pPr>
            <w:r>
              <w:rPr>
                <w:rFonts w:ascii="Arial" w:cs="Arial" w:eastAsia="Arial" w:hAnsi="Arial"/>
                <w:sz w:val="17"/>
                <w:szCs w:val="17"/>
                <w:color w:val="auto"/>
              </w:rPr>
              <w:t>Director</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Andrew Schiff, M.D.(1)(2)</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55</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319"/>
        </w:trPr>
        <w:tc>
          <w:tcPr>
            <w:tcW w:w="3040" w:type="dxa"/>
            <w:vAlign w:val="bottom"/>
          </w:tcPr>
          <w:p>
            <w:pPr>
              <w:ind w:left="220"/>
              <w:spacing w:after="0"/>
              <w:rPr>
                <w:sz w:val="20"/>
                <w:szCs w:val="20"/>
                <w:color w:val="auto"/>
              </w:rPr>
            </w:pPr>
            <w:r>
              <w:rPr>
                <w:rFonts w:ascii="Arial" w:cs="Arial" w:eastAsia="Arial" w:hAnsi="Arial"/>
                <w:sz w:val="17"/>
                <w:szCs w:val="17"/>
                <w:color w:val="auto"/>
              </w:rPr>
              <w:t>Chandra P. Leo. M.D.(1)</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7180" w:type="dxa"/>
            <w:vAlign w:val="bottom"/>
          </w:tcPr>
          <w:p>
            <w:pPr>
              <w:ind w:left="200"/>
              <w:spacing w:after="0"/>
              <w:rPr>
                <w:sz w:val="20"/>
                <w:szCs w:val="20"/>
                <w:color w:val="auto"/>
              </w:rPr>
            </w:pPr>
            <w:r>
              <w:rPr>
                <w:rFonts w:ascii="Arial" w:cs="Arial" w:eastAsia="Arial" w:hAnsi="Arial"/>
                <w:sz w:val="17"/>
                <w:szCs w:val="17"/>
                <w:color w:val="auto"/>
              </w:rPr>
              <w:t>Director</w:t>
            </w:r>
          </w:p>
        </w:tc>
      </w:tr>
      <w:tr>
        <w:trPr>
          <w:trHeight w:val="95"/>
        </w:trPr>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180" w:type="dxa"/>
            <w:vAlign w:val="bottom"/>
          </w:tcPr>
          <w:p>
            <w:pPr>
              <w:spacing w:after="0"/>
              <w:rPr>
                <w:sz w:val="8"/>
                <w:szCs w:val="8"/>
                <w:color w:val="auto"/>
              </w:rPr>
            </w:pPr>
          </w:p>
        </w:tc>
      </w:tr>
      <w:tr>
        <w:trPr>
          <w:trHeight w:val="201"/>
        </w:trPr>
        <w:tc>
          <w:tcPr>
            <w:tcW w:w="3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Christine Siu, M.B.A.(1)</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44</w:t>
            </w:r>
          </w:p>
        </w:tc>
        <w:tc>
          <w:tcPr>
            <w:tcW w:w="7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Member of our audit committee</w:t>
      </w:r>
    </w:p>
    <w:p>
      <w:pPr>
        <w:spacing w:after="0" w:line="64" w:lineRule="exact"/>
        <w:rPr>
          <w:rFonts w:ascii="Arial" w:cs="Arial" w:eastAsia="Arial" w:hAnsi="Arial"/>
          <w:sz w:val="13"/>
          <w:szCs w:val="13"/>
          <w:color w:val="auto"/>
        </w:rPr>
      </w:pPr>
    </w:p>
    <w:p>
      <w:pPr>
        <w:ind w:left="320" w:hanging="313"/>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Member of our compensation, nomination and corporate governance committee</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is a biographical summary of the experience of our executive officers and directors. There are no family relationships among any of our executive officers or directors.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officers</w:t>
      </w:r>
    </w:p>
    <w:p>
      <w:pPr>
        <w:spacing w:after="0" w:line="12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i w:val="1"/>
          <w:iCs w:val="1"/>
          <w:color w:val="auto"/>
        </w:rPr>
        <w:t xml:space="preserve">Markus Warmuth, M.D. </w:t>
      </w:r>
      <w:r>
        <w:rPr>
          <w:rFonts w:ascii="Arial" w:cs="Arial" w:eastAsia="Arial" w:hAnsi="Arial"/>
          <w:sz w:val="17"/>
          <w:szCs w:val="17"/>
          <w:color w:val="auto"/>
        </w:rPr>
        <w:t>has served as our President and Chief Executive Officer and a member of our board of directors since January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Warmuth has also served as a Venture Partner at Versant Venture Management, LLC, a healthcare investment firm, since September 2019. From July 2018 to August 2019, he worked as an Entrepreneur-in-Residence for Third Rock Ventures, LLC, a venture capital firm. From October 2011 to May 2018, Dr. Warmuth was the Chief Executive Officer and, previously from August 2011 to October 2011, Chief Scientific Officer of H3 Biomedicine Inc., a drug development company. Dr. Warmuth has served as a member of the board of directors of IMV Inc., a clinical stage biopharmaceutical company, since November 2018 and previously served as a member of the board of directors of Relay Therapeutics, Inc., a drug discovery company, from September 2018 to August 2019. He received an M.D. from Ludwig Maximilian University, Munich, Germany.</w:t>
      </w:r>
    </w:p>
    <w:p>
      <w:pPr>
        <w:spacing w:after="0" w:line="8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We believe that Dr. Warmuth is qualified to serve on our board of directors because of his extensive management and investment experience in the biopharmaceutical industry.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456"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 xml:space="preserve">Ajim Tamboli, CFA </w:t>
      </w:r>
      <w:r>
        <w:rPr>
          <w:rFonts w:ascii="Arial" w:cs="Arial" w:eastAsia="Arial" w:hAnsi="Arial"/>
          <w:sz w:val="17"/>
          <w:szCs w:val="17"/>
          <w:color w:val="auto"/>
        </w:rPr>
        <w:t>has served as our Chief Financial Officer since September 2020. From 2019 to 2020, Mr. Tamboli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at Rodin Therapeutics Inc., a biopharmaceutical company. From 2018 to 2019, he served as a partner of Asymmetry Capital Management, L.P., an investment management firm. From 2013 until 2018, Mr. Tamboli was a founding partner of and investor at Endurant Capital Management LP, a healthcare-dedicated asset management firm. From 2010 until 2013, Mr. Tamboli was a life sciences investor with Columbia Management Group, an investment advisor and mutual fund sponsor. Mr. Tamboli was a biotechnology equity research analyst with Lehman Brothers from 2003 to 2008 and prior to that with Credit Suisse from 2000 to 2001. Mr. Tamboli received an M.S. in biotechnology and a B.S. in biomedical science from the University of Pennsylvania, where he was a Benjamin Franklin Scholar. He is a CFA</w:t>
      </w:r>
      <w:r>
        <w:rPr>
          <w:rFonts w:ascii="Arial" w:cs="Arial" w:eastAsia="Arial" w:hAnsi="Arial"/>
          <w:sz w:val="11"/>
          <w:szCs w:val="11"/>
          <w:color w:val="auto"/>
        </w:rPr>
        <w:t>®</w:t>
      </w:r>
      <w:r>
        <w:rPr>
          <w:rFonts w:ascii="Arial" w:cs="Arial" w:eastAsia="Arial" w:hAnsi="Arial"/>
          <w:sz w:val="17"/>
          <w:szCs w:val="17"/>
          <w:color w:val="auto"/>
        </w:rPr>
        <w:t xml:space="preserve"> charterholder.</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i w:val="1"/>
          <w:iCs w:val="1"/>
          <w:color w:val="auto"/>
        </w:rPr>
        <w:t xml:space="preserve">Owen B. Wallace, Ph.D. </w:t>
      </w:r>
      <w:r>
        <w:rPr>
          <w:rFonts w:ascii="Arial" w:cs="Arial" w:eastAsia="Arial" w:hAnsi="Arial"/>
          <w:sz w:val="17"/>
          <w:szCs w:val="17"/>
          <w:color w:val="auto"/>
        </w:rPr>
        <w:t>has served as our Chief Scientific Officer since February 2021. From April 2017 until February 2021, Dr. Wallace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Chief Scientific Officer at Fulcrum Therapeutics, Inc., a biopharmaceutical company. From June 2013 until April 2017, Dr. Wallace served as Head, Global Discovery Chemistry at Novartis Institutes of BioMedical Research. From May 2000 until June 2013, Dr. Wallace served in various positions at Eli Lilly and Company, a global pharmaceutical company, including global leadership roles as Global Senior Director of Discovery Chemistry Research and Site Scientific Leader at the Lilly Research Centre in Surrey, UK. Dr. Wallace began his career as a Research Investigator at Bristol-Myers Squibb, a pharmaceutical company, where he worked on the HIV attachment program that led to the FDA’s approval of Rukobia, a prescription medicine that is used with other antiretroviral medicines to treat HIV-1 infection, in 2020. Dr. Wallace received a Ph.D. and M.S. in chemistry from Yale University, and a B.Sc. (Hons) in chemistry and computer science from the University College Cork.</w:t>
      </w:r>
    </w:p>
    <w:p>
      <w:pPr>
        <w:spacing w:after="0" w:line="70"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b w:val="1"/>
          <w:bCs w:val="1"/>
          <w:i w:val="1"/>
          <w:iCs w:val="1"/>
          <w:color w:val="auto"/>
        </w:rPr>
        <w:t xml:space="preserve">Sharon Townson, Ph.D. </w:t>
      </w:r>
      <w:r>
        <w:rPr>
          <w:rFonts w:ascii="Arial" w:cs="Arial" w:eastAsia="Arial" w:hAnsi="Arial"/>
          <w:sz w:val="17"/>
          <w:szCs w:val="17"/>
          <w:color w:val="auto"/>
        </w:rPr>
        <w:t>has served as our Chief Technology Officer since January 2021 and previously served as our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Biomolecular Sciences from July 2020 until December 2020. From April 2019 to June 2020, Dr. Townson served as Executive Director, Head of Platform Biology at Kymera Therapeutics, Inc., a biopharmaceutical company. From June 2013 until December 2018, Dr. Townson served in several roles at Warp Drive Bio, Inc,, a biotechnology company, including Scientific Director of Physical Biochemistry, Director of Physical Biochemistry and Associate Director of Biochemistry and Biophysics. Dr. Townson received a Ph.D. in molecular biology and biochemistry from the University of Manchester Institute of Science and Technology and a B.S. in biomolecular sciences from Salford University.</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 xml:space="preserve">John Castle, Ph.D. </w:t>
      </w:r>
      <w:r>
        <w:rPr>
          <w:rFonts w:ascii="Arial" w:cs="Arial" w:eastAsia="Arial" w:hAnsi="Arial"/>
          <w:sz w:val="17"/>
          <w:szCs w:val="17"/>
          <w:color w:val="auto"/>
        </w:rPr>
        <w:t>has served as our Chief Data Scientist since May 2020. From October 2017 to April 2020, Dr. Castle served as Associate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Translational Medicine and Bioinformatics, and previously, from May 2017 to October 2017, Executive Director of Translational Medicine and, from November 2014 to May 2017, Senior Director of Bioinformatics at Agenus Inc, a drug development company. From October 2017 to January 2018, Dr. Castle served as Chief Scientific Officer for Achilles Therapeutics UK Limited, a drug development company. Dr. Castle served as Director of Computational Medicine at BioNTech SE, a biotechnology company, from 2009, when the company was started, until November 2014. Dr. Castle received a Ph.D. in geophysics from the University of Washington and a B.A. in physics from Rice University. Dr. Castle was also a Fulbright Scholar at the Australian National University at Canberra.</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Filip Janku, M.D., Ph.D. </w:t>
      </w:r>
      <w:r>
        <w:rPr>
          <w:rFonts w:ascii="Arial" w:cs="Arial" w:eastAsia="Arial" w:hAnsi="Arial"/>
          <w:sz w:val="17"/>
          <w:szCs w:val="17"/>
          <w:color w:val="auto"/>
        </w:rPr>
        <w:t>has served as our Chief Medical Officer since June 2021. From February 2012 to May 2021, Dr. Janku served in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The University of Texas MD Anderson Cancer Center, or MD Anderson, including as Center Medical Director for MD Anderson’s Clinical and Translational Research Center and as Associate Professor in its Department of Investigational Cancer Therapeutics where he focused his research efforts in oncogenic mutations and molecular aberrations. Dr. Janku received his M.D. and Ph.D. from Charles University in the Czech Republic.</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00"/>
          </w:cols>
          <w:pgMar w:left="320" w:top="456" w:right="3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Non-employee directors</w:t>
      </w:r>
    </w:p>
    <w:p>
      <w:pPr>
        <w:spacing w:after="0" w:line="12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 xml:space="preserve">Alexander Mayweg, Ph.D. </w:t>
      </w:r>
      <w:r>
        <w:rPr>
          <w:rFonts w:ascii="Arial" w:cs="Arial" w:eastAsia="Arial" w:hAnsi="Arial"/>
          <w:sz w:val="17"/>
          <w:szCs w:val="17"/>
          <w:color w:val="auto"/>
        </w:rPr>
        <w:t>has served as a member of our board of directors since April 2018 and as our chairman since September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Mayweg has served as a Managing Director at Versant Venture Management, LLC, a healthcare investment firm, since March 2020, and previously served as a Partner at Versant Venture Management, LLC from January 2018 to March 2020 and as a Venture Partner at Versant Venture Management, LLC from January 2017 to December 2017. Additionally, since April 2017, Dr. Mayweg has served as Chief Scientific Officer at Ridgeline Therapeutics, a discovery engine sponsored by Versant Ventures Management, LLC that creates and operates biotechnology companies in Basel, Switzerland. From 2013 to 2016, Dr. Mayweg served as Vice President and Global Head of Medicinal Chemistry at F. Hoffmann-La Roche AG, a multinational healthcare company, where he held various leadership positions in pharmaceutical drug discovery and medicinal chemistry across Europe, the U.S. and Asia. Dr. Mayweg is currently a member of the board of directors of Black Diamond Therapeutics, Inc., a biopharmaceutical company. Dr. Mayweg received a D. Phil. in organic chemistry at Oxford University, followed by post-doctorate training in organic chemistry at Stanford University, and a B.S. in chemistry from the Imperial College of Science and Technology.</w:t>
      </w:r>
    </w:p>
    <w:p>
      <w:pPr>
        <w:spacing w:after="0" w:line="97"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We believe that Dr. Mayweg is qualified to serve on our board of directors based on his knowledge of the healthcare sector across international markets and his extensive operational experience in the biopharmaceutical industry.</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Bradley J. Bolzon, Ph.D. </w:t>
      </w:r>
      <w:r>
        <w:rPr>
          <w:rFonts w:ascii="Arial" w:cs="Arial" w:eastAsia="Arial" w:hAnsi="Arial"/>
          <w:sz w:val="17"/>
          <w:szCs w:val="17"/>
          <w:color w:val="auto"/>
        </w:rPr>
        <w:t>has been a member of our board of directors since April 2018 and served as the chairman of our board until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Dr. Bolzon has served as Chairman and Managing Director of Versant Venture Management, LLC, where he has been employed since May</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2004. From February 2000 to May 2004, Dr. Bolzon served as Executive Vice President, Global Head of Business Development, Licensing &amp; Alliances of F. Hoffman-La Roche AG., a multinational healthcare company. Dr. Bolzon also held executive roles at Eli Lilly and Company, a global pharmaceutical company, in drug discovery, clinical research, regulatory affairs and business development. Since April 2014, Dr. Bolzon has served as a member of the board of directors of CRISPR Therapeutics AG, a biotechnology company and, since December 2017, has served as a member of the board of directors of Black Diamond Therapeutics, Inc., a biopharmaceutical company. Dr. Bolzon previously served as a member of the board of directors of Flexion Therapeutics, Inc., a pharmaceutical company, from its inception in 2007 to June 2014. Dr. Bolzon received a Ph.D. in pharmacology, a M.S. in pharmacology from the University of Toronto and a B.S. from the University of Guelph College of Biological Science. He conducted post-doctoral work at the University of Ottawa Heart Institute.</w:t>
      </w:r>
    </w:p>
    <w:p>
      <w:pPr>
        <w:spacing w:after="0" w:line="96"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color w:val="auto"/>
        </w:rPr>
        <w:t>We believe that Dr. Bolzon is qualified to serve on our board of directors because of his global pharmaceutical industry and venture capital experience.</w:t>
      </w:r>
    </w:p>
    <w:p>
      <w:pPr>
        <w:spacing w:after="0" w:line="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color w:val="auto"/>
        </w:rPr>
        <w:t xml:space="preserve">Ali Behbahani, M.D. </w:t>
      </w:r>
      <w:r>
        <w:rPr>
          <w:rFonts w:ascii="Arial" w:cs="Arial" w:eastAsia="Arial" w:hAnsi="Arial"/>
          <w:sz w:val="17"/>
          <w:szCs w:val="17"/>
          <w:color w:val="auto"/>
        </w:rPr>
        <w:t>has been a member of our board of directors since April 2020. Dr. Behbahani joined New Enterprise Associates, Inc., a</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 firm, in 2007 and is a General Partner on the healthcare team. Prior to joining New Enterprise Associates, Inc., Dr. Behbahani served as a consultant in business development at The Medicines Company, a pharmaceutical company, a Venture Associate at Morgan Stanley, a multinational investment bank and financial services company, and a Healthcare Investment Banking Analyst at Lehman Brothers, a global financial services firm. Dr. Behbahani currently serves as a member of the board of directors of Nkarta, Inc., a biotechnology company, Oyster Point Pharma, a clinical-stage pharmaceutical company, Black Diamond Therapeutics, Inc., a biopharmaceutical company, Adaptimmune Therapeutics, a biopharmaceutical company, Genocea Biosciences, Inc., a biopharmaceutical company and CRISPR Therapeutics AG, a biotechnology company. Dr. Behbahani formerly served as a member of the board of directors of Nevro Corp., a global medical device company. Dr. Behbahani received an M.D. from the University of Pennsylvania School of Medicine, an M.B.A. from the Wharton School of the University of Pennsylvania and a B.S. in biomedical engineering, electrical engineering and chemistry from Duke University.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20"/>
          </w:cols>
          <w:pgMar w:left="320" w:top="456" w:right="3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60"/>
        <w:spacing w:after="0" w:line="263" w:lineRule="auto"/>
        <w:rPr>
          <w:sz w:val="20"/>
          <w:szCs w:val="20"/>
          <w:color w:val="auto"/>
        </w:rPr>
      </w:pPr>
      <w:r>
        <w:rPr>
          <w:rFonts w:ascii="Arial" w:cs="Arial" w:eastAsia="Arial" w:hAnsi="Arial"/>
          <w:sz w:val="17"/>
          <w:szCs w:val="17"/>
          <w:color w:val="auto"/>
        </w:rPr>
        <w:t>We believe that Dr. Behbahani is qualified to serve on our board of directors because of his extensive experience as an investor in the life sciences industry and his service as a director of other publicly traded companies.</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i w:val="1"/>
          <w:iCs w:val="1"/>
          <w:color w:val="auto"/>
        </w:rPr>
        <w:t xml:space="preserve">Kimberly L. Blackwell, M.D. </w:t>
      </w:r>
      <w:r>
        <w:rPr>
          <w:rFonts w:ascii="Arial" w:cs="Arial" w:eastAsia="Arial" w:hAnsi="Arial"/>
          <w:sz w:val="17"/>
          <w:szCs w:val="17"/>
          <w:color w:val="auto"/>
        </w:rPr>
        <w:t>has been a member of our board of directors since July 2020. Dr. Blackwell has served as Chief Medical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Tempus Labs, Inc., a biotechnology company, since 2020. Dr. Blackwell formerly served as Vice President of Early Phase Oncology and Immuno-oncology at Eli Lilly and Company, a global pharmaceutical company, from 2018 to 2020. From 2012 to 2018, Dr. Blackwell served as Director of the Women’s Cancer Program, Professor of Medicine, and Associate Director for Strategic Relations at the Duke Cancer Institute where she lead the clinical development teams for promising early stage therapeutics. Dr. Blackwell currently serves as a member of the board of directors of Zentalis Pharmaceuticals, Inc., a clinical-stage biopharmaceutical company. Dr. Blackwell received an M.D. from the Mayo Clinic College of Medicine and Science and a B.A. in bioethics from Duke University.</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We believe that Dr. Blackwell is qualified to serve on our board of directors because of her extensive experience in the field of medicine and experience serving in executive roles at companies in the life sciences industry.</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i w:val="1"/>
          <w:iCs w:val="1"/>
          <w:color w:val="auto"/>
        </w:rPr>
        <w:t xml:space="preserve">Andrew Schiff, M.D. </w:t>
      </w:r>
      <w:r>
        <w:rPr>
          <w:rFonts w:ascii="Arial" w:cs="Arial" w:eastAsia="Arial" w:hAnsi="Arial"/>
          <w:sz w:val="17"/>
          <w:szCs w:val="17"/>
          <w:color w:val="auto"/>
        </w:rPr>
        <w:t>has been a member of our board of directors since September 2020. Dr. Schiff serves as a Managing Partner of Aisling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a venture capital firm, that he has been affiliated with since 1999. Prior to joining Aisling Capital, Dr. Schiff practiced internal medicine at the New York Presbyterian Hospital, where he currently maintains his position as a Clinical Assistant Professor of Medicine. Dr. Schiff currently serves as a member of the board of directors of Aclaris Therapeutics, Inc., a pharmaceutical company. Dr. Schiff formerly served as a member of the board of directors of ZELTIQ Aesthetics, Inc., a medical services company acquired by Allergan PLC. Dr. Schiff received an M.D. from Cornell University Medical College, an M.B.A. from Columbia Business School, and a B.S. in neuroscience with honors from Brown University.</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believe that Dr. Schiff is qualified to serve on our board of directors because of his experience as a venture capitalist, a professor in the field of medicine and a board member of numerous companies in the life sciences industry.</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i w:val="1"/>
          <w:iCs w:val="1"/>
          <w:color w:val="auto"/>
        </w:rPr>
        <w:t xml:space="preserve">Chandra P. Leo, M.D. </w:t>
      </w:r>
      <w:r>
        <w:rPr>
          <w:rFonts w:ascii="Arial" w:cs="Arial" w:eastAsia="Arial" w:hAnsi="Arial"/>
          <w:sz w:val="17"/>
          <w:szCs w:val="17"/>
          <w:color w:val="auto"/>
        </w:rPr>
        <w:t>has been a member of our board of directors since September 2020. Dr. Leo has served as an Investment Advisor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equity team at HBM Partners AG, a Swiss healthcare investment company, since 2007. Prior to joining HBM Partners AG, Dr. Leo worked as a postdoctoral scientist at Stanford University, as a physician at the University Hospital Leipzig and as a principal at Wellington Partners, a venture capital firm. Dr. Leo currently serves as a director on the boards of Fore Biotherapeutics Inc., River 2 Renal Corp. and River 3 Renal Corp., all of which are biotechnology companies, and Gynesonics Inc., a medical device company. He received an M.D. from the Freie Universität Berlin, an M.B.A from INSEAD and an M.A.S. in medicines development from the University of Basel.</w:t>
      </w:r>
    </w:p>
    <w:p>
      <w:pPr>
        <w:spacing w:after="0" w:line="89"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We believe that Dr. Leo is qualified to serve on our board of directors because of his extensive experience in the field of medicine and in private equity.</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 xml:space="preserve">Christine Siu, M.B.A. </w:t>
      </w:r>
      <w:r>
        <w:rPr>
          <w:rFonts w:ascii="Arial" w:cs="Arial" w:eastAsia="Arial" w:hAnsi="Arial"/>
          <w:sz w:val="17"/>
          <w:szCs w:val="17"/>
          <w:color w:val="auto"/>
        </w:rPr>
        <w:t>has been a member of our board of directors since December 2020. Ms. Siu has served as the Chief Operating Officer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Residence of BridgeBio Pharma Inc., a pharmaceutical company, since January 2020. She formerly served as the Chief Financial Officer of Eidos Therapeutics, Inc., a biopharmaceutical company, from December 2017 to December 2019 and, previously as Chief Operating Officer of Eidos Therapeutics, Inc. from April 2016 to December 2017. Ms. Siu served as the Chief Business Officer of The Bluefield Project to Cure Frontotemporal Dementia from 2014 to 2017, and previously from 2012 to 2014 as Senior Director of Corporate Development at Global Blood Therapeutics, Inc., a biopharmaceutical company. Previously, she held positions at various private equity and venture capital firms, including Third Rock Ventures, LLC, Warburg Pincus LLC and Thomas, McNerney &amp; Partners, LLC, where she invested in life sciences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20"/>
          </w:cols>
          <w:pgMar w:left="320" w:top="456"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companies. Ms. Siu currently serves as a member of the board of directors of Vividion Therapeutics, Inc., a biotechnology company, and Bright Peak Therapeutics Inc., a biotechnology company. Ms. Siu received an M.B.A. from Harvard Business School and a B.S. with distinction in cellular molecular biology and economics from the University of Michigan.</w:t>
      </w:r>
    </w:p>
    <w:p>
      <w:pPr>
        <w:spacing w:after="0" w:line="88"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color w:val="auto"/>
        </w:rPr>
        <w:t>We believe that Ms. Siu is qualified to serve on our board of directors because of her experience as a venture capitalist in the life sciences industry and serving as an executive in business, financial and operational roles.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composition</w:t>
      </w:r>
    </w:p>
    <w:p>
      <w:pPr>
        <w:spacing w:after="0" w:line="14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Our board of directors currently consists of eight members, each of whom is a member pursuant to the board composition provisions of our current certificate of incorporation and agreements with our stockholders, which agreements are described in the section of this prospectus entitled “Certain relationships and related person transactions.” These board composition provisions will terminate upon the closing of this offering. Upon the termination of these provisions, there will be no further contractual obligations regarding the election of our directors. Our compensation, nomination and corporate governance committee and our board of directors may therefore consider a broad range of factors relating to the qualifications and background of nominees. Our compensation, nomination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their earlier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Staggered board</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accordance with the terms of our amended and restated certificate of incorporation and our amended and restated bylaws that will become effective upon the closing of this offering, our board of directors will be divided into three staggered classes of directors and each director will be assigned to one of the three classes. At each annual meeting of the stockholders, one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2022 for Class I directors, 2023 for Class II directors and 2024 for Class III directors.</w:t>
      </w:r>
    </w:p>
    <w:p>
      <w:pPr>
        <w:spacing w:after="0" w:line="107" w:lineRule="exact"/>
        <w:rPr>
          <w:sz w:val="20"/>
          <w:szCs w:val="20"/>
          <w:color w:val="auto"/>
        </w:rPr>
      </w:pPr>
    </w:p>
    <w:p>
      <w:pPr>
        <w:ind w:left="220" w:hanging="213"/>
        <w:spacing w:after="0"/>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Class I directors will be Christine Siu, Kimberly Blackwell and Bradley Bolzon;</w:t>
      </w:r>
    </w:p>
    <w:p>
      <w:pPr>
        <w:spacing w:after="0" w:line="5" w:lineRule="exact"/>
        <w:rPr>
          <w:rFonts w:ascii="Arial" w:cs="Arial" w:eastAsia="Arial" w:hAnsi="Arial"/>
          <w:sz w:val="17"/>
          <w:szCs w:val="17"/>
          <w:color w:val="auto"/>
        </w:rPr>
      </w:pPr>
    </w:p>
    <w:p>
      <w:pPr>
        <w:ind w:left="220" w:hanging="213"/>
        <w:spacing w:after="0"/>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Class II directors will be Andrew Schiff and Chandra Leo; and</w:t>
      </w:r>
    </w:p>
    <w:p>
      <w:pPr>
        <w:spacing w:after="0" w:line="5" w:lineRule="exact"/>
        <w:rPr>
          <w:rFonts w:ascii="Arial" w:cs="Arial" w:eastAsia="Arial" w:hAnsi="Arial"/>
          <w:sz w:val="17"/>
          <w:szCs w:val="17"/>
          <w:color w:val="auto"/>
        </w:rPr>
      </w:pPr>
    </w:p>
    <w:p>
      <w:pPr>
        <w:ind w:left="220" w:hanging="213"/>
        <w:spacing w:after="0"/>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Class III directors will be Markus Warmuth, Alexander Mayweg and Ali Behbahani.</w:t>
      </w:r>
    </w:p>
    <w:p>
      <w:pPr>
        <w:spacing w:after="0" w:line="112" w:lineRule="exact"/>
        <w:rPr>
          <w:sz w:val="20"/>
          <w:szCs w:val="20"/>
          <w:color w:val="auto"/>
        </w:rPr>
      </w:pPr>
    </w:p>
    <w:p>
      <w:pPr>
        <w:jc w:val="both"/>
        <w:ind w:right="560"/>
        <w:spacing w:after="0" w:line="263"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will provide that the number of our directors shall be fixed from time to time by a resolution of the majority of our board of directors.</w:t>
      </w:r>
    </w:p>
    <w:p>
      <w:pPr>
        <w:spacing w:after="0" w:line="80"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00"/>
          </w:cols>
          <w:pgMar w:left="320" w:top="456"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independence</w:t>
      </w:r>
    </w:p>
    <w:p>
      <w:pPr>
        <w:spacing w:after="0" w:line="14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intend to apply to list our common stock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or the Exchange Act, and compensation, nomination and corporate governance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the board of directors must consider, for each member of a compensation, nomination and corporate governance committee of a listed company, all factors specifically relevant to determining whether a director has a relationship to such company which is material to that director’s ability to be independent from management in connection with the duties of a compensation, nomination and corporate governance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29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May 2021, our board of directors undertook a review of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all members of our board of directors, except Markus Warmuth, Bradley Bolzon and Alexander Mayweg, are independent directors, including for purposes of Nasdaq and the SEC rules. In making that determination, our board of directors considered the relationships that each director has with us and all other facts and circumstances the board of directors deemed relevant in determining independence, including the potential deemed beneficial ownership of our capital stock by each director, including non-employee directors that are affiliated with certain of our major stockholders. Upon the completion of this offering, we expect that the composition and functioning of our board of directors and each of our committees will comply with all applicable requirements of Nasdaq and the rules and regulations of the SEC. There are no family relationships among any of our executive officers and directors.</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intend to adopt a policy, subject to and effective upon the effectiveness of the registration statement of which this prospectus forms a part, that outlines a process for our securityholders to send communications to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committees</w:t>
      </w:r>
    </w:p>
    <w:p>
      <w:pPr>
        <w:spacing w:after="0" w:line="142"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Our board of directors has established an audit committee and a compensation, nomination and corporate governance committee, each of which will operate pursuant to a charter to be adopted by our board of directors and will be effective upon the effectiveness of the registration statement of which this prospectus forms a part. We believe that the composition and functioning of all of our committees will comply with the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20"/>
          </w:cols>
          <w:pgMar w:left="320" w:top="456"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applicable requirements of Nasdaq, the Sarbanes-Oxley Act of 2002 and SEC rules and regulations that will be applicable to us. We intend to comply with future requirements to the extent they become applicable to us.</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Following the consummation of this offering, the full text of our audit committee charter and compensation, nomination and corporate governance committee charter will be posted on the investor relations portion of our website at https://www.monterosatx.com. We do not incorporate the information contained on, or accessible through, our corporate website into this prospectus, and you should not consider it a part of this prospectus.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32"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Upon the effectiveness of the registration statement of which this prospectus forms a part, our audit committee will consist of Christine Siu, Andrew Schiff and Chandra Leo and will be chaired by Christine Siu. The functions of the audit committee will include:</w:t>
      </w:r>
    </w:p>
    <w:p>
      <w:pPr>
        <w:spacing w:after="0" w:line="93" w:lineRule="exact"/>
        <w:rPr>
          <w:sz w:val="20"/>
          <w:szCs w:val="20"/>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25" w:lineRule="exact"/>
        <w:rPr>
          <w:rFonts w:ascii="Arial" w:cs="Arial" w:eastAsia="Arial" w:hAnsi="Arial"/>
          <w:sz w:val="17"/>
          <w:szCs w:val="17"/>
          <w:color w:val="auto"/>
        </w:rPr>
      </w:pPr>
    </w:p>
    <w:p>
      <w:pPr>
        <w:ind w:left="220" w:hanging="213"/>
        <w:spacing w:after="0" w:line="263" w:lineRule="auto"/>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93"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93" w:lineRule="exact"/>
        <w:rPr>
          <w:rFonts w:ascii="Arial" w:cs="Arial" w:eastAsia="Arial" w:hAnsi="Arial"/>
          <w:sz w:val="17"/>
          <w:szCs w:val="17"/>
          <w:color w:val="auto"/>
        </w:rPr>
      </w:pPr>
    </w:p>
    <w:p>
      <w:pPr>
        <w:ind w:left="220" w:right="800" w:hanging="213"/>
        <w:spacing w:after="0" w:line="263" w:lineRule="auto"/>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93" w:lineRule="exact"/>
        <w:rPr>
          <w:rFonts w:ascii="Arial" w:cs="Arial" w:eastAsia="Arial" w:hAnsi="Arial"/>
          <w:sz w:val="17"/>
          <w:szCs w:val="17"/>
          <w:color w:val="auto"/>
        </w:rPr>
      </w:pPr>
    </w:p>
    <w:p>
      <w:pPr>
        <w:ind w:left="220" w:right="300" w:hanging="213"/>
        <w:spacing w:after="0" w:line="263" w:lineRule="auto"/>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all related person transactions for potential conflict of interest situations and approving all such transactions;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quarterly earnings releases.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All members of our audit committee will meet the requirements for financial literacy under the applicable rules and regulations of the SEC and the</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Nasdaq listing rules. Our board of directors has determined that qualifies as an “audit committee financial expert” within the meaning of applicable SEC regulations. In making this determination, our board of directors considered the nature and scope of experience that Christine Siu has previously had with public reporting companies, including service as Chief Financial Officer of Eidos Therapeutics, Inc. Our board of directors has determined that all of the directors that will become members 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180"/>
          </w:cols>
          <w:pgMar w:left="320" w:top="456" w:right="3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our audit committee upon the effectiveness of the registration statement of which this prospectus forms a part satisfy the relevant independence requirements for service on the audit committee set forth in the rules of the SEC and the Nasdaq listing rules. Both our independent registered public accounting firm and management will periodically meet privately with our audit committee.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nomination and corporate governance committee</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Upon the effectiveness of the registration statement of which this prospectus forms a part, our compensation, nomination and corporate governance committee will consist of Andrew Schiff, Ali Behbahani and Kimberly Blackwell, and will be chaired by Andrew Schiff. The functions of the compensation, nomination and corporate governance committee upon the completion of this offering will include:</w:t>
      </w:r>
    </w:p>
    <w:p>
      <w:pPr>
        <w:spacing w:after="0" w:line="102" w:lineRule="exact"/>
        <w:rPr>
          <w:sz w:val="20"/>
          <w:szCs w:val="20"/>
          <w:color w:val="auto"/>
        </w:rPr>
      </w:pPr>
    </w:p>
    <w:p>
      <w:pPr>
        <w:ind w:left="220" w:right="18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annually reviewing and recommending to the board of directors the corporate goals and objectives relevant to the compensation of our Chief Executive Officer;</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5" w:lineRule="exact"/>
        <w:rPr>
          <w:rFonts w:ascii="Arial" w:cs="Arial" w:eastAsia="Arial" w:hAnsi="Arial"/>
          <w:sz w:val="17"/>
          <w:szCs w:val="17"/>
          <w:color w:val="auto"/>
        </w:rPr>
      </w:pPr>
    </w:p>
    <w:p>
      <w:pPr>
        <w:ind w:left="220" w:right="100"/>
        <w:spacing w:after="0" w:line="263" w:lineRule="auto"/>
        <w:rPr>
          <w:rFonts w:ascii="Arial" w:cs="Arial" w:eastAsia="Arial" w:hAnsi="Arial"/>
          <w:sz w:val="17"/>
          <w:szCs w:val="17"/>
          <w:color w:val="auto"/>
        </w:rPr>
      </w:pPr>
      <w:r>
        <w:rPr>
          <w:rFonts w:ascii="Arial" w:cs="Arial" w:eastAsia="Arial" w:hAnsi="Arial"/>
          <w:sz w:val="17"/>
          <w:szCs w:val="17"/>
          <w:color w:val="auto"/>
        </w:rPr>
        <w:t>(i) reviewing and determining the cash compensation of our Chief Executive Officer and (ii) reviewing and approving grants and awards to our Chief Executive Officer under equity-based plans;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125" w:lineRule="exact"/>
        <w:rPr>
          <w:rFonts w:ascii="Arial" w:cs="Arial" w:eastAsia="Arial" w:hAnsi="Arial"/>
          <w:sz w:val="17"/>
          <w:szCs w:val="17"/>
          <w:color w:val="auto"/>
        </w:rPr>
      </w:pPr>
    </w:p>
    <w:p>
      <w:pPr>
        <w:ind w:left="220" w:right="60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evaluating and assessing potential and current compensation advisors in accordance with the independence standards identified in the applicable Nasdaq listing rules;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recommending to the board of directors the compensation of our directors;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preparing our compensation committee report if and when required by SEC rules;</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discussing annually with management our “Compensation Discussion and Analysis,” if and when required, to be included in our annual proxy statement;</w:t>
      </w:r>
    </w:p>
    <w:p>
      <w:pPr>
        <w:spacing w:after="0" w:line="93" w:lineRule="exact"/>
        <w:rPr>
          <w:rFonts w:ascii="Arial" w:cs="Arial" w:eastAsia="Arial" w:hAnsi="Arial"/>
          <w:sz w:val="17"/>
          <w:szCs w:val="17"/>
          <w:color w:val="auto"/>
        </w:rPr>
      </w:pPr>
    </w:p>
    <w:p>
      <w:pPr>
        <w:ind w:left="220" w:right="52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approving the retention or termination of any consulting firm or outside advisor to assist in the evaluation of compensation matters;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the composition of the board of directors to ensure that it is composed of members containing the appropriate skills and expertise to advise us;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25" w:lineRule="exact"/>
        <w:rPr>
          <w:rFonts w:ascii="Arial" w:cs="Arial" w:eastAsia="Arial" w:hAnsi="Arial"/>
          <w:sz w:val="17"/>
          <w:szCs w:val="17"/>
          <w:color w:val="auto"/>
        </w:rPr>
      </w:pPr>
    </w:p>
    <w:p>
      <w:pPr>
        <w:ind w:left="220" w:right="120" w:hanging="213"/>
        <w:spacing w:after="0" w:line="263"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code of business conduct and ethics and a set of corporate governance guidelines; and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overseeing the evaluation of our board of directors and management.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180"/>
          </w:cols>
          <w:pgMar w:left="320" w:top="456" w:right="3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Each member of our compensation, nomination and corporate governance committee will be a non-employee director, as defined in Rule 16b-3 promulgated under the Exchange Act.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nomination and corporate governance committee interlocks and insider participation</w:t>
      </w:r>
    </w:p>
    <w:p>
      <w:pPr>
        <w:spacing w:after="0" w:line="14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None of the members of our compensation, nomination and corporate governance committee is, or has at any time during the prior three years been, one of our officers or employees. None of our executive officers currently serve, or have in the past fiscal year served, as a member of the board of directors or compensation, nomination and corporate governance committee of any entity that has one or more of its executive officers serving as a member of our board of directors or our compensation, nomination and corporate governance committee.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business conduct and ethics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board of directors intends to adopt, subject to and effective upon the effectiveness of the registration statement of which this prospectus forms a part, a Code of Business Conduct and Ethics in connection with this offering. The Code of Business Conduct and Ethics will apply to all of our employees, officers (including our principal executive officer, principal financial officer, principal accounting officer or controller, or persons performing similar functions), agents and representatives, including directors and consultants.</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intend to disclose future amendments to certain provisions of our Code of Business Conduct and Ethics and our Code of Ethics on our website identified below. Upon the completion of this offering, the full text of our Code of Business Conduct and Ethics and our Code of Ethics will be posted on our website at https://www.monterosatx.com. The inclusion of our website address in this prospectus does not include or incorporate by reference the information on our website into this prospectus, and you should not consider that information a part of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Limitations on liability and indemnification agreements</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As permitted by Delaware law, provisions in our amended and restated certificate of incorporation and amended and restated bylaws, both of which will become effective upon the closing of this offering,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105" w:lineRule="exact"/>
        <w:rPr>
          <w:sz w:val="20"/>
          <w:szCs w:val="20"/>
          <w:color w:val="auto"/>
        </w:rPr>
      </w:pPr>
    </w:p>
    <w:p>
      <w:pPr>
        <w:ind w:left="220" w:hanging="213"/>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act related to unlawful stock repurchases, redemptions or other distributions or payments of dividends; or</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1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These limitations of liability do not limit or eliminate our rights or any stockholder’s rights to seek non-monetary relief, such as injunctive relief or rescission. These provisions will not alter a director’s liability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456"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under other laws, such as the federal securities laws or other state or federal laws. Our amended and restated certificate of incorporation that will become effective upon the closing of this offering also authorizes us to indemnify our officers, directors and other agents to the fullest extent permitted under Delaware law.</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As permitted by Delaware law, our amended and restated bylaws to be effective upon the consummation of this offering will provide that:</w:t>
      </w:r>
    </w:p>
    <w:p>
      <w:pPr>
        <w:spacing w:after="0" w:line="125" w:lineRule="exact"/>
        <w:rPr>
          <w:sz w:val="20"/>
          <w:szCs w:val="20"/>
          <w:color w:val="auto"/>
        </w:rPr>
      </w:pPr>
    </w:p>
    <w:p>
      <w:pPr>
        <w:ind w:left="220" w:hanging="213"/>
        <w:spacing w:after="0"/>
        <w:tabs>
          <w:tab w:leader="none" w:pos="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will indemnify our directors, officers, employees and other agents to the fullest extent permitted by law;</w:t>
      </w:r>
    </w:p>
    <w:p>
      <w:pPr>
        <w:spacing w:after="0" w:line="125"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must advance expenses to our directors and officers, and may advance expenses to our employees and other agents, in connection with a legal proceeding to the fullest extent permitted by law; and</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rights provided in our amended and restated bylaws are not exclusive.</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2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9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88"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160"/>
          </w:cols>
          <w:pgMar w:left="320" w:top="456"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w:t>
      </w:r>
    </w:p>
    <w:p>
      <w:pPr>
        <w:spacing w:after="0" w:line="153" w:lineRule="exact"/>
        <w:rPr>
          <w:sz w:val="20"/>
          <w:szCs w:val="20"/>
          <w:color w:val="auto"/>
        </w:rPr>
      </w:pPr>
    </w:p>
    <w:p>
      <w:pPr>
        <w:ind w:right="580"/>
        <w:spacing w:after="0" w:line="254" w:lineRule="auto"/>
        <w:rPr>
          <w:sz w:val="20"/>
          <w:szCs w:val="20"/>
          <w:color w:val="auto"/>
        </w:rPr>
      </w:pPr>
      <w:r>
        <w:rPr>
          <w:rFonts w:ascii="Arial" w:cs="Arial" w:eastAsia="Arial" w:hAnsi="Arial"/>
          <w:sz w:val="17"/>
          <w:szCs w:val="17"/>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88"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2020 is detailed in the 2020 Summary Compensation Table and accompanying footnotes and narrative that follow. Our named executive officers are:</w:t>
      </w:r>
    </w:p>
    <w:p>
      <w:pPr>
        <w:spacing w:after="0" w:line="105" w:lineRule="exact"/>
        <w:rPr>
          <w:sz w:val="20"/>
          <w:szCs w:val="20"/>
          <w:color w:val="auto"/>
        </w:rPr>
      </w:pPr>
    </w:p>
    <w:p>
      <w:pPr>
        <w:ind w:left="220" w:hanging="213"/>
        <w:spacing w:after="0"/>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Markus Warmuth, M.D., our Chief Executive Officer;</w:t>
      </w:r>
    </w:p>
    <w:p>
      <w:pPr>
        <w:spacing w:after="0" w:line="5" w:lineRule="exact"/>
        <w:rPr>
          <w:rFonts w:ascii="Arial" w:cs="Arial" w:eastAsia="Arial" w:hAnsi="Arial"/>
          <w:sz w:val="17"/>
          <w:szCs w:val="17"/>
          <w:color w:val="auto"/>
        </w:rPr>
      </w:pPr>
    </w:p>
    <w:p>
      <w:pPr>
        <w:ind w:left="220" w:hanging="213"/>
        <w:spacing w:after="0"/>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Ajim Tamboli, our Chief Financial Officer; and</w:t>
      </w:r>
    </w:p>
    <w:p>
      <w:pPr>
        <w:spacing w:after="0" w:line="5" w:lineRule="exact"/>
        <w:rPr>
          <w:rFonts w:ascii="Arial" w:cs="Arial" w:eastAsia="Arial" w:hAnsi="Arial"/>
          <w:sz w:val="17"/>
          <w:szCs w:val="17"/>
          <w:color w:val="auto"/>
        </w:rPr>
      </w:pPr>
    </w:p>
    <w:p>
      <w:pPr>
        <w:ind w:left="220" w:hanging="213"/>
        <w:spacing w:after="0"/>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Min Wang, J.D., Ph.D., our former Chief Operating Officer.</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To date, the compensation of our named executive officers has consisted of a combination of base salary, bonuses and long-term incentive compensation in the form of stock options and restricted stock. Our named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2020 Summary compensation table</w:t>
      </w:r>
    </w:p>
    <w:p>
      <w:pPr>
        <w:spacing w:after="0" w:line="14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following table presents information regarding the compensation awarded to, earned by, and paid to each individual who served as one of our named executive officers for services rendered to us in all capacities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Salary</w:t>
            </w:r>
          </w:p>
        </w:tc>
        <w:tc>
          <w:tcPr>
            <w:tcW w:w="9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Bonus</w:t>
            </w:r>
          </w:p>
        </w:tc>
        <w:tc>
          <w:tcPr>
            <w:tcW w:w="118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Arial" w:cs="Arial" w:eastAsia="Arial" w:hAnsi="Arial"/>
                <w:sz w:val="17"/>
                <w:szCs w:val="17"/>
                <w:b w:val="1"/>
                <w:bCs w:val="1"/>
                <w:color w:val="auto"/>
              </w:rPr>
              <w:t>Option</w:t>
            </w:r>
          </w:p>
        </w:tc>
        <w:tc>
          <w:tcPr>
            <w:tcW w:w="108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80" w:type="dxa"/>
            <w:vAlign w:val="bottom"/>
          </w:tcPr>
          <w:p>
            <w:pPr>
              <w:jc w:val="right"/>
              <w:ind w:right="113"/>
              <w:spacing w:after="0" w:line="187" w:lineRule="exact"/>
              <w:rPr>
                <w:sz w:val="20"/>
                <w:szCs w:val="20"/>
                <w:color w:val="auto"/>
              </w:rPr>
            </w:pPr>
            <w:r>
              <w:rPr>
                <w:rFonts w:ascii="Arial" w:cs="Arial" w:eastAsia="Arial" w:hAnsi="Arial"/>
                <w:sz w:val="17"/>
                <w:szCs w:val="17"/>
                <w:b w:val="1"/>
                <w:bCs w:val="1"/>
                <w:color w:val="auto"/>
              </w:rPr>
              <w:t>Stock</w:t>
            </w:r>
          </w:p>
        </w:tc>
        <w:tc>
          <w:tcPr>
            <w:tcW w:w="1160" w:type="dxa"/>
            <w:vAlign w:val="bottom"/>
          </w:tcPr>
          <w:p>
            <w:pPr>
              <w:jc w:val="right"/>
              <w:ind w:right="93"/>
              <w:spacing w:after="0" w:line="187" w:lineRule="exact"/>
              <w:rPr>
                <w:sz w:val="20"/>
                <w:szCs w:val="20"/>
                <w:color w:val="auto"/>
              </w:rPr>
            </w:pPr>
            <w:r>
              <w:rPr>
                <w:rFonts w:ascii="Arial" w:cs="Arial" w:eastAsia="Arial" w:hAnsi="Arial"/>
                <w:sz w:val="17"/>
                <w:szCs w:val="17"/>
                <w:b w:val="1"/>
                <w:bCs w:val="1"/>
                <w:color w:val="auto"/>
              </w:rPr>
              <w:t>awards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principal position</w:t>
            </w:r>
          </w:p>
        </w:tc>
        <w:tc>
          <w:tcPr>
            <w:tcW w:w="1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Year</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($)(1)</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awards(2)</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Markus Warmuth, M.D</w:t>
            </w:r>
            <w:r>
              <w:rPr>
                <w:rFonts w:ascii="Arial" w:cs="Arial" w:eastAsia="Arial" w:hAnsi="Arial"/>
                <w:sz w:val="17"/>
                <w:szCs w:val="17"/>
                <w:color w:val="auto"/>
              </w:rPr>
              <w:t>.</w:t>
            </w:r>
          </w:p>
        </w:tc>
        <w:tc>
          <w:tcPr>
            <w:tcW w:w="190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2020</w:t>
            </w:r>
          </w:p>
        </w:tc>
        <w:tc>
          <w:tcPr>
            <w:tcW w:w="98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465,000</w:t>
            </w:r>
          </w:p>
        </w:tc>
        <w:tc>
          <w:tcPr>
            <w:tcW w:w="98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434,170</w:t>
            </w:r>
          </w:p>
        </w:tc>
        <w:tc>
          <w:tcPr>
            <w:tcW w:w="118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191,029</w:t>
            </w:r>
          </w:p>
        </w:tc>
        <w:tc>
          <w:tcPr>
            <w:tcW w:w="116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1,130,569</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2,220,768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tcPr>
          <w:p>
            <w:pPr>
              <w:ind w:left="220"/>
              <w:spacing w:after="0"/>
              <w:rPr>
                <w:sz w:val="20"/>
                <w:szCs w:val="20"/>
                <w:color w:val="auto"/>
              </w:rPr>
            </w:pPr>
            <w:r>
              <w:rPr>
                <w:rFonts w:ascii="Arial" w:cs="Arial" w:eastAsia="Arial" w:hAnsi="Arial"/>
                <w:sz w:val="17"/>
                <w:szCs w:val="17"/>
                <w:color w:val="auto"/>
              </w:rPr>
              <w:t>Chief Executive Officer</w:t>
            </w: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Ajim Tamboli</w:t>
            </w:r>
            <w:r>
              <w:rPr>
                <w:rFonts w:ascii="Arial" w:cs="Arial" w:eastAsia="Arial" w:hAnsi="Arial"/>
                <w:sz w:val="11"/>
                <w:szCs w:val="11"/>
                <w:color w:val="auto"/>
              </w:rPr>
              <w:t>(3)</w:t>
            </w:r>
          </w:p>
        </w:tc>
        <w:tc>
          <w:tcPr>
            <w:tcW w:w="19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2020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91,146</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131,250</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489,637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60" w:type="dxa"/>
            <w:vAlign w:val="bottom"/>
          </w:tcPr>
          <w:p>
            <w:pPr>
              <w:ind w:left="220"/>
              <w:spacing w:after="0"/>
              <w:rPr>
                <w:sz w:val="20"/>
                <w:szCs w:val="20"/>
                <w:color w:val="auto"/>
              </w:rPr>
            </w:pPr>
            <w:r>
              <w:rPr>
                <w:rFonts w:ascii="Arial" w:cs="Arial" w:eastAsia="Arial" w:hAnsi="Arial"/>
                <w:sz w:val="17"/>
                <w:szCs w:val="17"/>
                <w:color w:val="auto"/>
              </w:rPr>
              <w:t>Chief Financial Officer</w:t>
            </w: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Min Wang, J.D., Ph.D.</w:t>
            </w:r>
            <w:r>
              <w:rPr>
                <w:rFonts w:ascii="Arial" w:cs="Arial" w:eastAsia="Arial" w:hAnsi="Arial"/>
                <w:sz w:val="11"/>
                <w:szCs w:val="11"/>
                <w:color w:val="auto"/>
              </w:rPr>
              <w:t>(4)</w:t>
            </w:r>
          </w:p>
        </w:tc>
        <w:tc>
          <w:tcPr>
            <w:tcW w:w="19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2020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130,170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188,125</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586,835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Former Chief Operating Officer</w:t>
            </w:r>
          </w:p>
        </w:tc>
        <w:tc>
          <w:tcPr>
            <w:tcW w:w="1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amount represent discretionary bonuses paid for company performance in 2020 and a $62,170 signing bonus paid to Dr. Warmuth and a $25,000 signing bonus paid to Dr. Wang.</w:t>
      </w:r>
    </w:p>
    <w:p>
      <w:pPr>
        <w:spacing w:after="0" w:line="64" w:lineRule="exact"/>
        <w:rPr>
          <w:rFonts w:ascii="Arial" w:cs="Arial" w:eastAsia="Arial" w:hAnsi="Arial"/>
          <w:sz w:val="13"/>
          <w:szCs w:val="13"/>
          <w:color w:val="auto"/>
        </w:rPr>
      </w:pPr>
    </w:p>
    <w:p>
      <w:pPr>
        <w:ind w:left="320" w:right="40" w:hanging="313"/>
        <w:spacing w:after="0"/>
        <w:tabs>
          <w:tab w:leader="none" w:pos="3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the stock options and restricted stock awarded to the named executive officers during fiscal year 2020, calculated in accordance with Financial Accounting Standards Board, or FASB Accounting Standards Codification, or ASC Topic 718. Such grant date fair value does not take into account any estimated forfeitures. The assumptions used in calculating the grant date fair value of the awards reported in this column are set forth in the notes to our financial statements included elsewhere in this prospectus.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54" w:lineRule="exact"/>
        <w:rPr>
          <w:rFonts w:ascii="Arial" w:cs="Arial" w:eastAsia="Arial" w:hAnsi="Arial"/>
          <w:sz w:val="13"/>
          <w:szCs w:val="13"/>
          <w:color w:val="auto"/>
        </w:rPr>
      </w:pPr>
    </w:p>
    <w:p>
      <w:pPr>
        <w:ind w:left="320" w:hanging="313"/>
        <w:spacing w:after="0"/>
        <w:tabs>
          <w:tab w:leader="none" w:pos="3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Tamboli joined the Company in September 2020 as our Chief Financial Officer. Mr. Tamboli’s base salary was pro-rated for his partial year of service during fiscal year 2020.</w:t>
      </w:r>
    </w:p>
    <w:p>
      <w:pPr>
        <w:spacing w:after="0" w:line="64" w:lineRule="exact"/>
        <w:rPr>
          <w:rFonts w:ascii="Arial" w:cs="Arial" w:eastAsia="Arial" w:hAnsi="Arial"/>
          <w:sz w:val="13"/>
          <w:szCs w:val="13"/>
          <w:color w:val="auto"/>
        </w:rPr>
      </w:pPr>
    </w:p>
    <w:p>
      <w:pPr>
        <w:ind w:left="320" w:right="300" w:hanging="313"/>
        <w:spacing w:after="0" w:line="254" w:lineRule="auto"/>
        <w:tabs>
          <w:tab w:leader="none" w:pos="3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Dr. Wang joined the Company in September 2020, as our Chief Operating Officer and her base salary was pro-rated for her partial year of service during fiscal year 2020. Dr. Wang resigned from the Company in February 2021.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456"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Narrative disclosure to summary compensation table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132" w:lineRule="exact"/>
        <w:rPr>
          <w:sz w:val="20"/>
          <w:szCs w:val="20"/>
          <w:color w:val="auto"/>
        </w:rPr>
      </w:pPr>
    </w:p>
    <w:p>
      <w:pPr>
        <w:ind w:right="600"/>
        <w:spacing w:after="0" w:line="246" w:lineRule="auto"/>
        <w:rPr>
          <w:sz w:val="20"/>
          <w:szCs w:val="20"/>
          <w:color w:val="auto"/>
        </w:rPr>
      </w:pPr>
      <w:r>
        <w:rPr>
          <w:rFonts w:ascii="Arial" w:cs="Arial" w:eastAsia="Arial" w:hAnsi="Arial"/>
          <w:sz w:val="17"/>
          <w:szCs w:val="17"/>
          <w:color w:val="auto"/>
        </w:rPr>
        <w:t>Base salaries for our named executive officers are reviewed periodically and adjusted from time to time based on factors including market-competitive compensation levels, job responsibilities, individual performance and experience. The 2020 base salaries for Dr. Warmuth,</w:t>
      </w:r>
    </w:p>
    <w:p>
      <w:pPr>
        <w:ind w:right="20"/>
        <w:spacing w:after="0" w:line="263" w:lineRule="auto"/>
        <w:rPr>
          <w:sz w:val="20"/>
          <w:szCs w:val="20"/>
          <w:color w:val="auto"/>
        </w:rPr>
      </w:pPr>
      <w:r>
        <w:rPr>
          <w:rFonts w:ascii="Arial" w:cs="Arial" w:eastAsia="Arial" w:hAnsi="Arial"/>
          <w:sz w:val="17"/>
          <w:szCs w:val="17"/>
          <w:color w:val="auto"/>
        </w:rPr>
        <w:t>Mr. Tamboli and Dr. Wang were $465,000, $350,000, and $435,000, respectively. On December 4, 2020, the Board increased the base salaries of Mr. Warmuth, Mr. Tamboli and Dr. Wang for 2021 to $481,275, $358,750 and $445,875,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cash bonuses</w:t>
      </w:r>
    </w:p>
    <w:p>
      <w:pPr>
        <w:spacing w:after="0" w:line="132" w:lineRule="exact"/>
        <w:rPr>
          <w:sz w:val="20"/>
          <w:szCs w:val="20"/>
          <w:color w:val="auto"/>
        </w:rPr>
      </w:pPr>
    </w:p>
    <w:p>
      <w:pPr>
        <w:jc w:val="both"/>
        <w:ind w:right="260"/>
        <w:spacing w:after="0" w:line="254" w:lineRule="auto"/>
        <w:rPr>
          <w:sz w:val="20"/>
          <w:szCs w:val="20"/>
          <w:color w:val="auto"/>
        </w:rPr>
      </w:pPr>
      <w:r>
        <w:rPr>
          <w:rFonts w:ascii="Arial" w:cs="Arial" w:eastAsia="Arial" w:hAnsi="Arial"/>
          <w:sz w:val="17"/>
          <w:szCs w:val="17"/>
          <w:color w:val="auto"/>
        </w:rPr>
        <w:t>We do not sponsor or maintain a formal annual bonus plan. However, subject to the attainment of certain company and individual-performance goals, the board of directors may approve discretionary bonuses based on a percentage of the executive’s base salary, as they did for 2020 for our named executive officers. Neither Mr. Tamboli’s nor Dr. Wang’s annual bonus was pro-rated for their partial year of service.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arrangements with our named executive officers</w:t>
      </w:r>
    </w:p>
    <w:p>
      <w:pPr>
        <w:spacing w:after="0" w:line="12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 xml:space="preserve">Markus Warmuth, M.D. </w:t>
      </w:r>
      <w:r>
        <w:rPr>
          <w:rFonts w:ascii="Arial" w:cs="Arial" w:eastAsia="Arial" w:hAnsi="Arial"/>
          <w:sz w:val="17"/>
          <w:szCs w:val="17"/>
          <w:color w:val="auto"/>
        </w:rPr>
        <w:t>On November 15, 2019, and as revised as of February 13, 2020, we entered into an offer letter with Dr. Warmuth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 of President and Chief Executive Officer, or the Warmuth Employment Agreement, pursuant to which Dr. Warmuth is entitled to a base salary of $465,000 and an annual target bonus equal to 40% of his base salary. His salary is subject to periodic review at the discretion of the board of directors. Pursuant to the Warmuth Employment Agreement, Dr. Warmuth was eligible to receive an equity award of 1,470,588 shares of restricted stock to be subject to time-based vesting. In the event that Dr. Warmuth ceases to provide services to us as an employee, officer, consultant, advisor or director, the Company may repurchase all unvested restricted shares at the original purchase price within the 120 day period following the cessation of such services. The restricted stock granted to Dr. Warmuth is further described below in the “Outstanding equity awards at 2020 fiscal year-end” table below. Dr. Warmuth was also entitled to a signing bonus of $62,189.86 to be paid no later than March 15, 2020.</w:t>
      </w:r>
    </w:p>
    <w:p>
      <w:pPr>
        <w:spacing w:after="0" w:line="297"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Dr. Warmuth’s employment has no specified term and can be terminated at will by either party. In the event of his termination without cause or for good reason (as such terms are defined in the Warmuth Employment Agreement), or a qualifying termination, Dr. Warmuth shall be entitled to</w:t>
      </w:r>
    </w:p>
    <w:p>
      <w:pPr>
        <w:ind w:firstLine="7"/>
        <w:spacing w:after="0" w:line="247" w:lineRule="auto"/>
        <w:tabs>
          <w:tab w:leader="none" w:pos="20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sum of 12 months of his then-current base salary plus 100% of his target bonus, less any applicable withholding and any amounts payable pursuant to that certain restrictive covenant agreement by and between the Company and Dr. Warmuth, payable in substantially equal installments in accordance with our payroll practices over 12 months, (ii) subject to Dr. Warmuth’s election to receive benefits pursuant to the Consolidated Omnibus Budget Reconciliation Act of 1985, as amended, or COBRA, a monthly amount equal to the monthly employer contribution, based on the premiums as of the date of termination, that we would have made to provide health insurance for Dr. Warmuth if he had remained employed by us until the earliest of (x) the date that is 12 months following his termination, (y) the date he becomes eligible for group health benefits under any other group medical plan or (z) the cessation of his continuation rights under COBRA and (iii) accelerated vesting of the portion(s) of any outstanding equity awards subject to time-based vesting that would have vested in the one year period following such termination. The post-termination exercise period of all of Dr. Warmuth’s then-outstanding stock option will be extended to the earlier of (i) the expiration date of the applicable option and (ii) one year from the date of termination unless the awards agreements provide for earlier termination in connection with a liquidation or sale of the Company. The foregoing severance benefits are conditioned upon Dr. Warmuth’s execution of a separation agreement, including a release of claims and compliance with certain restrictive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20"/>
          </w:cols>
          <w:pgMar w:left="320" w:top="456"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covenants. In the event of a qualifying termination that occurs within the period beginning three (3) months prior to a change in control (as such term is defined the Warmuth Employment Agreement) and ending on the first anniversary of such change in control, Dr. Warmuth will be entitled to the foregoing benefits, except that the equity acceleration will be applied to 100% of Dr. Warmuth’s outstanding and unvested equity awards (irrespective of whether such awards are subject to time-based vesting or performance-based vesting) and the salary and bonus amounts due will be paid in lump sum. In both of the aforementioned instances, the equity acceleration terms apply notwithstanding any contrary provisions included in the applicable award agreement.</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i w:val="1"/>
          <w:iCs w:val="1"/>
          <w:color w:val="auto"/>
        </w:rPr>
        <w:t xml:space="preserve">Ajim Tamboli. </w:t>
      </w:r>
      <w:r>
        <w:rPr>
          <w:rFonts w:ascii="Arial" w:cs="Arial" w:eastAsia="Arial" w:hAnsi="Arial"/>
          <w:sz w:val="17"/>
          <w:szCs w:val="17"/>
          <w:color w:val="auto"/>
        </w:rPr>
        <w:t>On September 18, 2020, we entered into an offer letter with Mr. Tamboli for the position of Chief Financial Officer, or the Tamboli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Agreement, pursuant to which Mr. Tamboli is entitled to a base salary of $350,000 and an annual target bonus equal to 37.5% of his base salary. His salary is subject to periodic review at the discretion of the board of directors. Pursuant to the Tamboli Employment Agreement, Mr. Tamboli was eligible to receive an equity award of stock options to purchase 1,215,169 of our common stock. The stock option granted to Mr. Tamboli is further described below in the “Outstanding Equity Awards at 2020 Fiscal Year-End” table below.</w:t>
      </w:r>
    </w:p>
    <w:p>
      <w:pPr>
        <w:spacing w:after="0" w:line="8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Mr. Tamboli’s employment has no specified term and can be terminated at will by either party. In the event of his termination without cause or for good reason (as such terms are defined in the Tamboli Employment Agreement), or a qualifying termination, Mr. Tamboli shall be entitled to (i) an amount equal to 12 months of his then-current base salary, less any applicable withholding, and any amounts payable pursuant to the Restrictive Covenant Agreement by and between the Company and Mr. Tamboli, payable in substantially equal installments in accordance with our payroll practices over six months, (ii) subject to Mr. Tamboli’s election to receive benefits pursuant to COBRA, a monthly amount equal to the monthly employer contribution, based on the premiums as of the date of termination, that we would have made to provide health insurance for Mr. Tamboli if he had remained employed by us until the earliest of (x) the date that is 12 months following his termination, (y) the date he becomes eligible for group health benefits under any other group medical plan or (z) the cessation of his continuation rights under COBRA, and (iii) accelerated vesting of the portion(s) of any outstanding equity awards subject to time-based vesting that would have vested in the one year period following such termination. The foregoing severance benefits are conditioned upon Mr. Tamboli’s execution of a separation agreement, including a release of claims and compliance with certain restrictive covenants. In the event of a qualifying termination that occurs within the period the one year period following a change in control (as such term is defined the Tamboli Employment Agreement), Mr. Tamboli will be entitled to the foregoing benefits, except that the equity acceleration will be applied to 100% of Mr. Tamboli’s then-outstanding and unvested time-based equity awards and the salary and bonus amounts due will be paid in lump sum. In addition, if Mr. Tamboli remains employed on the date that is six months following a change in control, then any outstanding equity awards subject to time-based vesting shall become fully exercisable or nonforfeitable as of such date. In the aforementioned instances, the equity acceleration terms apply notwithstanding any contrary provisions included the applicable award agreement.</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 xml:space="preserve">Min Wang, J.D., Ph.D. </w:t>
      </w:r>
      <w:r>
        <w:rPr>
          <w:rFonts w:ascii="Arial" w:cs="Arial" w:eastAsia="Arial" w:hAnsi="Arial"/>
          <w:sz w:val="17"/>
          <w:szCs w:val="17"/>
          <w:color w:val="auto"/>
        </w:rPr>
        <w:t>On September 2, 2020, we entered into an offer letter with Dr. Wang for the position of Chief Operating Officer,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Wang Employment Agreement, pursuant to which Dr. Wang is entitled to a base salary of $435,000 and an annual target bonus equal to 37.5% of her base salary. Her salary is subject to periodic review at the discretion of the board of directors. Pursuant to the Wang Employment Agreement, Dr. Wang was eligible to receive a stock option award to purchase 1,458,203 shares of our common stock to be subject to time-based vesting, or the Wang Option. The stock option granted to Dr. Wang is further described below in the “Outstanding equity awards at 2020 fiscal year-end” table below. Dr. Wang was also entitled to a $25,000 sign-on bonus, subject to 100% repayment in the event she resigns for any reason other than Good Reason within the twelve (12) month period following her start date, or a Repayment Event.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40"/>
          </w:cols>
          <w:pgMar w:left="320" w:top="456"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Dr. Wang’s employment had no specified term and was terminable at will by either party. On February 6, 2021, and as revised February 11, 2021, Dr. Wang entered into a separation agreement that provided for a termination of employment effective February 12, 2021 and certain separation benefits in exchange for a release of claims, or the Separation Agreement. Pursuant to the terms of the Separation Agreement and subject to execution and non-revocation of a release of claims, Dr. Wang was entitled to accrued base salary, accelerated vesting of 136,706 shares of our common stock underlying the Wang Option and a reduction in the amount of sign-on bonus she was required to remit upon a Repayment Event from $25,000 to $15,625. The remaining outstanding portion of the Wang Option was not vested as of the date of her termination of employment and was terminated and cancelled for no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Outstanding equity awards at 2020 fiscal year-end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outstanding equity awards held by our named executive officers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Option award</w:t>
            </w:r>
          </w:p>
        </w:tc>
        <w:tc>
          <w:tcPr>
            <w:tcW w:w="1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Stock awards</w:t>
            </w:r>
          </w:p>
        </w:tc>
        <w:tc>
          <w:tcPr>
            <w:tcW w:w="0" w:type="dxa"/>
            <w:vAlign w:val="bottom"/>
          </w:tcPr>
          <w:p>
            <w:pPr>
              <w:spacing w:after="0"/>
              <w:rPr>
                <w:sz w:val="1"/>
                <w:szCs w:val="1"/>
                <w:color w:val="auto"/>
              </w:rPr>
            </w:pPr>
          </w:p>
        </w:tc>
      </w:tr>
      <w:tr>
        <w:trPr>
          <w:trHeight w:val="175"/>
        </w:trPr>
        <w:tc>
          <w:tcPr>
            <w:tcW w:w="24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7"/>
                <w:szCs w:val="17"/>
                <w:b w:val="1"/>
                <w:bCs w:val="1"/>
                <w:color w:val="auto"/>
              </w:rPr>
              <w:t>Number</w:t>
            </w:r>
          </w:p>
        </w:tc>
        <w:tc>
          <w:tcPr>
            <w:tcW w:w="11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Market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gridSpan w:val="2"/>
          </w:tcPr>
          <w:p>
            <w:pPr>
              <w:jc w:val="right"/>
              <w:ind w:right="40"/>
              <w:spacing w:after="0" w:line="187" w:lineRule="exact"/>
              <w:rPr>
                <w:sz w:val="20"/>
                <w:szCs w:val="20"/>
                <w:color w:val="auto"/>
              </w:rPr>
            </w:pPr>
            <w:r>
              <w:rPr>
                <w:rFonts w:ascii="Arial" w:cs="Arial" w:eastAsia="Arial" w:hAnsi="Arial"/>
                <w:sz w:val="17"/>
                <w:szCs w:val="17"/>
                <w:b w:val="1"/>
                <w:bCs w:val="1"/>
                <w:color w:val="auto"/>
              </w:rPr>
              <w:t>value of</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300" w:type="dxa"/>
            <w:vAlign w:val="bottom"/>
          </w:tcPr>
          <w:p>
            <w:pPr>
              <w:jc w:val="right"/>
              <w:ind w:right="113"/>
              <w:spacing w:after="0"/>
              <w:rPr>
                <w:sz w:val="20"/>
                <w:szCs w:val="20"/>
                <w:color w:val="auto"/>
              </w:rPr>
            </w:pPr>
            <w:r>
              <w:rPr>
                <w:rFonts w:ascii="Arial" w:cs="Arial" w:eastAsia="Arial" w:hAnsi="Arial"/>
                <w:sz w:val="17"/>
                <w:szCs w:val="17"/>
                <w:b w:val="1"/>
                <w:bCs w:val="1"/>
                <w:color w:val="auto"/>
              </w:rPr>
              <w:t>Number of</w:t>
            </w:r>
          </w:p>
        </w:tc>
        <w:tc>
          <w:tcPr>
            <w:tcW w:w="1780" w:type="dxa"/>
            <w:vAlign w:val="bottom"/>
          </w:tcPr>
          <w:p>
            <w:pPr>
              <w:jc w:val="right"/>
              <w:ind w:right="333"/>
              <w:spacing w:after="0"/>
              <w:rPr>
                <w:sz w:val="20"/>
                <w:szCs w:val="20"/>
                <w:color w:val="auto"/>
              </w:rPr>
            </w:pPr>
            <w:r>
              <w:rPr>
                <w:rFonts w:ascii="Arial" w:cs="Arial" w:eastAsia="Arial" w:hAnsi="Arial"/>
                <w:sz w:val="17"/>
                <w:szCs w:val="17"/>
                <w:b w:val="1"/>
                <w:bCs w:val="1"/>
                <w:color w:val="auto"/>
              </w:rPr>
              <w:t>Number of</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Arial" w:cs="Arial" w:eastAsia="Arial" w:hAnsi="Arial"/>
                <w:sz w:val="17"/>
                <w:szCs w:val="17"/>
                <w:b w:val="1"/>
                <w:bCs w:val="1"/>
                <w:color w:val="auto"/>
              </w:rPr>
              <w:t>of</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shares or</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300" w:type="dxa"/>
            <w:vAlign w:val="bottom"/>
          </w:tcPr>
          <w:p>
            <w:pPr>
              <w:jc w:val="right"/>
              <w:ind w:right="113"/>
              <w:spacing w:after="0"/>
              <w:rPr>
                <w:sz w:val="20"/>
                <w:szCs w:val="20"/>
                <w:color w:val="auto"/>
              </w:rPr>
            </w:pPr>
            <w:r>
              <w:rPr>
                <w:rFonts w:ascii="Arial" w:cs="Arial" w:eastAsia="Arial" w:hAnsi="Arial"/>
                <w:sz w:val="17"/>
                <w:szCs w:val="17"/>
                <w:b w:val="1"/>
                <w:bCs w:val="1"/>
                <w:color w:val="auto"/>
              </w:rPr>
              <w:t>securities</w:t>
            </w:r>
          </w:p>
        </w:tc>
        <w:tc>
          <w:tcPr>
            <w:tcW w:w="1780" w:type="dxa"/>
            <w:vAlign w:val="bottom"/>
          </w:tcPr>
          <w:p>
            <w:pPr>
              <w:jc w:val="right"/>
              <w:ind w:right="333"/>
              <w:spacing w:after="0"/>
              <w:rPr>
                <w:sz w:val="20"/>
                <w:szCs w:val="20"/>
                <w:color w:val="auto"/>
              </w:rPr>
            </w:pPr>
            <w:r>
              <w:rPr>
                <w:rFonts w:ascii="Arial" w:cs="Arial" w:eastAsia="Arial" w:hAnsi="Arial"/>
                <w:sz w:val="17"/>
                <w:szCs w:val="17"/>
                <w:b w:val="1"/>
                <w:bCs w:val="1"/>
                <w:color w:val="auto"/>
              </w:rPr>
              <w:t>securities</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93"/>
              <w:spacing w:after="0"/>
              <w:rPr>
                <w:sz w:val="20"/>
                <w:szCs w:val="20"/>
                <w:color w:val="auto"/>
              </w:rPr>
            </w:pPr>
            <w:r>
              <w:rPr>
                <w:rFonts w:ascii="Arial" w:cs="Arial" w:eastAsia="Arial" w:hAnsi="Arial"/>
                <w:sz w:val="17"/>
                <w:szCs w:val="17"/>
                <w:b w:val="1"/>
                <w:bCs w:val="1"/>
                <w:color w:val="auto"/>
              </w:rPr>
              <w:t>shares or</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units of</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300" w:type="dxa"/>
            <w:vAlign w:val="bottom"/>
          </w:tcPr>
          <w:p>
            <w:pPr>
              <w:jc w:val="right"/>
              <w:ind w:right="113"/>
              <w:spacing w:after="0"/>
              <w:rPr>
                <w:sz w:val="20"/>
                <w:szCs w:val="20"/>
                <w:color w:val="auto"/>
              </w:rPr>
            </w:pPr>
            <w:r>
              <w:rPr>
                <w:rFonts w:ascii="Arial" w:cs="Arial" w:eastAsia="Arial" w:hAnsi="Arial"/>
                <w:sz w:val="17"/>
                <w:szCs w:val="17"/>
                <w:b w:val="1"/>
                <w:bCs w:val="1"/>
                <w:color w:val="auto"/>
              </w:rPr>
              <w:t>underlying</w:t>
            </w:r>
          </w:p>
        </w:tc>
        <w:tc>
          <w:tcPr>
            <w:tcW w:w="1780" w:type="dxa"/>
            <w:vAlign w:val="bottom"/>
          </w:tcPr>
          <w:p>
            <w:pPr>
              <w:jc w:val="right"/>
              <w:ind w:right="333"/>
              <w:spacing w:after="0"/>
              <w:rPr>
                <w:sz w:val="20"/>
                <w:szCs w:val="20"/>
                <w:color w:val="auto"/>
              </w:rPr>
            </w:pPr>
            <w:r>
              <w:rPr>
                <w:rFonts w:ascii="Arial" w:cs="Arial" w:eastAsia="Arial" w:hAnsi="Arial"/>
                <w:sz w:val="17"/>
                <w:szCs w:val="17"/>
                <w:b w:val="1"/>
                <w:bCs w:val="1"/>
                <w:color w:val="auto"/>
              </w:rPr>
              <w:t>underlying</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Arial" w:cs="Arial" w:eastAsia="Arial" w:hAnsi="Arial"/>
                <w:sz w:val="17"/>
                <w:szCs w:val="17"/>
                <w:b w:val="1"/>
                <w:bCs w:val="1"/>
                <w:color w:val="auto"/>
              </w:rPr>
              <w:t>units of</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stock that</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300" w:type="dxa"/>
            <w:vAlign w:val="bottom"/>
          </w:tcPr>
          <w:p>
            <w:pPr>
              <w:jc w:val="right"/>
              <w:ind w:right="113"/>
              <w:spacing w:after="0"/>
              <w:rPr>
                <w:sz w:val="20"/>
                <w:szCs w:val="20"/>
                <w:color w:val="auto"/>
              </w:rPr>
            </w:pPr>
            <w:r>
              <w:rPr>
                <w:rFonts w:ascii="Arial" w:cs="Arial" w:eastAsia="Arial" w:hAnsi="Arial"/>
                <w:sz w:val="17"/>
                <w:szCs w:val="17"/>
                <w:b w:val="1"/>
                <w:bCs w:val="1"/>
                <w:color w:val="auto"/>
              </w:rPr>
              <w:t>unexercised</w:t>
            </w:r>
          </w:p>
        </w:tc>
        <w:tc>
          <w:tcPr>
            <w:tcW w:w="1780" w:type="dxa"/>
            <w:vAlign w:val="bottom"/>
          </w:tcPr>
          <w:p>
            <w:pPr>
              <w:jc w:val="right"/>
              <w:ind w:right="333"/>
              <w:spacing w:after="0"/>
              <w:rPr>
                <w:sz w:val="20"/>
                <w:szCs w:val="20"/>
                <w:color w:val="auto"/>
              </w:rPr>
            </w:pPr>
            <w:r>
              <w:rPr>
                <w:rFonts w:ascii="Arial" w:cs="Arial" w:eastAsia="Arial" w:hAnsi="Arial"/>
                <w:sz w:val="17"/>
                <w:szCs w:val="17"/>
                <w:b w:val="1"/>
                <w:bCs w:val="1"/>
                <w:color w:val="auto"/>
              </w:rPr>
              <w:t>unexercised</w:t>
            </w: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Option</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Option</w:t>
            </w:r>
          </w:p>
        </w:tc>
        <w:tc>
          <w:tcPr>
            <w:tcW w:w="1100" w:type="dxa"/>
            <w:vAlign w:val="bottom"/>
          </w:tcPr>
          <w:p>
            <w:pPr>
              <w:jc w:val="right"/>
              <w:ind w:right="173"/>
              <w:spacing w:after="0"/>
              <w:rPr>
                <w:sz w:val="20"/>
                <w:szCs w:val="20"/>
                <w:color w:val="auto"/>
              </w:rPr>
            </w:pPr>
            <w:r>
              <w:rPr>
                <w:rFonts w:ascii="Arial" w:cs="Arial" w:eastAsia="Arial" w:hAnsi="Arial"/>
                <w:sz w:val="17"/>
                <w:szCs w:val="17"/>
                <w:b w:val="1"/>
                <w:bCs w:val="1"/>
                <w:color w:val="auto"/>
              </w:rPr>
              <w:t>stock that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have not</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300" w:type="dxa"/>
            <w:vAlign w:val="bottom"/>
          </w:tcPr>
          <w:p>
            <w:pPr>
              <w:jc w:val="right"/>
              <w:ind w:right="113"/>
              <w:spacing w:after="0"/>
              <w:rPr>
                <w:sz w:val="20"/>
                <w:szCs w:val="20"/>
                <w:color w:val="auto"/>
              </w:rPr>
            </w:pPr>
            <w:r>
              <w:rPr>
                <w:rFonts w:ascii="Arial" w:cs="Arial" w:eastAsia="Arial" w:hAnsi="Arial"/>
                <w:sz w:val="17"/>
                <w:szCs w:val="17"/>
                <w:b w:val="1"/>
                <w:bCs w:val="1"/>
                <w:color w:val="auto"/>
              </w:rPr>
              <w:t>options (#)</w:t>
            </w:r>
          </w:p>
        </w:tc>
        <w:tc>
          <w:tcPr>
            <w:tcW w:w="1780" w:type="dxa"/>
            <w:vAlign w:val="bottom"/>
          </w:tcPr>
          <w:p>
            <w:pPr>
              <w:jc w:val="right"/>
              <w:ind w:right="333"/>
              <w:spacing w:after="0"/>
              <w:rPr>
                <w:sz w:val="20"/>
                <w:szCs w:val="20"/>
                <w:color w:val="auto"/>
              </w:rPr>
            </w:pPr>
            <w:r>
              <w:rPr>
                <w:rFonts w:ascii="Arial" w:cs="Arial" w:eastAsia="Arial" w:hAnsi="Arial"/>
                <w:sz w:val="17"/>
                <w:szCs w:val="17"/>
                <w:b w:val="1"/>
                <w:bCs w:val="1"/>
                <w:color w:val="auto"/>
              </w:rPr>
              <w:t>options (#)</w:t>
            </w: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exercise</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expiration</w:t>
            </w:r>
          </w:p>
        </w:tc>
        <w:tc>
          <w:tcPr>
            <w:tcW w:w="1100" w:type="dxa"/>
            <w:vAlign w:val="bottom"/>
          </w:tcPr>
          <w:p>
            <w:pPr>
              <w:jc w:val="right"/>
              <w:ind w:right="173"/>
              <w:spacing w:after="0"/>
              <w:rPr>
                <w:sz w:val="20"/>
                <w:szCs w:val="20"/>
                <w:color w:val="auto"/>
              </w:rPr>
            </w:pPr>
            <w:r>
              <w:rPr>
                <w:rFonts w:ascii="Arial" w:cs="Arial" w:eastAsia="Arial" w:hAnsi="Arial"/>
                <w:sz w:val="17"/>
                <w:szCs w:val="17"/>
                <w:b w:val="1"/>
                <w:bCs w:val="1"/>
                <w:color w:val="auto"/>
              </w:rPr>
              <w:t>have not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vested ($)</w:t>
            </w:r>
          </w:p>
        </w:tc>
        <w:tc>
          <w:tcPr>
            <w:tcW w:w="0" w:type="dxa"/>
            <w:vAlign w:val="bottom"/>
          </w:tcPr>
          <w:p>
            <w:pPr>
              <w:spacing w:after="0"/>
              <w:rPr>
                <w:sz w:val="1"/>
                <w:szCs w:val="1"/>
                <w:color w:val="auto"/>
              </w:rPr>
            </w:pPr>
          </w:p>
        </w:tc>
      </w:tr>
      <w:tr>
        <w:trPr>
          <w:trHeight w:val="233"/>
        </w:trPr>
        <w:tc>
          <w:tcPr>
            <w:tcW w:w="2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exercisable</w:t>
            </w: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unexercisable</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price ($)</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date</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vested (#)</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Markus Warmuth</w:t>
            </w:r>
          </w:p>
        </w:tc>
        <w:tc>
          <w:tcPr>
            <w:tcW w:w="230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2,777,644(1)</w:t>
            </w:r>
          </w:p>
        </w:tc>
        <w:tc>
          <w:tcPr>
            <w:tcW w:w="100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0.62</w:t>
            </w: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12/04/2030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1,011,030(4)</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20"/>
                <w:szCs w:val="20"/>
                <w:color w:val="auto"/>
              </w:rPr>
            </w:pPr>
            <w:r>
              <w:rPr>
                <w:rFonts w:ascii="Arial" w:cs="Arial" w:eastAsia="Arial" w:hAnsi="Arial"/>
                <w:sz w:val="17"/>
                <w:szCs w:val="17"/>
                <w:color w:val="auto"/>
              </w:rPr>
              <w:t>Ajim Tamboli</w:t>
            </w:r>
          </w:p>
        </w:tc>
        <w:tc>
          <w:tcPr>
            <w:tcW w:w="23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13"/>
              <w:spacing w:after="0"/>
              <w:rPr>
                <w:sz w:val="20"/>
                <w:szCs w:val="20"/>
                <w:color w:val="auto"/>
              </w:rPr>
            </w:pPr>
            <w:r>
              <w:rPr>
                <w:rFonts w:ascii="Arial" w:cs="Arial" w:eastAsia="Arial" w:hAnsi="Arial"/>
                <w:sz w:val="17"/>
                <w:szCs w:val="17"/>
                <w:color w:val="auto"/>
              </w:rPr>
              <w:t>1,215,169(2)</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0.62</w:t>
            </w:r>
          </w:p>
        </w:tc>
        <w:tc>
          <w:tcPr>
            <w:tcW w:w="1220" w:type="dxa"/>
            <w:vAlign w:val="bottom"/>
          </w:tcPr>
          <w:p>
            <w:pPr>
              <w:jc w:val="right"/>
              <w:spacing w:after="0"/>
              <w:rPr>
                <w:sz w:val="20"/>
                <w:szCs w:val="20"/>
                <w:color w:val="auto"/>
              </w:rPr>
            </w:pPr>
            <w:r>
              <w:rPr>
                <w:rFonts w:ascii="Arial" w:cs="Arial" w:eastAsia="Arial" w:hAnsi="Arial"/>
                <w:sz w:val="17"/>
                <w:szCs w:val="17"/>
                <w:color w:val="auto"/>
              </w:rPr>
              <w:t>12/04/2030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Min Wang</w:t>
            </w:r>
          </w:p>
        </w:tc>
        <w:tc>
          <w:tcPr>
            <w:tcW w:w="2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1,458,203(3)</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0.62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12/04/2030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320" w:right="20" w:hanging="313"/>
        <w:spacing w:after="0"/>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Subject to the executive’s continuous service, the shares subject to this option vest 25% on December 4, 2021 and in 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increments monthly thereafter. In the event the executive’s employment is terminated without cause or he or she resigns for good reason, this award shall accelerate and vest as if he had provided an additional 12 months of service. In the event a change in control occurs and subject to executive’s continuous service, on the earlier of (i) the 6 month anniversary of such change in control or (ii) the date the Company terminates his employment without cause or he resigns for good reason, 100% of the then-outstanding unvested shares underlying this option will immediately accelerate, vest and become exercisable.</w:t>
      </w:r>
    </w:p>
    <w:p>
      <w:pPr>
        <w:spacing w:after="0" w:line="120" w:lineRule="exact"/>
        <w:rPr>
          <w:rFonts w:ascii="Arial" w:cs="Arial" w:eastAsia="Arial" w:hAnsi="Arial"/>
          <w:sz w:val="13"/>
          <w:szCs w:val="13"/>
          <w:color w:val="auto"/>
        </w:rPr>
      </w:pPr>
    </w:p>
    <w:p>
      <w:pPr>
        <w:jc w:val="both"/>
        <w:ind w:left="320" w:hanging="313"/>
        <w:spacing w:after="0" w:line="242" w:lineRule="auto"/>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Subject to the executive’s continuous service, the shares subject to this option vest 25% on September 28, 2021 and in 36 equal monthly installments thereafter. installments thereafter. In the event the executive’s employment is terminated without cause or he resigns for good reason, this award shall accelerate and vest as if he had provided an additional 12 months of service. Subject to the executive’s continuous service following a change in control, on the 6 month anniversary of such change in control 100% of the then-outstanding unvested shares underlying this option will immediately accelerate, vest and become exercisable.</w:t>
      </w:r>
    </w:p>
    <w:p>
      <w:pPr>
        <w:spacing w:after="0" w:line="52" w:lineRule="exact"/>
        <w:rPr>
          <w:rFonts w:ascii="Arial" w:cs="Arial" w:eastAsia="Arial" w:hAnsi="Arial"/>
          <w:sz w:val="13"/>
          <w:szCs w:val="13"/>
          <w:color w:val="auto"/>
        </w:rPr>
      </w:pPr>
    </w:p>
    <w:p>
      <w:pPr>
        <w:ind w:left="320" w:right="340" w:hanging="313"/>
        <w:spacing w:after="0" w:line="242" w:lineRule="auto"/>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Subject to the executive’s continuous service, the shares subject to this option vest 25% on September 14, 2021 and in 36 equal monthly installments thereafter. In the event the executive’s employment is terminated without cause or she resigns for good reason, this award shall accelerate and vest as if she had provided an additional 12 months of service. Subject to the executive’s continuous service following a change in control, on the 6 month anniversary of such change in control 100% of the then-outstanding unvested shares underlying this option will immediately accelerate, vest and become exercisable.</w:t>
      </w:r>
    </w:p>
    <w:p>
      <w:pPr>
        <w:spacing w:after="0" w:line="52" w:lineRule="exact"/>
        <w:rPr>
          <w:rFonts w:ascii="Arial" w:cs="Arial" w:eastAsia="Arial" w:hAnsi="Arial"/>
          <w:sz w:val="13"/>
          <w:szCs w:val="13"/>
          <w:color w:val="auto"/>
        </w:rPr>
      </w:pPr>
    </w:p>
    <w:p>
      <w:pPr>
        <w:jc w:val="both"/>
        <w:ind w:left="320" w:right="200" w:hanging="313"/>
        <w:spacing w:after="0" w:line="245" w:lineRule="auto"/>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Reflects a restricted stock grant that vested 25% on September 1, 2020 and in 36 equal monthly installments thereafter, subject to Dr. Warmuth’s continuous service. In the event Dr. Warmuth’s employment is terminated without cause or he resigns for good reason, these shares shall accelerate and vest as if he had provided an additional 12 months of service. In the event such termination occurs within 3 months prior to or 12 months following a change in control, 100% of the then-outstanding shares will immediately accelerate and vest.</w:t>
      </w:r>
    </w:p>
    <w:p>
      <w:pPr>
        <w:spacing w:after="0" w:line="50" w:lineRule="exact"/>
        <w:rPr>
          <w:rFonts w:ascii="Arial" w:cs="Arial" w:eastAsia="Arial" w:hAnsi="Arial"/>
          <w:sz w:val="13"/>
          <w:szCs w:val="13"/>
          <w:color w:val="auto"/>
        </w:rPr>
      </w:pPr>
    </w:p>
    <w:p>
      <w:pPr>
        <w:ind w:left="320" w:hanging="313"/>
        <w:spacing w:after="0"/>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Calculated based on $per share, which is the midpoint of the estimated price range set forth on the cover page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grants in connection with our initial public offering</w:t>
      </w:r>
    </w:p>
    <w:p>
      <w:pPr>
        <w:spacing w:after="0" w:line="14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Our board of directors approved stock option grants to certain employees, including our named executive officers, in May 2021 that will be effective upon our initial public offering. The stock options will be granted under our 2021 Stock Option and Incentive Plan and have an exercise price equal to the “Price to the Public” (or equivalent) set forth on the cover page of the final prospectus included in this registration statement, which will be the fair market value of a share of the Company’s common stock on the grant date of the options.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40"/>
          </w:cols>
          <w:pgMar w:left="320" w:top="456"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options will vest and become exercisable as follows: 25% of the shares subject to each stock option shall vest on the first anniversary of the vesting commencement date and the remaining 75% of the shares subject to each stock option shall vest in 36 equal monthly installments thereafter, subject to the named executive officer’s continued service to us through each applicable vesting date. We granted options to purchase an aggregate of 1,100,000 shares of common stock to our named executive officers, with Dr. Warmuth, Dr. Wallace and Dr. Janku being granted options to purchase 500,000, 400,000 and 200,000 shares of our common stock,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benefit and equity compensation plans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Grant Plan</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2020 Plan was approved by our board of directors and stockholders in April 2020, and amended by our board of directors and stockholders in September 2020. Under the 2020 Plan, we have reserved for issuance an aggregate of 13,111,444 shares of our common stock. The number of shares of common stock reserved for issuance is subject to adjustment in the event of any merger, consolidation, sale of all or substantially all of our assets, reorganization, recapitalization, reclassification, stock split, stock dividend, reverse stock split or other similar transaction.</w:t>
      </w:r>
    </w:p>
    <w:p>
      <w:pPr>
        <w:spacing w:after="0" w:line="9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currently added back to the shares of common stock available for issuance under the 2020 Plan. Upon completion of this offering, such shares will be added to the shares of common stock available under the 2021 Plan.</w:t>
      </w:r>
    </w:p>
    <w:p>
      <w:pPr>
        <w:spacing w:after="0" w:line="9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board of directors has acted as administrator of the 2020 Plan. The administrator has full power to select, from among the individuals eligible for awards, the individuals to whom awards will be granted, and to determine the specific terms and conditions of each award, subject to the provisions of the 2020 Plan. Persons eligible to participate in the 2020 Plan are those employees, officers and directors of, and consultants and advisors to, our company as selected from time to time by the administrator in its discretion.</w:t>
      </w:r>
    </w:p>
    <w:p>
      <w:pPr>
        <w:spacing w:after="0" w:line="9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2020 Plan permits the granting of (i) options to purchase common stock intended to qualify as incentive stock options under Section 422 of the Internal Revenue Code of 1986, as amended, or the Code, and (ii) options that do not so qualify. The per share exercise price of each option is determined by the administrator but may not be less than 100% of the fair market value of the common stock on the date of grant. The term of each option is fixed by the administrator but may not exceed 10 years from the date of grant. The administrator determines at what time or times each option may be exercised. In addition, the 2020 Plan permits the granting of restricted shares of common stock, unrestricted shares of common stock, and restricted stock units.</w:t>
      </w:r>
    </w:p>
    <w:p>
      <w:pPr>
        <w:spacing w:after="0" w:line="9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2020 Plan provides that upon the occurrence of a “sale event,” as defined in the 2020 Plan, all outstanding stock options will terminate at the effective time of such sale event, unless the parties to the sale event agree that such awards will be assumed or continued by the successor entity. In the event of a termination of the 2020 Plan and all options issued thereunder in connection with a sale event, optionees will be provided an opportunity to exercise options that are then exercisable or will become exercisable as of the effective time of the sale event within a specified period of time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00"/>
          </w:cols>
          <w:pgMar w:left="320" w:top="456"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92"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Additionally, the 2020 Plan provides for certain drag along rights pursuant to which grantees may be obligated to, on the request of the Company or the accepting requisite holder, sell, transfer and deliver, or cause to be sold, transferred and delivered, to a buyer, their shares in the event the Company or the accepting requisite holder determine to enter into a sale event with a buyer.</w:t>
      </w:r>
    </w:p>
    <w:p>
      <w:pPr>
        <w:spacing w:after="0" w:line="88"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auto"/>
        </w:rPr>
        <w:t>The board of directors may amend or discontinue the 2020 Plan at any time, subject to stockholder approval where such approval is required by applicable law. The administrator of the 2020 Plan may also amend or cancel any outstanding award, provided that no amendment to an award may adversely affect a participant’s rights without his or her consent. The administrator of the 2020 Plan is specifically authorized to exercise its discretion to reduce the exercise price of outstanding stock options or effect the repricing of such awards through cancellation and re-grants.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2020 Plan will automatically terminate upon the earlier of 10 years from the date on which the 2020 Plan was initially adopted by our board of directors or 10 years from the date the 2020 Plan was initially approved by our stockholders. As of March 31, 2021, options to purchase 4,074,852 shares of common stock were outstanding under the 2020 Plan. Our board of directors has determined not to make any further awards under the 2020 Plan following the closing of this offering.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Stock Option and Incentive Plan</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2021 Plan was adopted by our board of directors on May 28, 2021, approved by our stockholders on , 2021 and will become effective upon the date immediately preceding the date on which the registration statement of which this prospectus is part is declared effective by the SEC. The 2021 Plan will replace the 2020 Plan as our board of directors has determined not to make additional awards under the 2020 Plan following the closing of our initial public offering. However, the 2020 Plan will continue to govern outstanding equity awards granted thereunder. The 2021 Plan allows us to make equity-based and cash-based incentive awards to our officers, employees, directors and consultants.</w:t>
      </w:r>
    </w:p>
    <w:p>
      <w:pPr>
        <w:spacing w:after="0" w:line="92"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have initially reserved shares of our common stock for the issuance of awards under the 2021 Plan, or the Initial Limit. The 2021 Plan provides that the number of shares reserved and available for issuance under the 2021 Plan will automatically increase on January 1, 2022</w:t>
      </w:r>
    </w:p>
    <w:p>
      <w:pPr>
        <w:ind w:right="400"/>
        <w:spacing w:after="0" w:line="254" w:lineRule="auto"/>
        <w:rPr>
          <w:sz w:val="20"/>
          <w:szCs w:val="20"/>
          <w:color w:val="auto"/>
        </w:rPr>
      </w:pPr>
      <w:r>
        <w:rPr>
          <w:rFonts w:ascii="Arial" w:cs="Arial" w:eastAsia="Arial" w:hAnsi="Arial"/>
          <w:sz w:val="17"/>
          <w:szCs w:val="17"/>
          <w:color w:val="auto"/>
        </w:rPr>
        <w:t>and each January 1 thereafter, by 5% of the outstanding number of shares of our common stock on the immediately preceding December 31 or such lesser number of shares as determined by our compensation, nomination and corporate governance committee, or the Annual Increase. These limits are subject to adjustment in the event of a stock split, stock dividend or other change in our capitalization.</w:t>
      </w:r>
    </w:p>
    <w:p>
      <w:pPr>
        <w:spacing w:after="0" w:line="8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shares we issue under the 2021 Plan will be authorized but unissued shares or shares that we reacquire. The shares of common stock underlying any awards under the 2021 Plan and the 2020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2021 Plan (provided that any such shares of common stock will first be converted into shares of common stock).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20"/>
          </w:cols>
          <w:pgMar w:left="320" w:top="456"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The maximum number of shares of common stock that may be issued in the form of incentive stock options shall not exceed the Initial Limit, cumulatively increased on January 1, 2022 and on each January 1 thereafter by the lesser of the Annual Increase for such year or shares of common stock.</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grant date fair value of all awards made under our 2021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the board of directors.</w:t>
      </w:r>
    </w:p>
    <w:p>
      <w:pPr>
        <w:spacing w:after="0" w:line="8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2021 Plan will be administered by our compensation, nomination and corporate governance committee. Our compensation, nomination and corporate governance committee has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2021 Plan. Persons eligible to participate in the 2021 Plan will be those full or part-time officers, employees, non-employee directors and consultants as selected from time to time by our compensation, nomination and corporate governance committee in its discretion.</w:t>
      </w:r>
    </w:p>
    <w:p>
      <w:pPr>
        <w:spacing w:after="0" w:line="9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2021 Plan permits the granting of both options to purchase common stock intended to qualify as incentive stock options under Section 422 of the Code, and options that do not so qualify. The option exercise price of each option will be determined by our compensation, nomination and corporate governance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nomination and corporate governance committee and may not exceed 10 years from the date of grant. Our compensation, nomination and corporate governance committee will determine at what time or times each option may be exercised.</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compensation, nomination and corporate governance committee may award stock appreciation rights under the 2021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The term of each stock appreciation right will be fixed by our compensation, nomination and corporate governance committee and may not exceed 10 years from the date of grant. Our compensation, nomination and corporate governance committee will determine at what time or times each stock appreciation right may be exercised.</w:t>
      </w:r>
    </w:p>
    <w:p>
      <w:pPr>
        <w:spacing w:after="0" w:line="9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compensation, nomination and corporate governance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nomination and corporate governance committee may also grant shares of common stock that are free from any restrictions under the 2021 Plan. Unrestricted stock may be granted to participants in recognition of past services or for other valid consideration and may be issued in lieu of cash compensation due to such participant.</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compensation, nomination and corporate governance committee may grant dividend equivalent rights to participants that entitle the recipient to receive credits for dividends that would be paid if the recipient had held a specified number of shares of common stock.</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compensation, nomination and corporate governance committee may grant cash bonuses under the 2021 Plan to participants, subject to the achievement of certain performance goals.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456"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2021 Plan provides that upon the effectiveness of a “sale event,” as defined in the 2021 Plan, an acquirer or successor entity may assume, continue or substitute for the outstanding awards under the 2021 Plan. To the extent that awards granted under the 2021 Plan are not assumed or continued or substituted for by the successor entity, upon the effective time of the sale event, such awards shall terminate. In such case, except as may be otherwise provided in the relevant award certificate, all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individuals holding options and stock appreciation rights will be permitted to exercise such options and stock appreciation rights (to the extent exercisable) within a specified period of time prior to the sale event. In addition, in connection with the termination of the 2021 Plan upon a sale event,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and we may make or provide for a payment, in cash or in kind, to participants holding other vested awards.</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board of directors may amend or discontinue the 2021 Plan and our compensation, nomination and corporate governance committee may amend or cancel outstanding awards for purposes of satisfying changes in law or any other lawful purpose, but no such action may adversely affect rights under an award without the holder’s consent. Certain amendments to the 2021 Plan require the approval of our stockholders. The administrator of the 2021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2021 Plan after the date that is 10 years from the effective date of the 2021 Plan. No awards under the 2021 Plan have been made prior to the date of this prospectus.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Our Employee Stock Purchase Plan, or the ESPP, was adopted by our board of directors on May 28, 2021, approved by our stockholders</w:t>
      </w:r>
    </w:p>
    <w:p>
      <w:pPr>
        <w:spacing w:after="0" w:line="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2021 and will become effective on the date immediately preceding the date on which the registration statement of which this prospectus forms a part is declared effective by the SEC. The ESPP is comprised of two components, one of which is intended to qualify as an “employee stock purchase plan” within the meaning of Section 423 of the Code and one of which does not qualify. Under the non-Section 423 component of the ESPP, options will be options will be granted pursuant to rules, procedures or sub-plans designed to achieve tax, securities laws or other objectives for eligible employees. The non-Section 423 component of the ESPP will generally operate and be administered in the same</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manner as the Section 423 component of the ESPP. The ESPP initially reserves and authorizes the issuance of up to a total of shares of our common stock to participating employees. The ESPP provides that the number of shares reserved and available for issuance will automatically increase on January 1, 2022 and each January 1 thereafter through January 1, 2031, by the least of (i) shares of our</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common stock, (ii) 1% of the outstanding number of shares of common stock on the immediately preceding December 31, 2020 or (iii) such lesser number of shares of common stock as determined by the plan administrator of the ESPP. The number of shares reserved under the ESPP is subject to adjustment in the event of a stock split, stock dividend or other change in our capitalization.</w:t>
      </w:r>
    </w:p>
    <w:p>
      <w:pPr>
        <w:spacing w:after="0" w:line="88"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All employees who are customarily employed by us or one of our designated subsidiaries for more than 20 hours per week and who we have employed for at least 15 days or such other such period of service not exceeding two years prior to the applicable offering date as the plan administrator may require are eligible to participate in the ESPP. However, any employee who owns 5% or more of the total combined voting power or value of all classes of our stock will not be eligible to purchase shares of our common stock under the ESPP.</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456"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may make one or more offerings each year to our employees to purchase shares under the ESPP. The ESPP administrator will determine when offerings will commence and their duration, provided that no offering will exceed 27 months. Each offering may be comprised of one or more purchase periods. Each eligible employee may elect to participate in any offering by submitting an enrollment form at least 15 business days before the applicable offering date.</w:t>
      </w:r>
    </w:p>
    <w:p>
      <w:pPr>
        <w:spacing w:after="0" w:line="9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Each employee who is a participant in the ESPP may purchase shares of our common stock by authorizing payroll deductions of up to 15% 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of the fair market value of the shares of our common stock on the first business day of the applicable offering period or the last business day of the applicable purchase period, whichever is lower, provided that no more $25,000 worth of common stock (or such other lesser maximum number of shares as may be established by the administrator) may be purchased by any one employee during any offering period. Under applicable tax rules, an employee may purchase no more than $25,000 worth of shares of our common stock, valued at the start of the purchase period, under the ESPP in any calendar year.</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80"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13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Commencing in 2021, we maintain a tax-qualified retirement plan that provides all regular U.S. employees with an opportunity to save for retirement on a tax-advantaged basis. Under our 401(k) plan, participants may elect to defer a portion of their compensation on a pre-tax basis or after tax (Roth) basis subject to applicable annual limits under the Code. Pre-tax contributions are allocated to each participant’s individual account and are then invested in selected investment alternatives according to the participants’ directions. Employee elective deferrals are 100% vested at all times. As a U.S. tax-qualified retirement plan, contributions to the 401(k) plan and earnings on those contributions are not taxable to the employees until distributed from the 401(k) plan and all contributions are deductible by us when made and earnings on Roth contributions are not taxable when distributed from the 401(k) Plan. We make safe-harbor match contributions of 100% of the first 4% of each participant’s eligible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Nonqualified deferred compensation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fiscal year 2020.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benefits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Our named executive officers are eligible to participate in our employee benefit plans on the same basis as our other employees, including our health and welfare plans.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20"/>
          </w:cols>
          <w:pgMar w:left="320" w:top="456"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2020 Director compensation table</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following table presents the total compensation paid by the Company to members of our board of directors during the fiscal year ended December 31, 2020. Other than as set forth in the table and described more fully below, we did not pay any compensation, make any equity awards or non-equity awards to, or pay any other compensation to any of the members of our board of directors in 2020 for their services as members of the board of directors. Markus Warmuth, our Chief Executive Officer, does not receive any compensation from the Company for his service on our board of directors. See the section entitled “Executive compensation” for more information on the compensation paid to or earned by Dr. Warmuth as an employee for year ended December 31, 2020. The following table presents the total compensation for each person who served as a non-employee director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3359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80" w:type="dxa"/>
            <w:vAlign w:val="bottom"/>
          </w:tcPr>
          <w:p>
            <w:pPr>
              <w:spacing w:after="0"/>
              <w:rPr>
                <w:sz w:val="17"/>
                <w:szCs w:val="17"/>
                <w:color w:val="auto"/>
              </w:rPr>
            </w:pPr>
          </w:p>
        </w:tc>
        <w:tc>
          <w:tcPr>
            <w:tcW w:w="3800" w:type="dxa"/>
            <w:vAlign w:val="bottom"/>
          </w:tcPr>
          <w:p>
            <w:pPr>
              <w:jc w:val="right"/>
              <w:ind w:right="153"/>
              <w:spacing w:after="0"/>
              <w:rPr>
                <w:sz w:val="20"/>
                <w:szCs w:val="20"/>
                <w:color w:val="auto"/>
              </w:rPr>
            </w:pPr>
            <w:r>
              <w:rPr>
                <w:rFonts w:ascii="Arial" w:cs="Arial" w:eastAsia="Arial" w:hAnsi="Arial"/>
                <w:sz w:val="17"/>
                <w:szCs w:val="17"/>
                <w:b w:val="1"/>
                <w:bCs w:val="1"/>
                <w:color w:val="auto"/>
              </w:rPr>
              <w:t>Fees earned</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4880" w:type="dxa"/>
            <w:vAlign w:val="bottom"/>
          </w:tcPr>
          <w:p>
            <w:pPr>
              <w:spacing w:after="0"/>
              <w:rPr>
                <w:sz w:val="17"/>
                <w:szCs w:val="17"/>
                <w:color w:val="auto"/>
              </w:rPr>
            </w:pPr>
          </w:p>
        </w:tc>
        <w:tc>
          <w:tcPr>
            <w:tcW w:w="3800" w:type="dxa"/>
            <w:vAlign w:val="bottom"/>
          </w:tcPr>
          <w:p>
            <w:pPr>
              <w:jc w:val="right"/>
              <w:ind w:right="153"/>
              <w:spacing w:after="0"/>
              <w:rPr>
                <w:sz w:val="20"/>
                <w:szCs w:val="20"/>
                <w:color w:val="auto"/>
              </w:rPr>
            </w:pPr>
            <w:r>
              <w:rPr>
                <w:rFonts w:ascii="Arial" w:cs="Arial" w:eastAsia="Arial" w:hAnsi="Arial"/>
                <w:sz w:val="17"/>
                <w:szCs w:val="17"/>
                <w:b w:val="1"/>
                <w:bCs w:val="1"/>
                <w:color w:val="auto"/>
              </w:rPr>
              <w:t>or paid in</w:t>
            </w:r>
          </w:p>
        </w:tc>
        <w:tc>
          <w:tcPr>
            <w:tcW w:w="1720" w:type="dxa"/>
            <w:vAlign w:val="bottom"/>
          </w:tcPr>
          <w:p>
            <w:pPr>
              <w:jc w:val="right"/>
              <w:ind w:right="173"/>
              <w:spacing w:after="0"/>
              <w:rPr>
                <w:sz w:val="20"/>
                <w:szCs w:val="20"/>
                <w:color w:val="auto"/>
              </w:rPr>
            </w:pPr>
            <w:r>
              <w:rPr>
                <w:rFonts w:ascii="Arial" w:cs="Arial" w:eastAsia="Arial" w:hAnsi="Arial"/>
                <w:sz w:val="17"/>
                <w:szCs w:val="17"/>
                <w:b w:val="1"/>
                <w:bCs w:val="1"/>
                <w:color w:val="auto"/>
              </w:rPr>
              <w:t>Option awards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233"/>
        </w:trPr>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8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cash ($)(1)</w:t>
            </w:r>
          </w:p>
        </w:tc>
        <w:tc>
          <w:tcPr>
            <w:tcW w:w="17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($)(2)(3)</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w:t>
            </w:r>
          </w:p>
        </w:tc>
      </w:tr>
      <w:tr>
        <w:trPr>
          <w:trHeight w:val="194"/>
        </w:trPr>
        <w:tc>
          <w:tcPr>
            <w:tcW w:w="4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Ali Behbahani, M.D.</w:t>
            </w:r>
          </w:p>
        </w:tc>
        <w:tc>
          <w:tcPr>
            <w:tcW w:w="3800" w:type="dxa"/>
            <w:vAlign w:val="bottom"/>
            <w:shd w:val="clear" w:color="auto" w:fill="CCEEFF"/>
          </w:tcPr>
          <w:p>
            <w:pPr>
              <w:jc w:val="right"/>
              <w:ind w:right="253"/>
              <w:spacing w:after="0" w:line="194" w:lineRule="exact"/>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273"/>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Kimberly L. Blackwell, M.D.(4)</w:t>
            </w:r>
          </w:p>
        </w:tc>
        <w:tc>
          <w:tcPr>
            <w:tcW w:w="3800" w:type="dxa"/>
            <w:vAlign w:val="bottom"/>
          </w:tcPr>
          <w:p>
            <w:pPr>
              <w:jc w:val="right"/>
              <w:ind w:right="153"/>
              <w:spacing w:after="0"/>
              <w:rPr>
                <w:sz w:val="20"/>
                <w:szCs w:val="20"/>
                <w:color w:val="auto"/>
              </w:rPr>
            </w:pPr>
            <w:r>
              <w:rPr>
                <w:rFonts w:ascii="Arial" w:cs="Arial" w:eastAsia="Arial" w:hAnsi="Arial"/>
                <w:sz w:val="17"/>
                <w:szCs w:val="17"/>
                <w:color w:val="auto"/>
              </w:rPr>
              <w:t>8,750</w:t>
            </w:r>
          </w:p>
        </w:tc>
        <w:tc>
          <w:tcPr>
            <w:tcW w:w="1720" w:type="dxa"/>
            <w:vAlign w:val="bottom"/>
          </w:tcPr>
          <w:p>
            <w:pPr>
              <w:jc w:val="right"/>
              <w:ind w:right="173"/>
              <w:spacing w:after="0"/>
              <w:rPr>
                <w:sz w:val="20"/>
                <w:szCs w:val="20"/>
                <w:color w:val="auto"/>
              </w:rPr>
            </w:pPr>
            <w:r>
              <w:rPr>
                <w:rFonts w:ascii="Arial" w:cs="Arial" w:eastAsia="Arial" w:hAnsi="Arial"/>
                <w:sz w:val="17"/>
                <w:szCs w:val="17"/>
                <w:color w:val="auto"/>
              </w:rPr>
              <w:t>21,337</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30,087</w:t>
            </w:r>
          </w:p>
        </w:tc>
      </w:tr>
      <w:tr>
        <w:trPr>
          <w:trHeight w:val="20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Bradley J. Bolzon, Ph.D.</w:t>
            </w:r>
          </w:p>
        </w:tc>
        <w:tc>
          <w:tcPr>
            <w:tcW w:w="38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Chandra P. Leo. M.D.</w:t>
            </w:r>
          </w:p>
        </w:tc>
        <w:tc>
          <w:tcPr>
            <w:tcW w:w="380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Alexander Mayweg, Ph.D.</w:t>
            </w:r>
          </w:p>
        </w:tc>
        <w:tc>
          <w:tcPr>
            <w:tcW w:w="38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Andrew Schiff, M.D.</w:t>
            </w:r>
          </w:p>
        </w:tc>
        <w:tc>
          <w:tcPr>
            <w:tcW w:w="380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Christine Siu(4)</w:t>
            </w:r>
          </w:p>
        </w:tc>
        <w:tc>
          <w:tcPr>
            <w:tcW w:w="38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8,750</w:t>
            </w:r>
          </w:p>
        </w:tc>
        <w:tc>
          <w:tcPr>
            <w:tcW w:w="17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41,494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50,244</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right="260" w:hanging="313"/>
        <w:spacing w:after="0" w:line="254"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Each of Dr. Blackwell and Ms. Siu are entitled to receive an annual retainer equal to $35,000. The amounts reported reflect a prorated amount of board fees paid to each director for their service on our board of directors in 2020.</w:t>
      </w:r>
    </w:p>
    <w:p>
      <w:pPr>
        <w:spacing w:after="0" w:line="44" w:lineRule="exact"/>
        <w:rPr>
          <w:rFonts w:ascii="Arial" w:cs="Arial" w:eastAsia="Arial" w:hAnsi="Arial"/>
          <w:sz w:val="13"/>
          <w:szCs w:val="13"/>
          <w:color w:val="auto"/>
        </w:rPr>
      </w:pPr>
    </w:p>
    <w:p>
      <w:pPr>
        <w:ind w:left="320" w:right="80" w:hanging="313"/>
        <w:spacing w:after="0" w:line="242"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amounts reflect the grant date fair value of stock options granted in 2020 in accordance with FASB ASC Topic 718. Such grant date fair values do not take into account any estimated forfeitures related to service-based vesting conditions. The assumptions used in calculating the grant date fair value of the stock awards reported in this column are set forth in Note 9 of our consolidated financial statements included elsewhere in this prospectus. The amounts reported in this column reflect the accounting cost for these stock options and do not correspond to the actual economic value that may be received by our non-employee directors upon the exercise of such options.</w:t>
      </w:r>
    </w:p>
    <w:p>
      <w:pPr>
        <w:spacing w:after="0" w:line="52" w:lineRule="exact"/>
        <w:rPr>
          <w:rFonts w:ascii="Arial" w:cs="Arial" w:eastAsia="Arial" w:hAnsi="Arial"/>
          <w:sz w:val="13"/>
          <w:szCs w:val="13"/>
          <w:color w:val="auto"/>
        </w:rPr>
      </w:pPr>
    </w:p>
    <w:p>
      <w:pPr>
        <w:ind w:left="320" w:right="260" w:hanging="313"/>
        <w:spacing w:after="0" w:line="245"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Each of Dr. Blackwell and Ms. Siu were entitled to receive an option to purchase 101,857 shares of our common stock upon her appointment to the board of directors. Subject to the director’s continuous service on our board of directors, these stock options vest 25% on the applicable vesting commencement date and in 36 equal monthly installments monthly thereafter. The then-outstanding unvested shares underlying the stock options will immediately accelerate, vest and become exercisable upon a change of control.</w:t>
      </w:r>
    </w:p>
    <w:p>
      <w:pPr>
        <w:spacing w:after="0" w:line="50" w:lineRule="exact"/>
        <w:rPr>
          <w:rFonts w:ascii="Arial" w:cs="Arial" w:eastAsia="Arial" w:hAnsi="Arial"/>
          <w:sz w:val="13"/>
          <w:szCs w:val="13"/>
          <w:color w:val="auto"/>
        </w:rPr>
      </w:pPr>
    </w:p>
    <w:p>
      <w:pPr>
        <w:ind w:left="320" w:hanging="313"/>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As of December 31, 2020, each of Dr. Blackwell and Ms. Siu held an option to purchase 101,857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142"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In connection with this offering, we intend to amend our non-employee director compensation program that will become effective upon the date immediately preceding the date on which the registration statement of which this prospectus is a part is declared effective. The program will be designed to enable us to attract and retain, on a long-term basis, highly qualified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Annual retainer for board membership:</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10220" w:type="dxa"/>
            <w:vAlign w:val="bottom"/>
          </w:tcPr>
          <w:p>
            <w:pPr>
              <w:spacing w:after="0"/>
              <w:rPr>
                <w:sz w:val="20"/>
                <w:szCs w:val="20"/>
                <w:color w:val="auto"/>
              </w:rPr>
            </w:pPr>
            <w:r>
              <w:rPr>
                <w:rFonts w:ascii="Arial" w:cs="Arial" w:eastAsia="Arial" w:hAnsi="Arial"/>
                <w:sz w:val="17"/>
                <w:szCs w:val="17"/>
                <w:color w:val="auto"/>
              </w:rPr>
              <w:t>Annual service on the board of directors</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35,000</w:t>
            </w:r>
          </w:p>
        </w:tc>
      </w:tr>
      <w:tr>
        <w:trPr>
          <w:trHeight w:val="201"/>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Additional annual retainer for non-executive chair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30,000</w:t>
            </w:r>
          </w:p>
        </w:tc>
      </w:tr>
      <w:tr>
        <w:trPr>
          <w:trHeight w:val="267"/>
        </w:trPr>
        <w:tc>
          <w:tcPr>
            <w:tcW w:w="10220" w:type="dxa"/>
            <w:vAlign w:val="bottom"/>
          </w:tcPr>
          <w:p>
            <w:pPr>
              <w:spacing w:after="0"/>
              <w:rPr>
                <w:sz w:val="20"/>
                <w:szCs w:val="20"/>
                <w:color w:val="auto"/>
              </w:rPr>
            </w:pPr>
            <w:r>
              <w:rPr>
                <w:rFonts w:ascii="Arial" w:cs="Arial" w:eastAsia="Arial" w:hAnsi="Arial"/>
                <w:sz w:val="17"/>
                <w:szCs w:val="17"/>
                <w:b w:val="1"/>
                <w:bCs w:val="1"/>
                <w:color w:val="auto"/>
              </w:rPr>
              <w:t>Additional annual retainers for committee membership:</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1"/>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Audit committee chair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15,000</w:t>
            </w:r>
          </w:p>
        </w:tc>
      </w:tr>
      <w:tr>
        <w:trPr>
          <w:trHeight w:val="201"/>
        </w:trPr>
        <w:tc>
          <w:tcPr>
            <w:tcW w:w="10220" w:type="dxa"/>
            <w:vAlign w:val="bottom"/>
          </w:tcPr>
          <w:p>
            <w:pPr>
              <w:spacing w:after="0"/>
              <w:rPr>
                <w:sz w:val="20"/>
                <w:szCs w:val="20"/>
                <w:color w:val="auto"/>
              </w:rPr>
            </w:pPr>
            <w:r>
              <w:rPr>
                <w:rFonts w:ascii="Arial" w:cs="Arial" w:eastAsia="Arial" w:hAnsi="Arial"/>
                <w:sz w:val="17"/>
                <w:szCs w:val="17"/>
                <w:color w:val="auto"/>
              </w:rPr>
              <w:t>Audit committee member</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7,500</w:t>
            </w:r>
          </w:p>
        </w:tc>
        <w:tc>
          <w:tcPr>
            <w:tcW w:w="60" w:type="dxa"/>
            <w:vAlign w:val="bottom"/>
          </w:tcPr>
          <w:p>
            <w:pPr>
              <w:spacing w:after="0"/>
              <w:rPr>
                <w:sz w:val="17"/>
                <w:szCs w:val="17"/>
                <w:color w:val="auto"/>
              </w:rPr>
            </w:pPr>
          </w:p>
        </w:tc>
      </w:tr>
      <w:tr>
        <w:trPr>
          <w:trHeight w:val="201"/>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Compensation, nomination and corporate governance committee chair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10,000</w:t>
            </w:r>
          </w:p>
        </w:tc>
      </w:tr>
      <w:tr>
        <w:trPr>
          <w:trHeight w:val="213"/>
        </w:trPr>
        <w:tc>
          <w:tcPr>
            <w:tcW w:w="10220" w:type="dxa"/>
            <w:vAlign w:val="bottom"/>
          </w:tcPr>
          <w:p>
            <w:pPr>
              <w:spacing w:after="0"/>
              <w:rPr>
                <w:sz w:val="20"/>
                <w:szCs w:val="20"/>
                <w:color w:val="auto"/>
              </w:rPr>
            </w:pPr>
            <w:r>
              <w:rPr>
                <w:rFonts w:ascii="Arial" w:cs="Arial" w:eastAsia="Arial" w:hAnsi="Arial"/>
                <w:sz w:val="17"/>
                <w:szCs w:val="17"/>
                <w:color w:val="auto"/>
              </w:rPr>
              <w:t>Compensation, nomination and corporate governance committee member</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5,000</w:t>
            </w:r>
          </w:p>
        </w:tc>
        <w:tc>
          <w:tcPr>
            <w:tcW w:w="60" w:type="dxa"/>
            <w:vAlign w:val="bottom"/>
          </w:tcPr>
          <w:p>
            <w:pPr>
              <w:spacing w:after="0"/>
              <w:rPr>
                <w:sz w:val="18"/>
                <w:szCs w:val="18"/>
                <w:color w:val="auto"/>
              </w:rPr>
            </w:pPr>
          </w:p>
        </w:tc>
      </w:tr>
      <w:tr>
        <w:trPr>
          <w:trHeight w:val="354"/>
        </w:trPr>
        <w:tc>
          <w:tcPr>
            <w:tcW w:w="10220" w:type="dxa"/>
            <w:vAlign w:val="bottom"/>
            <w:tcBorders>
              <w:top w:val="single" w:sz="8" w:color="auto"/>
            </w:tcBorders>
          </w:tcPr>
          <w:p>
            <w:pPr>
              <w:ind w:left="5480"/>
              <w:spacing w:after="0"/>
              <w:rPr>
                <w:sz w:val="20"/>
                <w:szCs w:val="20"/>
                <w:color w:val="auto"/>
              </w:rPr>
            </w:pPr>
            <w:r>
              <w:rPr>
                <w:rFonts w:ascii="Arial" w:cs="Arial" w:eastAsia="Arial" w:hAnsi="Arial"/>
                <w:sz w:val="17"/>
                <w:szCs w:val="17"/>
                <w:color w:val="auto"/>
              </w:rPr>
              <w:t>178</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Each non-employee director serving on our Board upon the completion of this offering will be granted at such time an option to purchase a number of shares of common stock equal to 0.086% of the common stock on a fully diluted basis immediately following this offering. In addition, our policy will provide that, upon initial election to our board of directors following the completion of this offering, each non-employee director will be granted an option to purchase a number of shares of common stock equal to 0.086% of the common stock on a fully diluted basis immediately following this offering, or the Initial Grant. Furthermore, on the date of each of our annual meeting of stockholders following the completion of this offering, each non-employee director who will continue as a non-employee director following such meeting will be granted an option to purchase a number of shares of common stock equal to 0.043% of the common stock on a fully diluted basis immediately following this offering, or the Annual Grant. The Annual Grant will vest in full on the earlier of (i) the one-year anniversary of the grant date or (ii) the next annual meeting of stockholders, subject to continued service as a director through the applicable vesting date. The Initial Grant will vest in 36 equal monthly installments over three years from the date of grant, subject to continued service as a director through the applicable vesting date. Such awards are subject to full accelerated vesting upon a “sale event” as defined in the 2021 Plan. Since we do not plan to hold an annual meeting of stockholders in 2021, our non-employee directors will receive their first Initial Grant upon our initial public offering. The exercise price will be equal to the “Price to the Public” (or equivalent) set forth on the cover page of the final prospectus included in this registration statement, which will be the fair market value of a share of the Company’s common stock on the grant date of the options.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directors will receive no additional compensation for their service as a director.</w:t>
      </w:r>
    </w:p>
    <w:p>
      <w:pPr>
        <w:spacing w:after="0" w:line="112"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We will reimburse all reasonable out-of-pocket expenses incurred by directors for their attendance at meetings of our board of directors or any committee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20"/>
          </w:cols>
          <w:pgMar w:left="320" w:top="456"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person transactions</w:t>
      </w:r>
    </w:p>
    <w:p>
      <w:pPr>
        <w:spacing w:after="0" w:line="153"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following is a description of transactions or series of transactions since our inception in November 2019, to which we were or will be a party, in which:</w:t>
      </w:r>
    </w:p>
    <w:p>
      <w:pPr>
        <w:spacing w:after="0" w:line="93" w:lineRule="exact"/>
        <w:rPr>
          <w:sz w:val="20"/>
          <w:szCs w:val="20"/>
          <w:color w:val="auto"/>
        </w:rPr>
      </w:pPr>
    </w:p>
    <w:p>
      <w:pPr>
        <w:ind w:left="220" w:hanging="213"/>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amount involved in the transaction exceeds, or will exceed, $120,000; and</w:t>
      </w:r>
    </w:p>
    <w:p>
      <w:pPr>
        <w:spacing w:after="0" w:line="125" w:lineRule="exact"/>
        <w:rPr>
          <w:rFonts w:ascii="Arial" w:cs="Arial" w:eastAsia="Arial" w:hAnsi="Arial"/>
          <w:sz w:val="17"/>
          <w:szCs w:val="17"/>
          <w:color w:val="auto"/>
        </w:rPr>
      </w:pPr>
    </w:p>
    <w:p>
      <w:pPr>
        <w:ind w:left="220" w:right="420" w:hanging="213"/>
        <w:spacing w:after="0" w:line="263" w:lineRule="auto"/>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80" w:lineRule="exact"/>
        <w:rPr>
          <w:sz w:val="20"/>
          <w:szCs w:val="20"/>
          <w:color w:val="auto"/>
        </w:rPr>
      </w:pPr>
    </w:p>
    <w:p>
      <w:pPr>
        <w:ind w:right="1280"/>
        <w:spacing w:after="0" w:line="263" w:lineRule="auto"/>
        <w:rPr>
          <w:sz w:val="20"/>
          <w:szCs w:val="20"/>
          <w:color w:val="auto"/>
        </w:rPr>
      </w:pPr>
      <w:r>
        <w:rPr>
          <w:rFonts w:ascii="Arial" w:cs="Arial" w:eastAsia="Arial" w:hAnsi="Arial"/>
          <w:sz w:val="17"/>
          <w:szCs w:val="17"/>
          <w:color w:val="auto"/>
        </w:rPr>
        <w:t>Compensation arrangements for our named executive officers and our directors are described elsewhere in this prospectus under “Management—Non-employee director compensation” and “Executive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A preferred stock financing</w:t>
      </w:r>
    </w:p>
    <w:p>
      <w:pPr>
        <w:spacing w:after="0" w:line="142"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In 2019, Monte Rosa Therapeutics AG sold an aggregate of 19,250,000 Series A convertible preferred shares in multiple closings at a purchase price of $1.00 per share for an aggregate amount of $19.25 million. The following table summarizes purchases of Series A convertible preferred shares of Monte Rosa Therapeutics AG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00" w:type="dxa"/>
            <w:vAlign w:val="bottom"/>
          </w:tcPr>
          <w:p>
            <w:pPr>
              <w:spacing w:after="0"/>
              <w:rPr>
                <w:sz w:val="17"/>
                <w:szCs w:val="17"/>
                <w:color w:val="auto"/>
              </w:rPr>
            </w:pPr>
          </w:p>
        </w:tc>
        <w:tc>
          <w:tcPr>
            <w:tcW w:w="3640" w:type="dxa"/>
            <w:vAlign w:val="bottom"/>
          </w:tcPr>
          <w:p>
            <w:pPr>
              <w:jc w:val="right"/>
              <w:spacing w:after="0"/>
              <w:rPr>
                <w:sz w:val="20"/>
                <w:szCs w:val="20"/>
                <w:color w:val="auto"/>
              </w:rPr>
            </w:pPr>
            <w:r>
              <w:rPr>
                <w:rFonts w:ascii="Arial" w:cs="Arial" w:eastAsia="Arial" w:hAnsi="Arial"/>
                <w:sz w:val="17"/>
                <w:szCs w:val="17"/>
                <w:b w:val="1"/>
                <w:bCs w:val="1"/>
                <w:color w:val="auto"/>
              </w:rPr>
              <w:t>Shares of</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900" w:type="dxa"/>
            <w:vAlign w:val="bottom"/>
          </w:tcPr>
          <w:p>
            <w:pPr>
              <w:spacing w:after="0"/>
              <w:rPr>
                <w:sz w:val="17"/>
                <w:szCs w:val="17"/>
                <w:color w:val="auto"/>
              </w:rPr>
            </w:pPr>
          </w:p>
        </w:tc>
        <w:tc>
          <w:tcPr>
            <w:tcW w:w="3640" w:type="dxa"/>
            <w:vAlign w:val="bottom"/>
          </w:tcPr>
          <w:p>
            <w:pPr>
              <w:jc w:val="right"/>
              <w:spacing w:after="0"/>
              <w:rPr>
                <w:sz w:val="20"/>
                <w:szCs w:val="20"/>
                <w:color w:val="auto"/>
              </w:rPr>
            </w:pPr>
            <w:r>
              <w:rPr>
                <w:rFonts w:ascii="Arial" w:cs="Arial" w:eastAsia="Arial" w:hAnsi="Arial"/>
                <w:sz w:val="17"/>
                <w:szCs w:val="17"/>
                <w:b w:val="1"/>
                <w:bCs w:val="1"/>
                <w:color w:val="auto"/>
              </w:rPr>
              <w:t>Series A</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201"/>
        </w:trPr>
        <w:tc>
          <w:tcPr>
            <w:tcW w:w="5900" w:type="dxa"/>
            <w:vAlign w:val="bottom"/>
          </w:tcPr>
          <w:p>
            <w:pPr>
              <w:spacing w:after="0"/>
              <w:rPr>
                <w:sz w:val="17"/>
                <w:szCs w:val="17"/>
                <w:color w:val="auto"/>
              </w:rPr>
            </w:pPr>
          </w:p>
        </w:tc>
        <w:tc>
          <w:tcPr>
            <w:tcW w:w="3640" w:type="dxa"/>
            <w:vAlign w:val="bottom"/>
          </w:tcPr>
          <w:p>
            <w:pPr>
              <w:jc w:val="right"/>
              <w:spacing w:after="0"/>
              <w:rPr>
                <w:sz w:val="20"/>
                <w:szCs w:val="20"/>
                <w:color w:val="auto"/>
              </w:rPr>
            </w:pPr>
            <w:r>
              <w:rPr>
                <w:rFonts w:ascii="Arial" w:cs="Arial" w:eastAsia="Arial" w:hAnsi="Arial"/>
                <w:sz w:val="17"/>
                <w:szCs w:val="17"/>
                <w:b w:val="1"/>
                <w:bCs w:val="1"/>
                <w:color w:val="auto"/>
              </w:rPr>
              <w:t>preferred</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r>
      <w:tr>
        <w:trPr>
          <w:trHeight w:val="219"/>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Stockholder</w:t>
            </w: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price</w:t>
            </w:r>
          </w:p>
        </w:tc>
      </w:tr>
      <w:tr>
        <w:trPr>
          <w:trHeight w:val="194"/>
        </w:trPr>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Versant Ventures(1)</w:t>
            </w:r>
          </w:p>
        </w:tc>
        <w:tc>
          <w:tcPr>
            <w:tcW w:w="3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36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19,250,000.00</w:t>
            </w:r>
          </w:p>
        </w:tc>
        <w:tc>
          <w:tcPr>
            <w:tcW w:w="60" w:type="dxa"/>
            <w:vAlign w:val="bottom"/>
            <w:shd w:val="clear" w:color="auto" w:fill="CCEEFF"/>
          </w:tcPr>
          <w:p>
            <w:pPr>
              <w:spacing w:after="0"/>
              <w:rPr>
                <w:sz w:val="16"/>
                <w:szCs w:val="16"/>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jc w:val="both"/>
        <w:ind w:left="320" w:hanging="313"/>
        <w:spacing w:after="0" w:line="245" w:lineRule="auto"/>
        <w:tabs>
          <w:tab w:leader="none" w:pos="3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Represents 19,250,000 Series A convertible preferred shares purchased by Versant Venture Capital VI, L.P. Each of Markus Warmuth, Bradley J. Bolzon and Alexander Mayweg serves as an officer of the Company and/or on our board of directors and is an affiliate of Versant Venture Capital, of which Versant Venture Capital VI, L.P. is an affiliated fund. Entities affiliated with Versant Ventures collectively hold more than 5% of our voting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Convertible note financing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2019, we issued a convertible promissory note to Versant Venture Capital VI, L.P. in the principal amount of $750,000.</w:t>
      </w:r>
    </w:p>
    <w:p>
      <w:pPr>
        <w:spacing w:after="0" w:line="112" w:lineRule="exact"/>
        <w:rPr>
          <w:sz w:val="20"/>
          <w:szCs w:val="20"/>
          <w:color w:val="auto"/>
        </w:rPr>
      </w:pPr>
    </w:p>
    <w:p>
      <w:pPr>
        <w:jc w:val="both"/>
        <w:ind w:right="140"/>
        <w:spacing w:after="0" w:line="254" w:lineRule="auto"/>
        <w:rPr>
          <w:sz w:val="20"/>
          <w:szCs w:val="20"/>
          <w:color w:val="auto"/>
        </w:rPr>
      </w:pPr>
      <w:r>
        <w:rPr>
          <w:rFonts w:ascii="Arial" w:cs="Arial" w:eastAsia="Arial" w:hAnsi="Arial"/>
          <w:sz w:val="17"/>
          <w:szCs w:val="17"/>
          <w:color w:val="auto"/>
        </w:rPr>
        <w:t>Each of Markus Warmuth, Bradley J. Bolzon and Alexander Mayweg serves as an officer of the Company and/or on our board of directors and is an affiliate of Versant Ventures, of which Versant Venture Capital VI, L.P. is an affiliated fund. Entities affiliated with Versant Ventures collectively hold more than 5% of our voting securities.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Contribution and exchange agreements</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April 2020 and September 2020, we entered into two separate Contribution and Exchange Agreements with the shareholders of record of Monte Rosa Therapeutics AG, whereby all such shareholders contributed, and we acquired, all of such shareholders’ right, title and interest in and to their shares of Monte Rosa Therapeutics AG, and, in consideration therefor, such shareholders received shares of our common stock and/or Series A convertible preferred stock. See the section entitled “Prospectus summary—Corporate information” for more information on the contribution and exchange transaction. In connection with the closing of the April 2020 Contribution and Exchange Agreement, all of the outstanding convertible promissory notes issued by us to Versant Venture Capital VI, L.P. in 2019 were automatically converted into 754,280 shares of our Series A convertible preferred stock. The following table summarizes the acquisition of shares of our common stock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456"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Series A convertible preferred stock in connection with the Contribution and Exchanges Agreements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Shares of</w:t>
            </w:r>
          </w:p>
        </w:tc>
      </w:tr>
      <w:tr>
        <w:trPr>
          <w:trHeight w:val="201"/>
        </w:trPr>
        <w:tc>
          <w:tcPr>
            <w:tcW w:w="6100" w:type="dxa"/>
            <w:vAlign w:val="bottom"/>
          </w:tcPr>
          <w:p>
            <w:pPr>
              <w:spacing w:after="0"/>
              <w:rPr>
                <w:sz w:val="17"/>
                <w:szCs w:val="17"/>
                <w:color w:val="auto"/>
              </w:rPr>
            </w:pPr>
          </w:p>
        </w:tc>
        <w:tc>
          <w:tcPr>
            <w:tcW w:w="3940" w:type="dxa"/>
            <w:vAlign w:val="bottom"/>
          </w:tcPr>
          <w:p>
            <w:pPr>
              <w:jc w:val="right"/>
              <w:ind w:right="153"/>
              <w:spacing w:after="0"/>
              <w:rPr>
                <w:sz w:val="20"/>
                <w:szCs w:val="20"/>
                <w:color w:val="auto"/>
              </w:rPr>
            </w:pPr>
            <w:r>
              <w:rPr>
                <w:rFonts w:ascii="Arial" w:cs="Arial" w:eastAsia="Arial" w:hAnsi="Arial"/>
                <w:sz w:val="17"/>
                <w:szCs w:val="17"/>
                <w:b w:val="1"/>
                <w:bCs w:val="1"/>
                <w:color w:val="auto"/>
              </w:rPr>
              <w:t>Shares of</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Series A</w:t>
            </w:r>
          </w:p>
        </w:tc>
      </w:tr>
      <w:tr>
        <w:trPr>
          <w:trHeight w:val="201"/>
        </w:trPr>
        <w:tc>
          <w:tcPr>
            <w:tcW w:w="6100" w:type="dxa"/>
            <w:vAlign w:val="bottom"/>
          </w:tcPr>
          <w:p>
            <w:pPr>
              <w:spacing w:after="0"/>
              <w:rPr>
                <w:sz w:val="17"/>
                <w:szCs w:val="17"/>
                <w:color w:val="auto"/>
              </w:rPr>
            </w:pPr>
          </w:p>
        </w:tc>
        <w:tc>
          <w:tcPr>
            <w:tcW w:w="3940" w:type="dxa"/>
            <w:vAlign w:val="bottom"/>
          </w:tcPr>
          <w:p>
            <w:pPr>
              <w:jc w:val="right"/>
              <w:ind w:right="153"/>
              <w:spacing w:after="0"/>
              <w:rPr>
                <w:sz w:val="20"/>
                <w:szCs w:val="20"/>
                <w:color w:val="auto"/>
              </w:rPr>
            </w:pPr>
            <w:r>
              <w:rPr>
                <w:rFonts w:ascii="Arial" w:cs="Arial" w:eastAsia="Arial" w:hAnsi="Arial"/>
                <w:sz w:val="17"/>
                <w:szCs w:val="17"/>
                <w:b w:val="1"/>
                <w:bCs w:val="1"/>
                <w:color w:val="auto"/>
              </w:rPr>
              <w:t>common</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preferred</w:t>
            </w:r>
          </w:p>
        </w:tc>
      </w:tr>
      <w:tr>
        <w:trPr>
          <w:trHeight w:val="219"/>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Stockholder</w:t>
            </w:r>
          </w:p>
        </w:tc>
        <w:tc>
          <w:tcPr>
            <w:tcW w:w="39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stock</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stock</w:t>
            </w:r>
          </w:p>
        </w:tc>
      </w:tr>
      <w:tr>
        <w:trPr>
          <w:trHeight w:val="194"/>
        </w:trPr>
        <w:tc>
          <w:tcPr>
            <w:tcW w:w="6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Versant Ventures(1)</w:t>
            </w:r>
          </w:p>
        </w:tc>
        <w:tc>
          <w:tcPr>
            <w:tcW w:w="394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1,000,000</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20,004,280</w:t>
            </w:r>
          </w:p>
        </w:tc>
        <w:tc>
          <w:tcPr>
            <w:tcW w:w="80" w:type="dxa"/>
            <w:vAlign w:val="bottom"/>
            <w:shd w:val="clear" w:color="auto" w:fill="CCEEFF"/>
          </w:tcPr>
          <w:p>
            <w:pPr>
              <w:spacing w:after="0"/>
              <w:rPr>
                <w:sz w:val="16"/>
                <w:szCs w:val="16"/>
                <w:color w:val="auto"/>
              </w:rPr>
            </w:pPr>
          </w:p>
        </w:tc>
      </w:tr>
      <w:tr>
        <w:trPr>
          <w:trHeight w:val="213"/>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Markus Warmuth(2)</w:t>
            </w:r>
          </w:p>
        </w:tc>
        <w:tc>
          <w:tcPr>
            <w:tcW w:w="39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1,470,588</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66" w:lineRule="exact"/>
        <w:rPr>
          <w:sz w:val="20"/>
          <w:szCs w:val="20"/>
          <w:color w:val="auto"/>
        </w:rPr>
      </w:pPr>
    </w:p>
    <w:p>
      <w:pPr>
        <w:ind w:left="320" w:right="40" w:hanging="313"/>
        <w:spacing w:after="0" w:line="245" w:lineRule="auto"/>
        <w:tabs>
          <w:tab w:leader="none" w:pos="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1,000,000 shares of common stock acquired by Versant Venture Capital VI, L.P. Each of Markus Warmuth, Bradley J. Bolzon and Alexander Mayweg serves as an officer of the Company and/or on our board of directors and is an affiliate of Versant Ventures, of which Versant Venture Capital VI, L.P. is an affiliated fund. Entities affiliated with Versant Ventures collectively hold more than 5% of our voting securities.</w:t>
      </w:r>
    </w:p>
    <w:p>
      <w:pPr>
        <w:spacing w:after="0" w:line="50" w:lineRule="exact"/>
        <w:rPr>
          <w:rFonts w:ascii="Arial" w:cs="Arial" w:eastAsia="Arial" w:hAnsi="Arial"/>
          <w:sz w:val="13"/>
          <w:szCs w:val="13"/>
          <w:color w:val="auto"/>
        </w:rPr>
      </w:pPr>
    </w:p>
    <w:p>
      <w:pPr>
        <w:ind w:left="320" w:hanging="313"/>
        <w:spacing w:after="0"/>
        <w:tabs>
          <w:tab w:leader="none" w:pos="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Markus Warmuth currently serves on our board of directors and as our Chief Executive Officer and President.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A-2 preferred stock financing</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April 2020, we sold an aggregate of 9,627,234 shares of our Series A-2 convertible preferred stock at a purchase price of $1.2984 per share for an aggregate amount of approximately $12.5 million. The following table summarizes purchases of our Series A-2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Arial" w:cs="Arial" w:eastAsia="Arial" w:hAnsi="Arial"/>
                <w:sz w:val="17"/>
                <w:szCs w:val="17"/>
                <w:b w:val="1"/>
                <w:bCs w:val="1"/>
                <w:color w:val="auto"/>
              </w:rPr>
              <w:t>Shares of</w:t>
            </w:r>
          </w:p>
        </w:tc>
        <w:tc>
          <w:tcPr>
            <w:tcW w:w="360" w:type="dxa"/>
            <w:vAlign w:val="bottom"/>
          </w:tcPr>
          <w:p>
            <w:pPr>
              <w:spacing w:after="0"/>
              <w:rPr>
                <w:sz w:val="17"/>
                <w:szCs w:val="17"/>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7"/>
        </w:trPr>
        <w:tc>
          <w:tcPr>
            <w:tcW w:w="6280" w:type="dxa"/>
            <w:vAlign w:val="bottom"/>
          </w:tcPr>
          <w:p>
            <w:pPr>
              <w:spacing w:after="0"/>
              <w:rPr>
                <w:sz w:val="16"/>
                <w:szCs w:val="16"/>
                <w:color w:val="auto"/>
              </w:rPr>
            </w:pPr>
          </w:p>
        </w:tc>
        <w:tc>
          <w:tcPr>
            <w:tcW w:w="3260" w:type="dxa"/>
            <w:vAlign w:val="bottom"/>
          </w:tcPr>
          <w:p>
            <w:pPr>
              <w:jc w:val="right"/>
              <w:spacing w:after="0" w:line="187" w:lineRule="exact"/>
              <w:rPr>
                <w:sz w:val="20"/>
                <w:szCs w:val="20"/>
                <w:color w:val="auto"/>
              </w:rPr>
            </w:pPr>
            <w:r>
              <w:rPr>
                <w:rFonts w:ascii="Arial" w:cs="Arial" w:eastAsia="Arial" w:hAnsi="Arial"/>
                <w:sz w:val="17"/>
                <w:szCs w:val="17"/>
                <w:b w:val="1"/>
                <w:bCs w:val="1"/>
                <w:color w:val="auto"/>
              </w:rPr>
              <w:t>Series A-2</w:t>
            </w: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Arial" w:cs="Arial" w:eastAsia="Arial" w:hAnsi="Arial"/>
                <w:sz w:val="17"/>
                <w:szCs w:val="17"/>
                <w:b w:val="1"/>
                <w:bCs w:val="1"/>
                <w:color w:val="auto"/>
              </w:rPr>
              <w:t>preferred</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c>
          <w:tcPr>
            <w:tcW w:w="0" w:type="dxa"/>
            <w:vAlign w:val="bottom"/>
          </w:tcPr>
          <w:p>
            <w:pPr>
              <w:spacing w:after="0"/>
              <w:rPr>
                <w:sz w:val="1"/>
                <w:szCs w:val="1"/>
                <w:color w:val="auto"/>
              </w:rPr>
            </w:pPr>
          </w:p>
        </w:tc>
      </w:tr>
      <w:tr>
        <w:trPr>
          <w:trHeight w:val="233"/>
        </w:trPr>
        <w:tc>
          <w:tcPr>
            <w:tcW w:w="6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Stockholder</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194"/>
        </w:trPr>
        <w:tc>
          <w:tcPr>
            <w:tcW w:w="6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New Enterprise Associates(1)</w:t>
            </w:r>
          </w:p>
        </w:tc>
        <w:tc>
          <w:tcPr>
            <w:tcW w:w="3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9,627,234</w:t>
            </w:r>
          </w:p>
        </w:tc>
        <w:tc>
          <w:tcPr>
            <w:tcW w:w="36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12,500,000.62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both"/>
        <w:ind w:left="320" w:right="20" w:hanging="313"/>
        <w:spacing w:after="0" w:line="245" w:lineRule="auto"/>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9,588,725 shares of Series A-2 convertible preferred stock purchased by New Enterprise Associates 17, L.P. and 38,509 shares of Series A-2 preferred stock purchased by NEA Ventures 2019, L.P. Ali Behbahani serves on our board of directors and is an affiliate of New Enterprise Associates, of which New Enterprise Associates 17, L.P. and NEA Ventures 2019, L.P. are affiliated funds. Entities affiliated with New Enterprise Associates collectively hold more than 5% of our voting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B preferred stocking financing</w:t>
      </w:r>
    </w:p>
    <w:p>
      <w:pPr>
        <w:spacing w:after="0" w:line="14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In September 2020, with a subsequent closing in February 2021, we sold an aggregate of 48,000,000 shares of our Series B preferred stock at a purchase price of $2.00 per share for an aggregate amount of $96.0 million. The following table summarizes purchases of our Series B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20" w:type="dxa"/>
            <w:vAlign w:val="bottom"/>
          </w:tcPr>
          <w:p>
            <w:pPr>
              <w:spacing w:after="0"/>
              <w:rPr>
                <w:sz w:val="17"/>
                <w:szCs w:val="17"/>
                <w:color w:val="auto"/>
              </w:rPr>
            </w:pPr>
          </w:p>
        </w:tc>
        <w:tc>
          <w:tcPr>
            <w:tcW w:w="3940" w:type="dxa"/>
            <w:vAlign w:val="bottom"/>
          </w:tcPr>
          <w:p>
            <w:pPr>
              <w:jc w:val="right"/>
              <w:ind w:right="113"/>
              <w:spacing w:after="0"/>
              <w:rPr>
                <w:sz w:val="20"/>
                <w:szCs w:val="20"/>
                <w:color w:val="auto"/>
              </w:rPr>
            </w:pPr>
            <w:r>
              <w:rPr>
                <w:rFonts w:ascii="Arial" w:cs="Arial" w:eastAsia="Arial" w:hAnsi="Arial"/>
                <w:sz w:val="17"/>
                <w:szCs w:val="17"/>
                <w:b w:val="1"/>
                <w:bCs w:val="1"/>
                <w:color w:val="auto"/>
              </w:rPr>
              <w:t>Shares of Series B</w:t>
            </w:r>
          </w:p>
        </w:tc>
        <w:tc>
          <w:tcPr>
            <w:tcW w:w="148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 purchase</w:t>
            </w:r>
          </w:p>
        </w:tc>
      </w:tr>
      <w:tr>
        <w:trPr>
          <w:trHeight w:val="219"/>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Stockholder</w:t>
            </w:r>
          </w:p>
        </w:tc>
        <w:tc>
          <w:tcPr>
            <w:tcW w:w="39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preferred stock</w:t>
            </w:r>
          </w:p>
        </w:tc>
        <w:tc>
          <w:tcPr>
            <w:tcW w:w="1480" w:type="dxa"/>
            <w:vAlign w:val="bottom"/>
            <w:tcBorders>
              <w:bottom w:val="single" w:sz="8" w:color="auto"/>
            </w:tcBorders>
            <w:gridSpan w:val="2"/>
          </w:tcPr>
          <w:p>
            <w:pPr>
              <w:ind w:left="1020"/>
              <w:spacing w:after="0"/>
              <w:rPr>
                <w:sz w:val="20"/>
                <w:szCs w:val="20"/>
                <w:color w:val="auto"/>
              </w:rPr>
            </w:pPr>
            <w:r>
              <w:rPr>
                <w:rFonts w:ascii="Arial" w:cs="Arial" w:eastAsia="Arial" w:hAnsi="Arial"/>
                <w:sz w:val="17"/>
                <w:szCs w:val="17"/>
                <w:b w:val="1"/>
                <w:bCs w:val="1"/>
                <w:color w:val="auto"/>
              </w:rPr>
              <w:t>price</w:t>
            </w: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Versant Ventures(1)</w:t>
            </w:r>
          </w:p>
        </w:tc>
        <w:tc>
          <w:tcPr>
            <w:tcW w:w="394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7,150,000</w:t>
            </w:r>
          </w:p>
        </w:tc>
        <w:tc>
          <w:tcPr>
            <w:tcW w:w="14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w w:val="97"/>
              </w:rPr>
              <w:t>$ 14,300,000.00</w:t>
            </w:r>
          </w:p>
        </w:tc>
        <w:tc>
          <w:tcPr>
            <w:tcW w:w="60" w:type="dxa"/>
            <w:vAlign w:val="bottom"/>
            <w:shd w:val="clear" w:color="auto" w:fill="CCEEFF"/>
          </w:tcPr>
          <w:p>
            <w:pPr>
              <w:spacing w:after="0"/>
              <w:rPr>
                <w:sz w:val="16"/>
                <w:szCs w:val="16"/>
                <w:color w:val="auto"/>
              </w:rPr>
            </w:pPr>
          </w:p>
        </w:tc>
      </w:tr>
      <w:tr>
        <w:trPr>
          <w:trHeight w:val="213"/>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Entities affiliated New Enterprise Associates(2)</w:t>
            </w:r>
          </w:p>
        </w:tc>
        <w:tc>
          <w:tcPr>
            <w:tcW w:w="39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11,500,000</w:t>
            </w: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w w:val="97"/>
              </w:rPr>
              <w:t>$ 23,000,000.00</w:t>
            </w:r>
          </w:p>
        </w:tc>
        <w:tc>
          <w:tcPr>
            <w:tcW w:w="60" w:type="dxa"/>
            <w:vAlign w:val="bottom"/>
          </w:tcPr>
          <w:p>
            <w:pPr>
              <w:spacing w:after="0"/>
              <w:rPr>
                <w:sz w:val="18"/>
                <w:szCs w:val="18"/>
                <w:color w:val="auto"/>
              </w:rPr>
            </w:pPr>
          </w:p>
        </w:tc>
      </w:tr>
    </w:tbl>
    <w:p>
      <w:pPr>
        <w:spacing w:after="0" w:line="66" w:lineRule="exact"/>
        <w:rPr>
          <w:sz w:val="20"/>
          <w:szCs w:val="20"/>
          <w:color w:val="auto"/>
        </w:rPr>
      </w:pPr>
    </w:p>
    <w:p>
      <w:pPr>
        <w:ind w:left="320" w:right="60" w:hanging="313"/>
        <w:spacing w:after="0" w:line="242" w:lineRule="auto"/>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Represents 3,000,000 shares of Series B convertible preferred stock purchased by Versant Venture Capital VI, L.P. and 4,150,000 shares of Series B convertible preferred stock purchased by Versant Vantage I, L.P. Each of Markus Warmuth, Bradley Bolzon and Alexander Mayweg serves as an officer of the Company and/or on our board of directors and is an affiliate of Versant Ventures, of which Versant Venture Capital VI, L.P. and Versant Vantage I, L.P. are affiliated funds. Entities affiliated with Versant Ventures collectively hold more than 5% of our voting securities.</w:t>
      </w:r>
    </w:p>
    <w:p>
      <w:pPr>
        <w:spacing w:after="0" w:line="52" w:lineRule="exact"/>
        <w:rPr>
          <w:rFonts w:ascii="Arial" w:cs="Arial" w:eastAsia="Arial" w:hAnsi="Arial"/>
          <w:sz w:val="13"/>
          <w:szCs w:val="13"/>
          <w:color w:val="auto"/>
        </w:rPr>
      </w:pPr>
    </w:p>
    <w:p>
      <w:pPr>
        <w:ind w:left="320" w:right="180" w:hanging="313"/>
        <w:spacing w:after="0" w:line="245" w:lineRule="auto"/>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Represents 11,500,000 shares of Series B convertible preferred stock purchased by New Enterprise Associates 17, L.P. Ali Behbahani serves on our board of directors and is an affiliate of New Enterprise Associates, of which F New Enterprise Associates 17, L.P. is an affiliated fund. Entities affiliated with New Enterprise Associates collectively hold more than 5% of our voting securities.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456"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C preferred stocking financing</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March 2021, we sold an aggregate of 32,054,521 shares of our Series C convertible preferred stock at a purchase price of $2.9637 per share for an aggregate amount of approximately $95.0 million. The following table summarizes purchases of our Series C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201"/>
        </w:trPr>
        <w:tc>
          <w:tcPr>
            <w:tcW w:w="5820" w:type="dxa"/>
            <w:vAlign w:val="bottom"/>
          </w:tcPr>
          <w:p>
            <w:pPr>
              <w:spacing w:after="0"/>
              <w:rPr>
                <w:sz w:val="17"/>
                <w:szCs w:val="17"/>
                <w:color w:val="auto"/>
              </w:rPr>
            </w:pPr>
          </w:p>
        </w:tc>
        <w:tc>
          <w:tcPr>
            <w:tcW w:w="4000" w:type="dxa"/>
            <w:vAlign w:val="bottom"/>
          </w:tcPr>
          <w:p>
            <w:pPr>
              <w:jc w:val="right"/>
              <w:ind w:right="153"/>
              <w:spacing w:after="0"/>
              <w:rPr>
                <w:sz w:val="20"/>
                <w:szCs w:val="20"/>
                <w:color w:val="auto"/>
              </w:rPr>
            </w:pPr>
            <w:r>
              <w:rPr>
                <w:rFonts w:ascii="Arial" w:cs="Arial" w:eastAsia="Arial" w:hAnsi="Arial"/>
                <w:sz w:val="17"/>
                <w:szCs w:val="17"/>
                <w:b w:val="1"/>
                <w:bCs w:val="1"/>
                <w:color w:val="auto"/>
              </w:rPr>
              <w:t>Shares of Series B</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r>
      <w:tr>
        <w:trPr>
          <w:trHeight w:val="219"/>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Stockholder</w:t>
            </w:r>
          </w:p>
        </w:tc>
        <w:tc>
          <w:tcPr>
            <w:tcW w:w="40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preferred stock</w:t>
            </w: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price</w:t>
            </w: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Versant Ventures(1)</w:t>
            </w:r>
          </w:p>
        </w:tc>
        <w:tc>
          <w:tcPr>
            <w:tcW w:w="400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2,699,328</w:t>
            </w:r>
          </w:p>
        </w:tc>
        <w:tc>
          <w:tcPr>
            <w:tcW w:w="13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$7,999,998.40</w:t>
            </w:r>
          </w:p>
        </w:tc>
        <w:tc>
          <w:tcPr>
            <w:tcW w:w="60" w:type="dxa"/>
            <w:vAlign w:val="bottom"/>
            <w:shd w:val="clear" w:color="auto" w:fill="CCEEFF"/>
          </w:tcPr>
          <w:p>
            <w:pPr>
              <w:spacing w:after="0"/>
              <w:rPr>
                <w:sz w:val="16"/>
                <w:szCs w:val="16"/>
                <w:color w:val="auto"/>
              </w:rPr>
            </w:pPr>
          </w:p>
        </w:tc>
      </w:tr>
      <w:tr>
        <w:trPr>
          <w:trHeight w:val="213"/>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Entities affiliated New Enterprise Associates(2)</w:t>
            </w:r>
          </w:p>
        </w:tc>
        <w:tc>
          <w:tcPr>
            <w:tcW w:w="40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2,361,912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$6,999,998.60</w:t>
            </w:r>
          </w:p>
        </w:tc>
        <w:tc>
          <w:tcPr>
            <w:tcW w:w="60" w:type="dxa"/>
            <w:vAlign w:val="bottom"/>
          </w:tcPr>
          <w:p>
            <w:pPr>
              <w:spacing w:after="0"/>
              <w:rPr>
                <w:sz w:val="18"/>
                <w:szCs w:val="18"/>
                <w:color w:val="auto"/>
              </w:rPr>
            </w:pPr>
          </w:p>
        </w:tc>
      </w:tr>
    </w:tbl>
    <w:p>
      <w:pPr>
        <w:spacing w:after="0" w:line="66" w:lineRule="exact"/>
        <w:rPr>
          <w:sz w:val="20"/>
          <w:szCs w:val="20"/>
          <w:color w:val="auto"/>
        </w:rPr>
      </w:pPr>
    </w:p>
    <w:p>
      <w:pPr>
        <w:ind w:left="320" w:right="100" w:hanging="313"/>
        <w:spacing w:after="0" w:line="245" w:lineRule="auto"/>
        <w:tabs>
          <w:tab w:leader="none" w:pos="3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2,699,328 shares of Series C convertible preferred stock purchased by Versant Vantage I, L.P. Each of Markus Warmuth, Bradley J. Bolzon and Alexander Mayweg serves as an officer and/or on our board of directors and is an affiliate of Versant Ventures, of which Versant Vantage I, L.P. is an affiliated fund. Entities affiliated with Versant Ventures collectively hold more than 5% of our voting securities.</w:t>
      </w:r>
    </w:p>
    <w:p>
      <w:pPr>
        <w:spacing w:after="0" w:line="50" w:lineRule="exact"/>
        <w:rPr>
          <w:rFonts w:ascii="Arial" w:cs="Arial" w:eastAsia="Arial" w:hAnsi="Arial"/>
          <w:sz w:val="13"/>
          <w:szCs w:val="13"/>
          <w:color w:val="auto"/>
        </w:rPr>
      </w:pPr>
    </w:p>
    <w:p>
      <w:pPr>
        <w:jc w:val="both"/>
        <w:ind w:left="320" w:right="40" w:hanging="313"/>
        <w:spacing w:after="0" w:line="245" w:lineRule="auto"/>
        <w:tabs>
          <w:tab w:leader="none" w:pos="3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2,361,912 shares of Series C convertible preferred stock purchased by New Enterprise Associates 17, L.P. Ali Behbahani serves on our board of directors and is an affiliate of New Enterprise Associates, of which F New Enterprise Associates 17, L.P. is an affiliated fund. Entities affiliated with New Enterprise Associates collectively hold more than 5% of our voting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 with Ridgeline</w:t>
      </w:r>
    </w:p>
    <w:p>
      <w:pPr>
        <w:spacing w:after="0" w:line="14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subsidiary, Monte Rosa Therapeutics AG, entered into a services agreement with Ridgeline, in April 2018. Ridgeline is a discovery engine owned by Versant Ventures Capital. Pursuant to the services agreement, Ridgeline provides Monte Rosa Therapeutics AG with certain services, including research and development and management and administration. Ridgeline also provides us with the services of a team of scientists. In connection with the services provided, Monte Rosa Therapeutics AG pays Ridgeline approximately $2.2 million on a quarterly basis, which represents actual costs incurred by Ridgeline in providing the services plus a specified markup. Monte Rosa Therapeutics AG paid Ridgeline $13.4 million and $4.0 million in the years ended December 31, 2020 and 2019.</w:t>
      </w:r>
    </w:p>
    <w:p>
      <w:pPr>
        <w:spacing w:after="0" w:line="94"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Each of Bradley J. Bolzon, Alexander Mayweg and Markus Warmuth serves as an officer and/or on our board of directors and is an affiliate of Versant Ventures, of which Versant Ventures VI, L.P. and Versant Vantage I, L.P. are affiliated funds. Entities affiliated with Versant Ventures collectively hold more than 5% of our voting securities. See “Business—Services agreement with Ridgeline.”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stockholders</w:t>
      </w:r>
    </w:p>
    <w:p>
      <w:pPr>
        <w:spacing w:after="0" w:line="14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In connection with our Series A preferred stock financing, Series A-2 preferred stock financing, Series B preferred stock financing and Series C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 grants to 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stock options to our named executive officers as more fully described in the section entitled “Executive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Restricted stock grants to chief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restricted stock to our Chief Executive Officer as more fully described in the section entitled “Executive compensation.”</w:t>
      </w:r>
    </w:p>
    <w:p>
      <w:pPr>
        <w:spacing w:after="0" w:line="15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456"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Indemnification agreements</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Directed share program</w:t>
      </w:r>
    </w:p>
    <w:p>
      <w:pPr>
        <w:spacing w:after="0" w:line="142" w:lineRule="exact"/>
        <w:rPr>
          <w:sz w:val="20"/>
          <w:szCs w:val="20"/>
          <w:color w:val="auto"/>
        </w:rPr>
      </w:pPr>
    </w:p>
    <w:p>
      <w:pPr>
        <w:spacing w:after="0"/>
        <w:tabs>
          <w:tab w:leader="none" w:pos="8320" w:val="left"/>
        </w:tabs>
        <w:rPr>
          <w:sz w:val="20"/>
          <w:szCs w:val="20"/>
          <w:color w:val="auto"/>
        </w:rPr>
      </w:pPr>
      <w:r>
        <w:rPr>
          <w:rFonts w:ascii="Arial" w:cs="Arial" w:eastAsia="Arial" w:hAnsi="Arial"/>
          <w:sz w:val="17"/>
          <w:szCs w:val="17"/>
          <w:color w:val="auto"/>
        </w:rPr>
        <w:t>At our request, the DSP Underwriter has reserved for sale, at the initial public offering price, up to</w:t>
      </w:r>
      <w:r>
        <w:rPr>
          <w:sz w:val="20"/>
          <w:szCs w:val="20"/>
          <w:color w:val="auto"/>
        </w:rPr>
        <w:tab/>
      </w:r>
      <w:r>
        <w:rPr>
          <w:rFonts w:ascii="Arial" w:cs="Arial" w:eastAsia="Arial" w:hAnsi="Arial"/>
          <w:sz w:val="17"/>
          <w:szCs w:val="17"/>
          <w:color w:val="auto"/>
        </w:rPr>
        <w:t>shares of common stock, or up to</w:t>
      </w:r>
    </w:p>
    <w:p>
      <w:pPr>
        <w:spacing w:after="0" w:line="5" w:lineRule="exact"/>
        <w:rPr>
          <w:sz w:val="20"/>
          <w:szCs w:val="20"/>
          <w:color w:val="auto"/>
        </w:rPr>
      </w:pPr>
    </w:p>
    <w:p>
      <w:pPr>
        <w:ind w:right="200" w:firstLine="587"/>
        <w:spacing w:after="0" w:line="249" w:lineRule="auto"/>
        <w:tabs>
          <w:tab w:leader="none" w:pos="78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of the shares of our common stock offered hereby, for officers, directors, employees and certain related persons. Any directed shares not purchased will be offered by the DSP Underwriter to the general public on the same basis as all other shares offered by this prospectus. Individuals who purchase shares in directed share program will be subject to the 180-day lock-up restrictions with respect to such shares as described in the “Underwriting” section of this prospectus. We have agreed to indemnify the DSP Underwriter against certain liabilities and expenses, including liabilities under the Securities Act, in connection with the sales of the directed shares. See “Underwriting—Directed share program.”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Policies for approval of related party transactions</w:t>
      </w:r>
    </w:p>
    <w:p>
      <w:pPr>
        <w:spacing w:after="0" w:line="14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9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this offering, we expect to adopt a written related party transactions policy that will provide that such transactions must be approved by our audit committee. This policy will become effective on the date on which the registration statement of which this prospectus forms a part is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00"/>
          </w:cols>
          <w:pgMar w:left="320" w:top="456" w:right="3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as of March 31, 2021, information regarding the beneficial ownership of our common stock by:</w:t>
      </w:r>
    </w:p>
    <w:p>
      <w:pPr>
        <w:spacing w:after="0" w:line="125" w:lineRule="exact"/>
        <w:rPr>
          <w:sz w:val="20"/>
          <w:szCs w:val="20"/>
          <w:color w:val="auto"/>
        </w:rPr>
      </w:pPr>
    </w:p>
    <w:p>
      <w:pPr>
        <w:ind w:left="220" w:right="160" w:hanging="213"/>
        <w:spacing w:after="0" w:line="263" w:lineRule="auto"/>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 the beneficial owner of five percent or more of our outstanding common stock (on an as-converted to common stock basis);</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112"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The information in the following table is calculated based on shares of common stock deemed to be outstanding before this offering and shares of common stock outstanding after this offering, assuming no exercise by the underwriters of their option to purchase</w:t>
      </w:r>
    </w:p>
    <w:p>
      <w:pPr>
        <w:spacing w:after="0"/>
        <w:rPr>
          <w:sz w:val="20"/>
          <w:szCs w:val="20"/>
          <w:color w:val="auto"/>
        </w:rPr>
      </w:pPr>
      <w:r>
        <w:rPr>
          <w:rFonts w:ascii="Arial" w:cs="Arial" w:eastAsia="Arial" w:hAnsi="Arial"/>
          <w:sz w:val="17"/>
          <w:szCs w:val="17"/>
          <w:color w:val="auto"/>
        </w:rPr>
        <w:t>additional shares of common stock. The number of shares outstanding is based on the number of shares of common stock outstanding as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March 31, 2021 as adjusted to give effect to:</w:t>
      </w:r>
    </w:p>
    <w:p>
      <w:pPr>
        <w:spacing w:after="0" w:line="125" w:lineRule="exact"/>
        <w:rPr>
          <w:sz w:val="20"/>
          <w:szCs w:val="20"/>
          <w:color w:val="auto"/>
        </w:rPr>
      </w:pPr>
    </w:p>
    <w:p>
      <w:pPr>
        <w:ind w:left="220" w:hanging="213"/>
        <w:spacing w:after="0" w:line="263" w:lineRule="auto"/>
        <w:tabs>
          <w:tab w:leader="none" w:pos="2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an aggregate of 109,686,035 shares of common stock upon the completion of this offering; and</w:t>
      </w:r>
    </w:p>
    <w:p>
      <w:pPr>
        <w:spacing w:after="0" w:line="93" w:lineRule="exact"/>
        <w:rPr>
          <w:sz w:val="20"/>
          <w:szCs w:val="20"/>
          <w:color w:val="auto"/>
        </w:rPr>
      </w:pPr>
    </w:p>
    <w:p>
      <w:pPr>
        <w:spacing w:after="0"/>
        <w:tabs>
          <w:tab w:leader="none" w:pos="200" w:val="left"/>
          <w:tab w:leader="none" w:pos="1820" w:val="left"/>
        </w:tabs>
        <w:rPr>
          <w:sz w:val="20"/>
          <w:szCs w:val="20"/>
          <w:color w:val="auto"/>
        </w:rPr>
      </w:pPr>
      <w:r>
        <w:rPr>
          <w:rFonts w:ascii="Arial" w:cs="Arial" w:eastAsia="Arial" w:hAnsi="Arial"/>
          <w:sz w:val="17"/>
          <w:szCs w:val="17"/>
          <w:color w:val="auto"/>
        </w:rPr>
        <w:t>•</w:t>
        <w:tab/>
        <w:t>the sale of</w:t>
      </w:r>
      <w:r>
        <w:rPr>
          <w:sz w:val="20"/>
          <w:szCs w:val="20"/>
          <w:color w:val="auto"/>
        </w:rPr>
        <w:tab/>
      </w:r>
      <w:r>
        <w:rPr>
          <w:rFonts w:ascii="Arial" w:cs="Arial" w:eastAsia="Arial" w:hAnsi="Arial"/>
          <w:sz w:val="17"/>
          <w:szCs w:val="17"/>
          <w:color w:val="auto"/>
        </w:rPr>
        <w:t>shares of common stock in this offering (assuming no exercise of the underwriters’ option to purchase additional shares).</w:t>
      </w:r>
    </w:p>
    <w:p>
      <w:pPr>
        <w:spacing w:after="0" w:line="112"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Each individual or entity shown on the table has furnished information with respect to beneficial ownership. Except as otherwise indicated below, the address of each officer, director and five percent stockholder listed below is c/o Monte Rosa Therapeutics, Inc., 645 Summer Street, Suite 102, Boston, MA 02210.</w:t>
      </w:r>
    </w:p>
    <w:p>
      <w:pPr>
        <w:spacing w:after="0" w:line="8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March 31, 2021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20"/>
          </w:cols>
          <w:pgMar w:left="320" w:top="456"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The following table does not reflect any shares of common stock that may be purchased pursuant to our directed share program described under “Underwriting—Directed share program.” If any shares are purchased by our existing principal stockholders, directors or their affiliated entities, the number and percentage of shares of our common stock beneficially owned by them after this offering will differ from those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335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60" w:type="dxa"/>
            <w:vAlign w:val="bottom"/>
          </w:tcPr>
          <w:p>
            <w:pPr>
              <w:spacing w:after="0"/>
              <w:rPr>
                <w:sz w:val="17"/>
                <w:szCs w:val="17"/>
                <w:color w:val="auto"/>
              </w:rPr>
            </w:pPr>
          </w:p>
        </w:tc>
        <w:tc>
          <w:tcPr>
            <w:tcW w:w="2760" w:type="dxa"/>
            <w:vAlign w:val="bottom"/>
          </w:tcPr>
          <w:p>
            <w:pPr>
              <w:jc w:val="right"/>
              <w:ind w:right="553"/>
              <w:spacing w:after="0"/>
              <w:rPr>
                <w:sz w:val="20"/>
                <w:szCs w:val="20"/>
                <w:color w:val="auto"/>
              </w:rPr>
            </w:pPr>
            <w:r>
              <w:rPr>
                <w:rFonts w:ascii="Arial" w:cs="Arial" w:eastAsia="Arial" w:hAnsi="Arial"/>
                <w:sz w:val="17"/>
                <w:szCs w:val="17"/>
                <w:b w:val="1"/>
                <w:bCs w:val="1"/>
                <w:color w:val="auto"/>
              </w:rPr>
              <w:t>Shares of</w:t>
            </w:r>
          </w:p>
        </w:tc>
        <w:tc>
          <w:tcPr>
            <w:tcW w:w="21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Percentage of shares</w:t>
            </w:r>
          </w:p>
        </w:tc>
      </w:tr>
      <w:tr>
        <w:trPr>
          <w:trHeight w:val="214"/>
        </w:trPr>
        <w:tc>
          <w:tcPr>
            <w:tcW w:w="6360" w:type="dxa"/>
            <w:vAlign w:val="bottom"/>
          </w:tcPr>
          <w:p>
            <w:pPr>
              <w:spacing w:after="0"/>
              <w:rPr>
                <w:sz w:val="18"/>
                <w:szCs w:val="18"/>
                <w:color w:val="auto"/>
              </w:rPr>
            </w:pPr>
          </w:p>
        </w:tc>
        <w:tc>
          <w:tcPr>
            <w:tcW w:w="2760" w:type="dxa"/>
            <w:vAlign w:val="bottom"/>
          </w:tcPr>
          <w:p>
            <w:pPr>
              <w:jc w:val="right"/>
              <w:ind w:right="553"/>
              <w:spacing w:after="0"/>
              <w:rPr>
                <w:sz w:val="20"/>
                <w:szCs w:val="20"/>
                <w:color w:val="auto"/>
              </w:rPr>
            </w:pPr>
            <w:r>
              <w:rPr>
                <w:rFonts w:ascii="Arial" w:cs="Arial" w:eastAsia="Arial" w:hAnsi="Arial"/>
                <w:sz w:val="17"/>
                <w:szCs w:val="17"/>
                <w:b w:val="1"/>
                <w:bCs w:val="1"/>
                <w:color w:val="auto"/>
              </w:rPr>
              <w:t>common stock</w:t>
            </w:r>
          </w:p>
        </w:tc>
        <w:tc>
          <w:tcPr>
            <w:tcW w:w="21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beneficially owned</w:t>
            </w:r>
          </w:p>
        </w:tc>
      </w:tr>
      <w:tr>
        <w:trPr>
          <w:trHeight w:val="175"/>
        </w:trPr>
        <w:tc>
          <w:tcPr>
            <w:tcW w:w="6360" w:type="dxa"/>
            <w:vAlign w:val="bottom"/>
          </w:tcPr>
          <w:p>
            <w:pPr>
              <w:spacing w:after="0"/>
              <w:rPr>
                <w:sz w:val="15"/>
                <w:szCs w:val="15"/>
                <w:color w:val="auto"/>
              </w:rPr>
            </w:pPr>
          </w:p>
        </w:tc>
        <w:tc>
          <w:tcPr>
            <w:tcW w:w="2760" w:type="dxa"/>
            <w:vAlign w:val="bottom"/>
          </w:tcPr>
          <w:p>
            <w:pPr>
              <w:jc w:val="right"/>
              <w:ind w:right="553"/>
              <w:spacing w:after="0" w:line="176" w:lineRule="exact"/>
              <w:rPr>
                <w:sz w:val="20"/>
                <w:szCs w:val="20"/>
                <w:color w:val="auto"/>
              </w:rPr>
            </w:pPr>
            <w:r>
              <w:rPr>
                <w:rFonts w:ascii="Arial" w:cs="Arial" w:eastAsia="Arial" w:hAnsi="Arial"/>
                <w:sz w:val="17"/>
                <w:szCs w:val="17"/>
                <w:b w:val="1"/>
                <w:bCs w:val="1"/>
                <w:color w:val="auto"/>
              </w:rPr>
              <w:t>beneficially</w:t>
            </w:r>
          </w:p>
        </w:tc>
        <w:tc>
          <w:tcPr>
            <w:tcW w:w="1120" w:type="dxa"/>
            <w:vAlign w:val="bottom"/>
            <w:tcBorders>
              <w:top w:val="single" w:sz="8" w:color="auto"/>
            </w:tcBorders>
          </w:tcPr>
          <w:p>
            <w:pPr>
              <w:jc w:val="right"/>
              <w:ind w:right="233"/>
              <w:spacing w:after="0" w:line="176" w:lineRule="exact"/>
              <w:rPr>
                <w:sz w:val="20"/>
                <w:szCs w:val="20"/>
                <w:color w:val="auto"/>
              </w:rPr>
            </w:pPr>
            <w:r>
              <w:rPr>
                <w:rFonts w:ascii="Arial" w:cs="Arial" w:eastAsia="Arial" w:hAnsi="Arial"/>
                <w:sz w:val="17"/>
                <w:szCs w:val="17"/>
                <w:b w:val="1"/>
                <w:bCs w:val="1"/>
                <w:color w:val="auto"/>
              </w:rPr>
              <w:t>Before</w:t>
            </w: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After</w:t>
            </w:r>
          </w:p>
        </w:tc>
        <w:tc>
          <w:tcPr>
            <w:tcW w:w="40" w:type="dxa"/>
            <w:vAlign w:val="bottom"/>
          </w:tcPr>
          <w:p>
            <w:pPr>
              <w:spacing w:after="0"/>
              <w:rPr>
                <w:sz w:val="15"/>
                <w:szCs w:val="15"/>
                <w:color w:val="auto"/>
              </w:rPr>
            </w:pPr>
          </w:p>
        </w:tc>
      </w:tr>
      <w:tr>
        <w:trPr>
          <w:trHeight w:val="233"/>
        </w:trPr>
        <w:tc>
          <w:tcPr>
            <w:tcW w:w="63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owned</w:t>
            </w: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offering</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offering</w:t>
            </w:r>
          </w:p>
        </w:tc>
      </w:tr>
      <w:tr>
        <w:trPr>
          <w:trHeight w:val="47"/>
        </w:trPr>
        <w:tc>
          <w:tcPr>
            <w:tcW w:w="6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1"/>
        </w:trPr>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or Greater Stockholders</w:t>
            </w:r>
          </w:p>
        </w:tc>
        <w:tc>
          <w:tcPr>
            <w:tcW w:w="2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Entities affiliated with Versant Ventures(1)</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30,853,608</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26.23%</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Entities affiliated with New Enterprise Associates(2)</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23,489,146</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19.97%</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Entities affiliated with Cormorant Asset Management, LLC(3)</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9,187,080</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7.81%</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Avoro Life Sciences Fund LLC</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6,748,321</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5.74%</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Entities affiliated with FMR LLC(4)</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6,748,321</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5.74%</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HBM Healthcare Investments (Cayman) Ltd.(5)</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6,349,664</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5.40%</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67"/>
        </w:trPr>
        <w:tc>
          <w:tcPr>
            <w:tcW w:w="6360" w:type="dxa"/>
            <w:vAlign w:val="bottom"/>
          </w:tcPr>
          <w:p>
            <w:pPr>
              <w:spacing w:after="0"/>
              <w:rPr>
                <w:sz w:val="20"/>
                <w:szCs w:val="20"/>
                <w:color w:val="auto"/>
              </w:rPr>
            </w:pPr>
            <w:r>
              <w:rPr>
                <w:rFonts w:ascii="Arial" w:cs="Arial" w:eastAsia="Arial" w:hAnsi="Arial"/>
                <w:sz w:val="17"/>
                <w:szCs w:val="17"/>
                <w:b w:val="1"/>
                <w:bCs w:val="1"/>
                <w:color w:val="auto"/>
              </w:rPr>
              <w:t>Directors, Named Executive Officers and Other Executive Officers</w:t>
            </w:r>
          </w:p>
        </w:tc>
        <w:tc>
          <w:tcPr>
            <w:tcW w:w="2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Alexander Mayweg</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Bradley J. Bolzon</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Ali Behbahani</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Kimberly L. Blackwell</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Andrew Schiff</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Chandra P. Leo</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Christine Siu</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Markus Warmuth</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1,470,588</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1.25%</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Ajim Tamboli</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Owen Wallace</w:t>
            </w:r>
          </w:p>
        </w:tc>
        <w:tc>
          <w:tcPr>
            <w:tcW w:w="2760" w:type="dxa"/>
            <w:vAlign w:val="bottom"/>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Sharon Townson</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6360" w:type="dxa"/>
            <w:vAlign w:val="bottom"/>
          </w:tcPr>
          <w:p>
            <w:pPr>
              <w:ind w:left="220"/>
              <w:spacing w:after="0"/>
              <w:rPr>
                <w:sz w:val="20"/>
                <w:szCs w:val="20"/>
                <w:color w:val="auto"/>
              </w:rPr>
            </w:pPr>
            <w:r>
              <w:rPr>
                <w:rFonts w:ascii="Arial" w:cs="Arial" w:eastAsia="Arial" w:hAnsi="Arial"/>
                <w:sz w:val="17"/>
                <w:szCs w:val="17"/>
                <w:color w:val="auto"/>
              </w:rPr>
              <w:t>John Castle</w:t>
            </w:r>
          </w:p>
        </w:tc>
        <w:tc>
          <w:tcPr>
            <w:tcW w:w="2760" w:type="dxa"/>
            <w:vAlign w:val="bottom"/>
          </w:tcPr>
          <w:p>
            <w:pPr>
              <w:jc w:val="right"/>
              <w:ind w:right="333"/>
              <w:spacing w:after="0"/>
              <w:rPr>
                <w:sz w:val="20"/>
                <w:szCs w:val="20"/>
                <w:color w:val="auto"/>
              </w:rPr>
            </w:pPr>
            <w:r>
              <w:rPr>
                <w:rFonts w:ascii="Arial" w:cs="Arial" w:eastAsia="Arial" w:hAnsi="Arial"/>
                <w:sz w:val="17"/>
                <w:szCs w:val="17"/>
                <w:color w:val="auto"/>
              </w:rPr>
              <w:t>61,114(6)</w:t>
            </w: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Filip Janku</w:t>
            </w:r>
          </w:p>
        </w:tc>
        <w:tc>
          <w:tcPr>
            <w:tcW w:w="2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3"/>
        </w:trPr>
        <w:tc>
          <w:tcPr>
            <w:tcW w:w="6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All executive officers and directors as a group (13 persons)</w:t>
            </w:r>
          </w:p>
        </w:tc>
        <w:tc>
          <w:tcPr>
            <w:tcW w:w="27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1,531,702</w:t>
            </w: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1.30%</w:t>
            </w: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66" w:lineRule="exact"/>
        <w:rPr>
          <w:sz w:val="20"/>
          <w:szCs w:val="20"/>
          <w:color w:val="auto"/>
        </w:rPr>
      </w:pPr>
    </w:p>
    <w:p>
      <w:pPr>
        <w:ind w:left="320" w:hanging="313"/>
        <w:spacing w:after="0"/>
        <w:tabs>
          <w:tab w:leader="none" w:pos="3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64" w:lineRule="exact"/>
        <w:rPr>
          <w:sz w:val="20"/>
          <w:szCs w:val="20"/>
          <w:color w:val="auto"/>
        </w:rPr>
      </w:pPr>
    </w:p>
    <w:p>
      <w:pPr>
        <w:ind w:left="320" w:right="20" w:hanging="313"/>
        <w:spacing w:after="0" w:line="238" w:lineRule="auto"/>
        <w:tabs>
          <w:tab w:leader="none" w:pos="3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(a) 1,000,000 shares of common stock purchased by Versant Venture Capital VI, L.P., (b) 20,004,280 shares of common stock issuable upon conversion of the Series A convertible preferred stock purchased by Versant Venture Capital VI, L.P., (c) 3,000,000 shares of common stock issuable upon conversion of the Series B convertible preferred stock purchased by Versant Venture Capital VI, L.P., (d) 4,150,000 shares of common stock issuable upon conversion of the Series B convertible preferred stock purchased by Versant Vantage I, L.P. and (e) 2,699,328 shares of common stock issuable upon conversion of the Series C convertible preferred stock purchased by Versant Vantage I, L.P. Versant Ventures VI GP, L.P. (“VV VI GP”) is the general partner of Versant Venture Capital VI, L.P. (“VVC VI”) and Versant Ventures VI GP-GP, LLC (“VV VI GP-GP”) is the general partner of VV VI GP. Each of Bradley J. Bolzon, a member of our board of directors, Jerel C. Davis, Kirk G. Nielsen, Clare Ozawa, Robin L. Praeger and Tom Woiwode Ph.D., as managing directors of VV VI GP-GP, may be deemed to share voting and dispositive power over the shares held by VVC VI. Versant Vantage I GP, L.P. (“VV I GP”) is the general partner of Versant Vantage I, L.P. (“VV I”), and Versant Vantage I GP-GP, LLC (“VV I GP-GP”) is the general partner of VV I GP. Each of Bradley J. Bolzon, a member of our board of directors, Jerel C. Davis, Clare Ozawa, Robin L. Praeger and Dr. Woiwode, as managing directors of VV I GP-GP, may be deemed to share voting and dispositive power over the shares held by VV I. Bradley J. Bolzon may be deemed to have voting or dispositive power with respect to any of the above referenced shares and disclaims beneficial ownership of such shares except to the extent of his pecuniary interest therein. Additionally, all indirect holders of the above referenced shares disclaim beneficial ownership of all applicable shares except to the extent of their respective pecuniary interest therein. The address for VVC VI and VV I is One Sansome Street, Suite 3630, San Francisco, CA 94104.</w:t>
      </w:r>
    </w:p>
    <w:p>
      <w:pPr>
        <w:spacing w:after="0" w:line="50" w:lineRule="exact"/>
        <w:rPr>
          <w:rFonts w:ascii="Arial" w:cs="Arial" w:eastAsia="Arial" w:hAnsi="Arial"/>
          <w:sz w:val="13"/>
          <w:szCs w:val="13"/>
          <w:color w:val="auto"/>
        </w:rPr>
      </w:pPr>
    </w:p>
    <w:p>
      <w:pPr>
        <w:ind w:left="320" w:hanging="313"/>
        <w:spacing w:after="0"/>
        <w:tabs>
          <w:tab w:leader="none" w:pos="3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(a) 9,588,725 shares of common stock issuable upon conversion of the Series A convertible preferred stock purchased by New Enterprise Associates 17, L.P. (NEA 17),</w:t>
      </w:r>
    </w:p>
    <w:p>
      <w:pPr>
        <w:ind w:left="320" w:right="60"/>
        <w:spacing w:after="0"/>
        <w:rPr>
          <w:rFonts w:ascii="Arial" w:cs="Arial" w:eastAsia="Arial" w:hAnsi="Arial"/>
          <w:sz w:val="13"/>
          <w:szCs w:val="13"/>
          <w:color w:val="auto"/>
        </w:rPr>
      </w:pPr>
      <w:r>
        <w:rPr>
          <w:rFonts w:ascii="Arial" w:cs="Arial" w:eastAsia="Arial" w:hAnsi="Arial"/>
          <w:sz w:val="13"/>
          <w:szCs w:val="13"/>
          <w:color w:val="auto"/>
        </w:rPr>
        <w:t>(b) 38,509 shares of common stock issuable upon conversion of the Series A convertible preferred stock purchased by NEA Ventures 2019, L.P. (NEA Ventures), (c) 11,500,000 shares of common stock issuable upon conversion of the Series B convertible preferred stock purchased by NEA 17 and (d) 2,361,912 shares of common stock issuable upon conversion of the Series C convertible preferred stock purchased by NEA 17. The shares directly held by NEA 17 are indirectly held by NEA Partners 17, L.P. (NEA Partners 17) the sole general partner of NEA 17, NEA 17 GP, LLC (NEA 17 LLC) the sole general partner of NEA Partners 17 and each of the individual managers of NEA 17 LLC. The individual managers, or collectively, the managers, of NEA 17 LLC are Forest Baskett, Ali Behbahani, Carmen Chang, Anthony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456"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40" w:right="60"/>
        <w:spacing w:after="0" w:line="239" w:lineRule="auto"/>
        <w:rPr>
          <w:sz w:val="20"/>
          <w:szCs w:val="20"/>
          <w:color w:val="auto"/>
        </w:rPr>
      </w:pPr>
      <w:r>
        <w:rPr>
          <w:rFonts w:ascii="Arial" w:cs="Arial" w:eastAsia="Arial" w:hAnsi="Arial"/>
          <w:sz w:val="13"/>
          <w:szCs w:val="13"/>
          <w:color w:val="auto"/>
        </w:rPr>
        <w:t>Florence, Jr., Edward Mathers, Mohamad Makhzoumi, Joshua Makower, Scott D. Sandell, Paul Walker, Rick Yang, Liza Landsman, and Peter Sonsini. The managers share voting and dispositive power with regard to the shares held by NEA 17. Karen P. Welsh, the general partner of NEA Ventures, has sole voting and dispositive power with regard to the shares held by NEA Ventures. Ali Behbahani, a member of our board of directors, is employed as a General Partner at New Enterprise Associates, Inc., has no voting or investment power over the shares owned of record by NEA Ventures, and disclaims beneficial ownership of all shares except to the extent of his actual pecuniary interest in such shares. All indirect owners of the above referenced shares disclaim beneficial ownership of all applicable shares except to the extent of their actual pecuniary interest in such shares. The address of New Enterprise Associates 17, L.P. and its affiliated entity is c/o New Enterprise Associates, 1954 Greenspring Drive, Suite 600, Timonium, Maryland 21093.</w:t>
      </w:r>
    </w:p>
    <w:p>
      <w:pPr>
        <w:spacing w:after="0" w:line="54" w:lineRule="exact"/>
        <w:rPr>
          <w:sz w:val="20"/>
          <w:szCs w:val="20"/>
          <w:color w:val="auto"/>
        </w:rPr>
      </w:pPr>
    </w:p>
    <w:p>
      <w:pPr>
        <w:ind w:left="320" w:hanging="313"/>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(a) 3,723,000 shares of common stock issuable upon conversion of the Series B convertible preferred stock purchased by Cormorant Private Healthcare Fund III, LP,</w:t>
      </w:r>
    </w:p>
    <w:p>
      <w:pPr>
        <w:ind w:left="320" w:firstLine="8"/>
        <w:spacing w:after="0" w:line="239" w:lineRule="auto"/>
        <w:tabs>
          <w:tab w:leader="none" w:pos="521" w:val="left"/>
        </w:tabs>
        <w:numPr>
          <w:ilvl w:val="1"/>
          <w:numId w:val="114"/>
        </w:numPr>
        <w:rPr>
          <w:rFonts w:ascii="Arial" w:cs="Arial" w:eastAsia="Arial" w:hAnsi="Arial"/>
          <w:sz w:val="13"/>
          <w:szCs w:val="13"/>
          <w:color w:val="auto"/>
        </w:rPr>
      </w:pPr>
      <w:r>
        <w:rPr>
          <w:rFonts w:ascii="Arial" w:cs="Arial" w:eastAsia="Arial" w:hAnsi="Arial"/>
          <w:sz w:val="13"/>
          <w:szCs w:val="13"/>
          <w:color w:val="auto"/>
        </w:rPr>
        <w:t>2,978,250 shares of common stock issuable upon conversion of the Series B convertible preferred stock purchased by Cormorant Private Healthcare Fund II, LP, (c) 798,750 shares of common stock issuable upon conversion of the Series B convertible preferred stock purchased by Cormorant Global Healthcare Master Fund, LP, (d) 1,287,664 shares of common stock issuable upon conversion of the Series C convertible preferred stock purchased by Cormorant Private Healthcare Fund III, LP., (e) 369,470 shares of common stock issuable upon conversion of the Series C convertible preferred stock purchased by Cormorant Global Healthcare Master Fund, LP and (f) 29,946 shares of common stock issuable upon conversion of the Series C convertible preferred stock purchased by CRMA SPV, L.P. Cormorant Asset Management LP (“Cormorant Management”) serves as the investment manager to the Cormorant funds listed above (“Cormorant Funds”), and Bihua Chen serves as the managing member of Cormorant Management. Ms. Chen may be deemed to beneficially own the shares held by the Cormorant Funds. The business address of the Cormorant Funds, Cormorant Management, and Ms. Chen is 200 Clarendon Street, 52nd Floor, Boston, MA 02116.</w:t>
      </w:r>
    </w:p>
    <w:p>
      <w:pPr>
        <w:spacing w:after="0" w:line="52" w:lineRule="exact"/>
        <w:rPr>
          <w:rFonts w:ascii="Arial" w:cs="Arial" w:eastAsia="Arial" w:hAnsi="Arial"/>
          <w:sz w:val="13"/>
          <w:szCs w:val="13"/>
          <w:color w:val="auto"/>
        </w:rPr>
      </w:pPr>
    </w:p>
    <w:p>
      <w:pPr>
        <w:ind w:left="320" w:hanging="313"/>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(a) 5,061,241 shares of common stock issuable upon conversion of the Series C convertible preferred stock purchased by Fidelity Select Portfolios: Biotechnology Portfolio</w:t>
      </w:r>
    </w:p>
    <w:p>
      <w:pPr>
        <w:ind w:left="320"/>
        <w:spacing w:after="0" w:line="238" w:lineRule="auto"/>
        <w:rPr>
          <w:rFonts w:ascii="Arial" w:cs="Arial" w:eastAsia="Arial" w:hAnsi="Arial"/>
          <w:sz w:val="13"/>
          <w:szCs w:val="13"/>
          <w:color w:val="auto"/>
        </w:rPr>
      </w:pPr>
      <w:r>
        <w:rPr>
          <w:rFonts w:ascii="Arial" w:cs="Arial" w:eastAsia="Arial" w:hAnsi="Arial"/>
          <w:sz w:val="13"/>
          <w:szCs w:val="13"/>
          <w:color w:val="auto"/>
        </w:rPr>
        <w:t>and (b) 1,687,080 shares of common stock issuable upon conversion of the Series C convertible preferred stock purchased by Fidelity Advisor Series VII: Fidelity Advisor Biotechnology Fund.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The principal business address of all entities and persons listed in this footnote is 245 Summer Street, Boston, Massachusetts 02210.</w:t>
      </w:r>
    </w:p>
    <w:p>
      <w:pPr>
        <w:spacing w:after="0" w:line="53" w:lineRule="exact"/>
        <w:rPr>
          <w:rFonts w:ascii="Arial" w:cs="Arial" w:eastAsia="Arial" w:hAnsi="Arial"/>
          <w:sz w:val="13"/>
          <w:szCs w:val="13"/>
          <w:color w:val="auto"/>
        </w:rPr>
      </w:pPr>
    </w:p>
    <w:p>
      <w:pPr>
        <w:ind w:left="320" w:hanging="313"/>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(a) 5,000,000 shares of common stock issuable upon conversion of the Series B convertible preferred stock purchased by HBM Healthcare Investments (Cayman) Ltd. and</w:t>
      </w:r>
    </w:p>
    <w:p>
      <w:pPr>
        <w:ind w:left="320" w:right="40" w:firstLine="8"/>
        <w:spacing w:after="0"/>
        <w:tabs>
          <w:tab w:leader="none" w:pos="521" w:val="left"/>
        </w:tabs>
        <w:numPr>
          <w:ilvl w:val="1"/>
          <w:numId w:val="114"/>
        </w:numPr>
        <w:rPr>
          <w:rFonts w:ascii="Arial" w:cs="Arial" w:eastAsia="Arial" w:hAnsi="Arial"/>
          <w:sz w:val="13"/>
          <w:szCs w:val="13"/>
          <w:color w:val="auto"/>
        </w:rPr>
      </w:pPr>
      <w:r>
        <w:rPr>
          <w:rFonts w:ascii="Arial" w:cs="Arial" w:eastAsia="Arial" w:hAnsi="Arial"/>
          <w:sz w:val="13"/>
          <w:szCs w:val="13"/>
          <w:color w:val="auto"/>
        </w:rPr>
        <w:t>1,349,664 shares of common stock issuable upon conversion of the Series C convertible preferred stock purchased by HBM Healthcare Investments (Cayman) Ltd. 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 The address for HBM Healthcare Investments (Cayman) Ltd. is Governor’s Square, Suite #4-212-2, 23 Lime Tree Bay Avenue, PO Box 30852, Grand Cayman, KY1-1204, Cayman Islands.</w:t>
      </w:r>
    </w:p>
    <w:p>
      <w:pPr>
        <w:spacing w:after="0" w:line="54" w:lineRule="exact"/>
        <w:rPr>
          <w:rFonts w:ascii="Arial" w:cs="Arial" w:eastAsia="Arial" w:hAnsi="Arial"/>
          <w:sz w:val="13"/>
          <w:szCs w:val="13"/>
          <w:color w:val="auto"/>
        </w:rPr>
      </w:pPr>
    </w:p>
    <w:p>
      <w:pPr>
        <w:ind w:left="320" w:hanging="313"/>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shares of common stock that the person has the right to acquire within 60 days of March 31, 2021 through the exercise of stock options.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20"/>
          </w:cols>
          <w:pgMar w:left="320" w:top="456"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capital stock</w:t>
      </w:r>
    </w:p>
    <w:p>
      <w:pPr>
        <w:spacing w:after="0" w:line="153"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following descriptions are summaries of the material terms of our amended and restated certificate of incorporation and amended and restated bylaws, which will be effective immediately upon the closing of this offering. The descriptions of the common stock and preferred stock give effect to changes to our capital structure that will occur immediately upon the closing of this offering. We refer in this section to our amended and restated certificate of incorporation as our certificate of incorporation, and we refer to our amended and restated bylaws as our bylaws.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14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Upon completion of this offering, our authorized capital stock will consist of 500,000,000 shares of common stock, par value $0.0001 per share, and 10,000,000 shares of preferred stock, par value $0.0001 per share, all of which shares of preferred stock will be undesignated.</w:t>
      </w:r>
    </w:p>
    <w:p>
      <w:pPr>
        <w:spacing w:after="0" w:line="80"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As of March 31, 2021, 7,721,034 shares of our common stock (of which 1,641,129 shares are subject to a right of repurchase by us pursuant to a stock restriction agreement between us and the holders of such shares) were outstanding and held of record by 30 stockholders, and 20,004,280 shares of Series A convertible preferred stock, 9,627,234 shares of Series A-2 convertible preferred stock and 24,000,000 shares of Series B convertible preferred stock were outstanding and held of record by 18 stockholders. This amount does not take into account the conversion of all outstanding shares of our preferred stock into common stock upon the closing of this offering.</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1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common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92"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Upon the completion of this offering, all outstanding shares of our preferred stock will be converted into shares of our common stock. Upon the closing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20"/>
          </w:cols>
          <w:pgMar w:left="320" w:top="456"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Options</w:t>
      </w:r>
    </w:p>
    <w:p>
      <w:pPr>
        <w:spacing w:after="0" w:line="142"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As of March 31, 2021, options to purchase 6,464,649 shares of common stock at a weighted-average exercise price of $0.57 per share were outstanding under our 2020 Stock Option and Grant Plan, as amended, or the 2020 Plan.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Upon the completion of this offering, the holders of shares of our preferred stock, including those issuable upon the conversion of preferred stock, will be entitled to rights with respect to the registration of these securities under the Securities Act. These rights are provided under the terms of a second amended and restated investors’ rights agreement between us, certain holders of our common stock and holders of our preferred stock. The second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Beginning 180 days after the effective date of this registration statement, the holders of shares of our common stock, including those issuable upon the conversion of shares of our preferred stock upon closing of this offering, are entitled to demand registration rights. Under the terms of the second amended and restated investors’ rights agreement, we will be required, upon the written request of holders of at least a majority of the securities eligible for registration then outstanding to file a registration statement with respect to at least a majority of the securities eligible for registration then outstanding, we will be required to file a registration statement covering all securities eligible for registration that our stockholders request to be included in such registration. We are required to effect only one registration pursuant to this provision of the second amended and restated investors’ rights agreement in any twelve-month period.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Short-form registration rights</w:t>
      </w:r>
    </w:p>
    <w:p>
      <w:pPr>
        <w:spacing w:after="0" w:line="13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Pursuant to the second amended and restated investors’ rights agreement, if we are eligible to file a registration statement on Form S-3, upon the written request of stockholders holding at least thirty percent of the securities eligible for registration then outstanding we will be required to file a Form S-3 registration restatement with respect to outstanding securities of such stockholders having an anticipated aggregate offering, net of related fees and expenses, of at least $5.0 million. We are required to effect only two registrations in any twelve month period pursuant to this provision of the second amended and restated investors’ rights agreement. The right to have such shares registered on Form S-3 is further subject to other specified conditions and limitations.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3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Pursuant to the second amended and restated investors’ rights agreement, if we register any of our securities either for our own account or for the account of other security holders, the holders of our common stock, including those issuable upon the conversion of our preferred stock, are entitled to include their shares in the registration. Subject to certain exceptions contained in the second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20"/>
          </w:cols>
          <w:pgMar w:left="320" w:top="456"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32" w:lineRule="exact"/>
        <w:rPr>
          <w:sz w:val="20"/>
          <w:szCs w:val="20"/>
          <w:color w:val="auto"/>
        </w:rPr>
      </w:pPr>
    </w:p>
    <w:p>
      <w:pPr>
        <w:ind w:right="740"/>
        <w:spacing w:after="0" w:line="254" w:lineRule="auto"/>
        <w:rPr>
          <w:sz w:val="20"/>
          <w:szCs w:val="20"/>
          <w:color w:val="auto"/>
        </w:rPr>
      </w:pPr>
      <w:r>
        <w:rPr>
          <w:rFonts w:ascii="Arial" w:cs="Arial" w:eastAsia="Arial" w:hAnsi="Arial"/>
          <w:sz w:val="17"/>
          <w:szCs w:val="17"/>
          <w:color w:val="auto"/>
        </w:rPr>
        <w:t>Our second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32"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The demand registration rights and short form registration rights granted under the second amended and restated investors’ rights agreement will terminate on the fifth anniversary of the completion of this offering or at such time after this offering when the holders’ shares may be sold without restriction pursuant to Rule 144 under the Securities Act within a three month period.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3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Ordinarily, other than underwriting discounts and commissions, we are generally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blue-sky fees and expenses.</w:t>
      </w:r>
    </w:p>
    <w:p>
      <w:pPr>
        <w:spacing w:after="0" w:line="163" w:lineRule="exact"/>
        <w:rPr>
          <w:sz w:val="20"/>
          <w:szCs w:val="20"/>
          <w:color w:val="auto"/>
        </w:rPr>
      </w:pPr>
    </w:p>
    <w:p>
      <w:pPr>
        <w:ind w:right="240"/>
        <w:spacing w:after="0" w:line="281" w:lineRule="auto"/>
        <w:rPr>
          <w:sz w:val="20"/>
          <w:szCs w:val="20"/>
          <w:color w:val="auto"/>
        </w:rPr>
      </w:pPr>
      <w:r>
        <w:rPr>
          <w:rFonts w:ascii="Arial" w:cs="Arial" w:eastAsia="Arial" w:hAnsi="Arial"/>
          <w:sz w:val="21"/>
          <w:szCs w:val="21"/>
          <w:b w:val="1"/>
          <w:bCs w:val="1"/>
          <w:color w:val="auto"/>
        </w:rPr>
        <w:t>Anti-takeover effects of Delaware law and certain provisions of our certificate of incorporation and amended and restated bylaws</w:t>
      </w:r>
    </w:p>
    <w:p>
      <w:pPr>
        <w:spacing w:after="0" w:line="5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Some provisions of Delaware law, 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 and filling vacancies</w:t>
      </w:r>
    </w:p>
    <w:p>
      <w:pPr>
        <w:spacing w:after="0" w:line="13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132"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certificate of incorporation and bylaws provide that only a majority of the members of our board of directors then in office may call special meetings of stockholders and only those matters set forth in the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456"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740"/>
        <w:spacing w:after="0" w:line="263" w:lineRule="auto"/>
        <w:rPr>
          <w:sz w:val="20"/>
          <w:szCs w:val="20"/>
          <w:color w:val="auto"/>
        </w:rPr>
      </w:pPr>
      <w:r>
        <w:rPr>
          <w:rFonts w:ascii="Arial" w:cs="Arial" w:eastAsia="Arial" w:hAnsi="Arial"/>
          <w:sz w:val="17"/>
          <w:szCs w:val="17"/>
          <w:color w:val="auto"/>
        </w:rPr>
        <w:t>of the special meeting may be considered or acted upon at a special meeting of stockholders. Our bylaws limit the business that may be conducted at an annual meeting of stockholders to those matters properly brought before the meeting.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certificate of incorporation and bylaws</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3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180"/>
          </w:cols>
          <w:pgMar w:left="320" w:top="456" w:right="3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220" w:right="40" w:hanging="213"/>
        <w:spacing w:after="0" w:line="263" w:lineRule="auto"/>
        <w:tabs>
          <w:tab w:leader="none" w:pos="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pacing w:after="0" w:line="93" w:lineRule="exact"/>
        <w:rPr>
          <w:rFonts w:ascii="Arial" w:cs="Arial" w:eastAsia="Arial" w:hAnsi="Arial"/>
          <w:sz w:val="17"/>
          <w:szCs w:val="17"/>
          <w:color w:val="auto"/>
        </w:rPr>
      </w:pPr>
    </w:p>
    <w:p>
      <w:pPr>
        <w:ind w:left="220" w:right="20" w:hanging="213"/>
        <w:spacing w:after="0" w:line="251" w:lineRule="auto"/>
        <w:tabs>
          <w:tab w:leader="none" w:pos="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5" w:lineRule="exact"/>
        <w:rPr>
          <w:rFonts w:ascii="Arial" w:cs="Arial" w:eastAsia="Arial" w:hAnsi="Arial"/>
          <w:sz w:val="17"/>
          <w:szCs w:val="17"/>
          <w:color w:val="auto"/>
        </w:rPr>
      </w:pPr>
    </w:p>
    <w:p>
      <w:pPr>
        <w:ind w:left="220" w:hanging="213"/>
        <w:spacing w:after="0" w:line="254" w:lineRule="auto"/>
        <w:tabs>
          <w:tab w:leader="none" w:pos="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Section 203 defines a business combination to include:</w:t>
      </w:r>
    </w:p>
    <w:p>
      <w:pPr>
        <w:spacing w:after="0" w:line="125" w:lineRule="exact"/>
        <w:rPr>
          <w:sz w:val="20"/>
          <w:szCs w:val="20"/>
          <w:color w:val="auto"/>
        </w:rPr>
      </w:pPr>
    </w:p>
    <w:p>
      <w:pPr>
        <w:ind w:left="220" w:hanging="213"/>
        <w:spacing w:after="0"/>
        <w:tabs>
          <w:tab w:leader="none" w:pos="2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25" w:lineRule="exact"/>
        <w:rPr>
          <w:rFonts w:ascii="Arial" w:cs="Arial" w:eastAsia="Arial" w:hAnsi="Arial"/>
          <w:sz w:val="17"/>
          <w:szCs w:val="17"/>
          <w:color w:val="auto"/>
        </w:rPr>
      </w:pPr>
    </w:p>
    <w:p>
      <w:pPr>
        <w:ind w:left="220" w:right="100" w:hanging="213"/>
        <w:spacing w:after="0" w:line="263" w:lineRule="auto"/>
        <w:tabs>
          <w:tab w:leader="none" w:pos="2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sale, transfer, lease, pledge, exchange, mortgage or other disposition involving the interested stockholder of 10% or more of the assets of the corporation;</w:t>
      </w:r>
    </w:p>
    <w:p>
      <w:pPr>
        <w:spacing w:after="0" w:line="93" w:lineRule="exact"/>
        <w:rPr>
          <w:rFonts w:ascii="Arial" w:cs="Arial" w:eastAsia="Arial" w:hAnsi="Arial"/>
          <w:sz w:val="17"/>
          <w:szCs w:val="17"/>
          <w:color w:val="auto"/>
        </w:rPr>
      </w:pPr>
    </w:p>
    <w:p>
      <w:pPr>
        <w:ind w:left="220" w:right="20" w:hanging="213"/>
        <w:spacing w:after="0" w:line="263" w:lineRule="auto"/>
        <w:tabs>
          <w:tab w:leader="none" w:pos="2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subject to exceptions, any transaction that results in the issuance or transfer by the corporation of any stock of the corporation to the interested stockholder; or</w:t>
      </w:r>
    </w:p>
    <w:p>
      <w:pPr>
        <w:spacing w:after="0" w:line="93" w:lineRule="exact"/>
        <w:rPr>
          <w:rFonts w:ascii="Arial" w:cs="Arial" w:eastAsia="Arial" w:hAnsi="Arial"/>
          <w:sz w:val="17"/>
          <w:szCs w:val="17"/>
          <w:color w:val="auto"/>
        </w:rPr>
      </w:pPr>
    </w:p>
    <w:p>
      <w:pPr>
        <w:ind w:left="220" w:right="200" w:hanging="213"/>
        <w:spacing w:after="0" w:line="263" w:lineRule="auto"/>
        <w:tabs>
          <w:tab w:leader="none" w:pos="2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Choice of forum</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bylaws that will be in effect upon the effectiveness of this registration statement provide that the Court of Chancery of the State of Delaware will be the exclusive forum for state law claims for (i) any derivative action or proceeding brought on our behalf, (ii) any action asserting a breach of fiduciary duty by one or more of our directors, officers or employees, (iii) any action asserting a claim against us arising pursuant to the Delaware General Corporation Law or (iv) any action asserting a claim against us that is governed by the internal affairs doctrine, in each case subject to the Court of Chancery having personal jurisdiction over the indispensable parties named as defendants therein, or the Delaware Forum Provision; provided, however, that this forum provision will not apply to any causes of action arising under the Exchange Act or the Securities Act. In addition, our amended and restated bylaws will provide that any person or entity purchasing or otherwise acquiring any interest in shares of our common stock is deemed to have notice of and consented to the Delaware Forum Provision. We recognize that the Delaware Forum Provision in our bylaws may impose additional litigation costs on stockholders in pursuing any such claims, particularly if the stockholders do not reside in or near the State of Delaware. Additionally, the Delaware Forum Provision may limit our stockholders’ ability to bring a claim in a judicial forum that they find favorable for disputes with us or our directors, officers or employees, which may discourage such lawsuits against us and our directors, officers and employees.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00"/>
          </w:cols>
          <w:pgMar w:left="320" w:top="456" w:right="3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exchange listing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common stock on The Nasdaq Global Market under the proposed trading symbol “GLUE”.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Transfer Agent and Registrar for our common stock will be Computershare Trust Company, N.A.</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Shares eligible for future sale</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shares of our common stock in the public market after such restrictions lapse, or the perception that those sales may occur, could adversely affect the prevailing market price at such time and our ability to raise equity capital in the future.</w:t>
      </w:r>
    </w:p>
    <w:p>
      <w:pPr>
        <w:spacing w:after="0" w:line="9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Based on the number of shares outstanding as of March 31, 2021, upon the completion of this offering, shares of our common stock will be outstanding, assuming the issuance of shares offered by us in this offering, no exercise of the underwriters’ option to purchase</w:t>
      </w:r>
    </w:p>
    <w:p>
      <w:pPr>
        <w:ind w:right="20"/>
        <w:spacing w:after="0" w:line="249" w:lineRule="auto"/>
        <w:rPr>
          <w:sz w:val="20"/>
          <w:szCs w:val="20"/>
          <w:color w:val="auto"/>
        </w:rPr>
      </w:pPr>
      <w:r>
        <w:rPr>
          <w:rFonts w:ascii="Arial" w:cs="Arial" w:eastAsia="Arial" w:hAnsi="Arial"/>
          <w:sz w:val="17"/>
          <w:szCs w:val="17"/>
          <w:color w:val="auto"/>
        </w:rPr>
        <w:t>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restricted shares of common stock are subject to time-based vesting terms. All remaining shares of common stock held by existing stockholders immediately prior to the completion of this offering will be “restricted securities” as such term is defined in Rule 144 under the Securities Act.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5" w:lineRule="exact"/>
        <w:rPr>
          <w:sz w:val="20"/>
          <w:szCs w:val="20"/>
          <w:color w:val="auto"/>
        </w:rPr>
      </w:pPr>
    </w:p>
    <w:p>
      <w:pPr>
        <w:ind w:firstLine="7"/>
        <w:spacing w:after="0" w:line="250" w:lineRule="auto"/>
        <w:tabs>
          <w:tab w:leader="none" w:pos="20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such person is not deemed to have been one of our affiliates at the time of, or at any time during the 90 days preceding, a sale and (ii) we are subject to the periodic reporting requirements of the Exchange Act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jc w:val="center"/>
        <w:ind w:right="180"/>
        <w:spacing w:after="0" w:line="246" w:lineRule="auto"/>
        <w:tabs>
          <w:tab w:leader="none" w:pos="140" w:val="left"/>
        </w:tabs>
        <w:rPr>
          <w:sz w:val="20"/>
          <w:szCs w:val="20"/>
          <w:color w:val="auto"/>
        </w:rPr>
      </w:pPr>
      <w:r>
        <w:rPr>
          <w:rFonts w:ascii="Arial" w:cs="Arial" w:eastAsia="Arial" w:hAnsi="Arial"/>
          <w:sz w:val="17"/>
          <w:szCs w:val="17"/>
          <w:color w:val="auto"/>
        </w:rPr>
        <w:t>•</w:t>
        <w:tab/>
        <w:t>1% of the number of shares then outstanding, which will equal approximately        shares immediately after this offering, assuming no exercise of the underwriters’ option to purchase additional shares, based on the number of shares outstanding as of March 31, 2021; or</w:t>
      </w:r>
    </w:p>
    <w:p>
      <w:pPr>
        <w:ind w:left="220" w:right="20" w:hanging="213"/>
        <w:spacing w:after="0" w:line="263" w:lineRule="auto"/>
        <w:tabs>
          <w:tab w:leader="none" w:pos="2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provided, in each case, that we are subject to the periodic reporting requirements of the Exchange Act for at least 90 days before the sale. Such sales both by affiliates and by non-affiliates must also comply with the manner of sale, current public information and notice provisions of Rule 144.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20"/>
          </w:cols>
          <w:pgMar w:left="320" w:top="456"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701</w:t>
      </w:r>
    </w:p>
    <w:p>
      <w:pPr>
        <w:spacing w:after="0" w:line="14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9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Lock-up agreements</w:t>
      </w:r>
    </w:p>
    <w:p>
      <w:pPr>
        <w:spacing w:after="0" w:line="14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We, all of our directors and officers and substantially all of our stockholders have agreed not to sell or otherwise transfer or dispose of any of our securities for a period of 180 days from the date of this prospectus, subject to certain exceptions. The representatives of the underwriters in this offering may, in their sole discretion, permit early release of shares subject to the lock-up agreements. See the section entitled “Underwriting,” appearing elsewhere in this prospectus for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incentive plans</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the date of this</w:t>
      </w:r>
    </w:p>
    <w:p>
      <w:pPr>
        <w:spacing w:after="0" w:line="1" w:lineRule="exact"/>
        <w:rPr>
          <w:sz w:val="20"/>
          <w:szCs w:val="20"/>
          <w:color w:val="auto"/>
        </w:rPr>
      </w:pPr>
    </w:p>
    <w:p>
      <w:pPr>
        <w:spacing w:after="0"/>
        <w:tabs>
          <w:tab w:leader="none" w:pos="8020" w:val="left"/>
        </w:tabs>
        <w:rPr>
          <w:sz w:val="20"/>
          <w:szCs w:val="20"/>
          <w:color w:val="auto"/>
        </w:rPr>
      </w:pPr>
      <w:r>
        <w:rPr>
          <w:rFonts w:ascii="Arial" w:cs="Arial" w:eastAsia="Arial" w:hAnsi="Arial"/>
          <w:sz w:val="17"/>
          <w:szCs w:val="17"/>
          <w:color w:val="auto"/>
        </w:rPr>
        <w:t>prospectus, we estimate that such registration statement on Form S-8 will cover approximately</w:t>
      </w:r>
      <w:r>
        <w:rPr>
          <w:sz w:val="20"/>
          <w:szCs w:val="20"/>
          <w:color w:val="auto"/>
        </w:rPr>
        <w:tab/>
      </w:r>
      <w:r>
        <w:rPr>
          <w:rFonts w:ascii="Arial" w:cs="Arial" w:eastAsia="Arial" w:hAnsi="Arial"/>
          <w:sz w:val="17"/>
          <w:szCs w:val="17"/>
          <w:color w:val="auto"/>
        </w:rPr>
        <w:t>shares.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20"/>
          </w:cols>
          <w:pgMar w:left="320" w:top="456" w:right="3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Material U.S. federal income tax considerations for non-U.S. holders</w:t>
      </w:r>
    </w:p>
    <w:p>
      <w:pPr>
        <w:spacing w:after="0" w:line="153"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102" w:lineRule="exact"/>
        <w:rPr>
          <w:sz w:val="20"/>
          <w:szCs w:val="20"/>
          <w:color w:val="auto"/>
        </w:rPr>
      </w:pPr>
    </w:p>
    <w:p>
      <w:pPr>
        <w:ind w:left="220" w:hanging="213"/>
        <w:spacing w:after="0"/>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non-resident alien individual;</w:t>
      </w:r>
    </w:p>
    <w:p>
      <w:pPr>
        <w:spacing w:after="0" w:line="125" w:lineRule="exact"/>
        <w:rPr>
          <w:rFonts w:ascii="Arial" w:cs="Arial" w:eastAsia="Arial" w:hAnsi="Arial"/>
          <w:sz w:val="17"/>
          <w:szCs w:val="17"/>
          <w:color w:val="auto"/>
        </w:rPr>
      </w:pPr>
    </w:p>
    <w:p>
      <w:pPr>
        <w:ind w:left="220" w:right="60" w:hanging="213"/>
        <w:spacing w:after="0" w:line="263" w:lineRule="auto"/>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corporation or other organization taxable as a corporation for U.S. federal income tax purposes that is created or organized in or under laws other than the laws of the United States, any state thereof, or the District of Columbia;</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estate the income of which is not subject to U.S. federal income tax on a net income basis; or</w:t>
      </w:r>
    </w:p>
    <w:p>
      <w:pPr>
        <w:spacing w:after="0" w:line="125" w:lineRule="exact"/>
        <w:rPr>
          <w:rFonts w:ascii="Arial" w:cs="Arial" w:eastAsia="Arial" w:hAnsi="Arial"/>
          <w:sz w:val="17"/>
          <w:szCs w:val="17"/>
          <w:color w:val="auto"/>
        </w:rPr>
      </w:pPr>
    </w:p>
    <w:p>
      <w:pPr>
        <w:ind w:left="220" w:right="20" w:hanging="213"/>
        <w:spacing w:after="0" w:line="254" w:lineRule="auto"/>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trust the income of which is not subject to U.S. federal income tax on a net income basis and that (i) is not subject to the primary supervision of a court within the United States or over which no U.S. persons have authority to control all substantial decisions and (ii) has not made an election to be treated as a U.S. person.</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9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U.S. state, local or non-U.S. taxes, the alternative minimum tax, the Medicare contribution tax on net investment income, the rules regarding qualified small business stock within the meaning of Section 1202 of the Code, or any other aspect of any U.S. federal tax other than income and estate taxes. This discussion also does not consider any specific facts or circumstances that may apply to a non-U.S. holder and does not address the special tax rules applicable to particular non-U.S. holders, such as:</w:t>
      </w:r>
    </w:p>
    <w:p>
      <w:pPr>
        <w:spacing w:after="0" w:line="105" w:lineRule="exact"/>
        <w:rPr>
          <w:sz w:val="20"/>
          <w:szCs w:val="20"/>
          <w:color w:val="auto"/>
        </w:rPr>
      </w:pPr>
    </w:p>
    <w:p>
      <w:pPr>
        <w:ind w:left="220" w:hanging="213"/>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tax-exempt or governmental organizations;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brokers or dealers in securities;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regulated investment companies;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140"/>
          </w:cols>
          <w:pgMar w:left="320" w:top="456"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25" w:lineRule="exact"/>
        <w:rPr>
          <w:rFonts w:ascii="Arial" w:cs="Arial" w:eastAsia="Arial" w:hAnsi="Arial"/>
          <w:sz w:val="17"/>
          <w:szCs w:val="17"/>
          <w:color w:val="auto"/>
        </w:rPr>
      </w:pPr>
    </w:p>
    <w:p>
      <w:pPr>
        <w:ind w:left="220" w:right="380" w:hanging="213"/>
        <w:spacing w:after="0" w:line="263" w:lineRule="auto"/>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93" w:lineRule="exact"/>
        <w:rPr>
          <w:rFonts w:ascii="Arial" w:cs="Arial" w:eastAsia="Arial" w:hAnsi="Arial"/>
          <w:sz w:val="17"/>
          <w:szCs w:val="17"/>
          <w:color w:val="auto"/>
        </w:rPr>
      </w:pPr>
    </w:p>
    <w:p>
      <w:pPr>
        <w:ind w:left="220" w:hanging="213"/>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“qualified foreign pension funds,” or entities wholly owned by a “qualified foreign pension fund”;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hedge, conversion transaction, synthetic security or other integrated investment;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certain U.S. expatriates.</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Distributions on our common stock</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entitled “Backup withholding and information reporting” and “Withholding and information reporting requirements—FATCA.”</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Subject to the discussion in the following two paragraphs in this section, dividends paid to a non-U.S. holder generally will be subject to withholding of U.S. federal income tax at a 30% rate or a reduced rate specified by an applicable income tax treaty between the United States and such holder’s country of residence.</w:t>
      </w:r>
    </w:p>
    <w:p>
      <w:pPr>
        <w:spacing w:after="0" w:line="8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a reduced rate specified by an applicable income tax treaty between the United States and such holder’s country of residence.</w:t>
      </w:r>
    </w:p>
    <w:p>
      <w:pPr>
        <w:spacing w:after="0" w:line="92"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20"/>
          </w:cols>
          <w:pgMar w:left="320" w:top="456" w:right="3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Gain on sale or other taxable disposition of our common stock</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Subject to the discussions below under “Backup withholding and information reporting” and “Withholding and information reporting requirements— FATCA,” a non-U.S. holder generally will not be subject to any U.S. federal income or withholding tax on any gain realized upon such holder’s sale or other taxable disposition of shares of our common stock unless:</w:t>
      </w:r>
    </w:p>
    <w:p>
      <w:pPr>
        <w:spacing w:after="0" w:line="102" w:lineRule="exact"/>
        <w:rPr>
          <w:sz w:val="20"/>
          <w:szCs w:val="20"/>
          <w:color w:val="auto"/>
        </w:rPr>
      </w:pPr>
    </w:p>
    <w:p>
      <w:pPr>
        <w:ind w:left="220" w:right="60" w:hanging="213"/>
        <w:spacing w:after="0" w:line="250"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05" w:lineRule="exact"/>
        <w:rPr>
          <w:rFonts w:ascii="Arial" w:cs="Arial" w:eastAsia="Arial" w:hAnsi="Arial"/>
          <w:sz w:val="17"/>
          <w:szCs w:val="17"/>
          <w:color w:val="auto"/>
        </w:rPr>
      </w:pPr>
    </w:p>
    <w:p>
      <w:pPr>
        <w:ind w:left="220" w:right="180" w:hanging="213"/>
        <w:spacing w:after="0" w:line="249"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07" w:lineRule="exact"/>
        <w:rPr>
          <w:rFonts w:ascii="Arial" w:cs="Arial" w:eastAsia="Arial" w:hAnsi="Arial"/>
          <w:sz w:val="17"/>
          <w:szCs w:val="17"/>
          <w:color w:val="auto"/>
        </w:rPr>
      </w:pPr>
    </w:p>
    <w:p>
      <w:pPr>
        <w:ind w:left="220" w:hanging="213"/>
        <w:spacing w:after="0" w:line="248"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as described below,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Backup withholding and information reporting</w:t>
      </w:r>
    </w:p>
    <w:p>
      <w:pPr>
        <w:spacing w:after="0" w:line="14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220"/>
          </w:cols>
          <w:pgMar w:left="320" w:top="456"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Withholding and information reporting requirements—FATCA</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Provisions of the Code commonly referred to as the Foreign Account Tax Compliance Act (FATCA), generally impose a U.S. federal withholding tax at a rate of 30%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applicable to the gross proceeds of a sale or other disposition of our common stock. In the preamble to such proposed regulations, the U.S. Treasury stated that taxpayers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Federal estate tax</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Individual Non-U.S. Holders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absent an applicable treaty exemption, our common stock will be treated as U.S.-situs property subject to U.S. federal estate tax.</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240"/>
          </w:cols>
          <w:pgMar w:left="320" w:top="456"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w:t>
      </w:r>
    </w:p>
    <w:p>
      <w:pPr>
        <w:spacing w:after="0" w:line="15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Cowen and Company, LLC and Piper Sandler &amp; Co.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3359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31" w:lineRule="exact"/>
        <w:rPr>
          <w:sz w:val="20"/>
          <w:szCs w:val="20"/>
          <w:color w:val="auto"/>
        </w:rPr>
      </w:pPr>
    </w:p>
    <w:p>
      <w:pPr>
        <w:spacing w:after="0"/>
        <w:tabs>
          <w:tab w:leader="none" w:pos="968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7"/>
          <w:szCs w:val="17"/>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33590" cy="135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Piper Sandler &amp; Co.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44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0999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119" w:lineRule="exact"/>
        <w:rPr>
          <w:sz w:val="20"/>
          <w:szCs w:val="20"/>
          <w:color w:val="auto"/>
        </w:rPr>
      </w:pPr>
    </w:p>
    <w:p>
      <w:pPr>
        <w:jc w:val="both"/>
        <w:ind w:right="160"/>
        <w:spacing w:after="0" w:line="254" w:lineRule="auto"/>
        <w:rPr>
          <w:sz w:val="20"/>
          <w:szCs w:val="20"/>
          <w:color w:val="auto"/>
        </w:rPr>
      </w:pPr>
      <w:r>
        <w:rPr>
          <w:rFonts w:ascii="Arial" w:cs="Arial" w:eastAsia="Arial" w:hAnsi="Arial"/>
          <w:sz w:val="17"/>
          <w:szCs w:val="17"/>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5"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w:t>
      </w:r>
    </w:p>
    <w:p>
      <w:pPr>
        <w:ind w:right="100"/>
        <w:spacing w:after="0" w:line="263" w:lineRule="auto"/>
        <w:rPr>
          <w:sz w:val="20"/>
          <w:szCs w:val="20"/>
          <w:color w:val="auto"/>
        </w:rPr>
      </w:pPr>
      <w:r>
        <w:rPr>
          <w:rFonts w:ascii="Arial" w:cs="Arial" w:eastAsia="Arial" w:hAnsi="Arial"/>
          <w:sz w:val="17"/>
          <w:szCs w:val="17"/>
          <w:color w:val="auto"/>
        </w:rPr>
        <w:t>shares to the public, if all of the common shares are not sold at the initial public offering price, the underwriters may change the offering price and the other selling terms. Sales of any shares made outside of the United States may be made by affiliates of the underwriters.</w:t>
      </w:r>
    </w:p>
    <w:p>
      <w:pPr>
        <w:spacing w:after="0" w:line="80"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w:t>
      </w:r>
    </w:p>
    <w:p>
      <w:pPr>
        <w:spacing w:after="0" w:line="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7020" w:type="dxa"/>
            <w:vAlign w:val="bottom"/>
          </w:tcPr>
          <w:p>
            <w:pPr>
              <w:jc w:val="right"/>
              <w:ind w:right="93"/>
              <w:spacing w:after="0"/>
              <w:rPr>
                <w:sz w:val="20"/>
                <w:szCs w:val="20"/>
                <w:color w:val="auto"/>
              </w:rPr>
            </w:pPr>
            <w:r>
              <w:rPr>
                <w:rFonts w:ascii="Arial" w:cs="Arial" w:eastAsia="Arial" w:hAnsi="Arial"/>
                <w:sz w:val="17"/>
                <w:szCs w:val="17"/>
                <w:b w:val="1"/>
                <w:bCs w:val="1"/>
                <w:color w:val="auto"/>
              </w:rPr>
              <w:t>Without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With full</w:t>
            </w:r>
          </w:p>
        </w:tc>
      </w:tr>
      <w:tr>
        <w:trPr>
          <w:trHeight w:val="201"/>
        </w:trPr>
        <w:tc>
          <w:tcPr>
            <w:tcW w:w="3140" w:type="dxa"/>
            <w:vAlign w:val="bottom"/>
          </w:tcPr>
          <w:p>
            <w:pPr>
              <w:spacing w:after="0"/>
              <w:rPr>
                <w:sz w:val="17"/>
                <w:szCs w:val="17"/>
                <w:color w:val="auto"/>
              </w:rPr>
            </w:pPr>
          </w:p>
        </w:tc>
        <w:tc>
          <w:tcPr>
            <w:tcW w:w="7020" w:type="dxa"/>
            <w:vAlign w:val="bottom"/>
          </w:tcPr>
          <w:p>
            <w:pPr>
              <w:jc w:val="right"/>
              <w:ind w:right="93"/>
              <w:spacing w:after="0"/>
              <w:rPr>
                <w:sz w:val="20"/>
                <w:szCs w:val="20"/>
                <w:color w:val="auto"/>
              </w:rPr>
            </w:pPr>
            <w:r>
              <w:rPr>
                <w:rFonts w:ascii="Arial" w:cs="Arial" w:eastAsia="Arial" w:hAnsi="Arial"/>
                <w:sz w:val="17"/>
                <w:szCs w:val="17"/>
                <w:b w:val="1"/>
                <w:bCs w:val="1"/>
                <w:color w:val="auto"/>
              </w:rPr>
              <w:t>option to</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option to</w:t>
            </w:r>
          </w:p>
        </w:tc>
      </w:tr>
      <w:tr>
        <w:trPr>
          <w:trHeight w:val="201"/>
        </w:trPr>
        <w:tc>
          <w:tcPr>
            <w:tcW w:w="3140" w:type="dxa"/>
            <w:vAlign w:val="bottom"/>
          </w:tcPr>
          <w:p>
            <w:pPr>
              <w:spacing w:after="0"/>
              <w:rPr>
                <w:sz w:val="17"/>
                <w:szCs w:val="17"/>
                <w:color w:val="auto"/>
              </w:rPr>
            </w:pPr>
          </w:p>
        </w:tc>
        <w:tc>
          <w:tcPr>
            <w:tcW w:w="7020" w:type="dxa"/>
            <w:vAlign w:val="bottom"/>
          </w:tcPr>
          <w:p>
            <w:pPr>
              <w:jc w:val="right"/>
              <w:ind w:right="93"/>
              <w:spacing w:after="0"/>
              <w:rPr>
                <w:sz w:val="20"/>
                <w:szCs w:val="20"/>
                <w:color w:val="auto"/>
              </w:rPr>
            </w:pPr>
            <w:r>
              <w:rPr>
                <w:rFonts w:ascii="Arial" w:cs="Arial" w:eastAsia="Arial" w:hAnsi="Arial"/>
                <w:sz w:val="17"/>
                <w:szCs w:val="17"/>
                <w:b w:val="1"/>
                <w:bCs w:val="1"/>
                <w:color w:val="auto"/>
              </w:rPr>
              <w:t>purchase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r>
      <w:tr>
        <w:trPr>
          <w:trHeight w:val="201"/>
        </w:trPr>
        <w:tc>
          <w:tcPr>
            <w:tcW w:w="3140" w:type="dxa"/>
            <w:vAlign w:val="bottom"/>
          </w:tcPr>
          <w:p>
            <w:pPr>
              <w:spacing w:after="0"/>
              <w:rPr>
                <w:sz w:val="17"/>
                <w:szCs w:val="17"/>
                <w:color w:val="auto"/>
              </w:rPr>
            </w:pPr>
          </w:p>
        </w:tc>
        <w:tc>
          <w:tcPr>
            <w:tcW w:w="7020" w:type="dxa"/>
            <w:vAlign w:val="bottom"/>
          </w:tcPr>
          <w:p>
            <w:pPr>
              <w:jc w:val="right"/>
              <w:ind w:right="93"/>
              <w:spacing w:after="0"/>
              <w:rPr>
                <w:sz w:val="20"/>
                <w:szCs w:val="20"/>
                <w:color w:val="auto"/>
              </w:rPr>
            </w:pPr>
            <w:r>
              <w:rPr>
                <w:rFonts w:ascii="Arial" w:cs="Arial" w:eastAsia="Arial" w:hAnsi="Arial"/>
                <w:sz w:val="17"/>
                <w:szCs w:val="17"/>
                <w:b w:val="1"/>
                <w:bCs w:val="1"/>
                <w:color w:val="auto"/>
              </w:rPr>
              <w:t>additional</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additional</w:t>
            </w:r>
          </w:p>
        </w:tc>
      </w:tr>
      <w:tr>
        <w:trPr>
          <w:trHeight w:val="201"/>
        </w:trPr>
        <w:tc>
          <w:tcPr>
            <w:tcW w:w="3140" w:type="dxa"/>
            <w:vAlign w:val="bottom"/>
          </w:tcPr>
          <w:p>
            <w:pPr>
              <w:spacing w:after="0"/>
              <w:rPr>
                <w:sz w:val="17"/>
                <w:szCs w:val="17"/>
                <w:color w:val="auto"/>
              </w:rPr>
            </w:pPr>
          </w:p>
        </w:tc>
        <w:tc>
          <w:tcPr>
            <w:tcW w:w="7020" w:type="dxa"/>
            <w:vAlign w:val="bottom"/>
          </w:tcPr>
          <w:p>
            <w:pPr>
              <w:jc w:val="right"/>
              <w:ind w:right="93"/>
              <w:spacing w:after="0"/>
              <w:rPr>
                <w:sz w:val="20"/>
                <w:szCs w:val="20"/>
                <w:color w:val="auto"/>
              </w:rPr>
            </w:pPr>
            <w:r>
              <w:rPr>
                <w:rFonts w:ascii="Arial" w:cs="Arial" w:eastAsia="Arial" w:hAnsi="Arial"/>
                <w:sz w:val="17"/>
                <w:szCs w:val="17"/>
                <w:b w:val="1"/>
                <w:bCs w:val="1"/>
                <w:color w:val="auto"/>
              </w:rPr>
              <w:t>shares</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shares</w:t>
            </w:r>
          </w:p>
        </w:tc>
      </w:tr>
      <w:tr>
        <w:trPr>
          <w:trHeight w:val="219"/>
        </w:trPr>
        <w:tc>
          <w:tcPr>
            <w:tcW w:w="3140" w:type="dxa"/>
            <w:vAlign w:val="bottom"/>
            <w:tcBorders>
              <w:bottom w:val="single" w:sz="8" w:color="auto"/>
            </w:tcBorders>
          </w:tcPr>
          <w:p>
            <w:pPr>
              <w:spacing w:after="0"/>
              <w:rPr>
                <w:sz w:val="19"/>
                <w:szCs w:val="19"/>
                <w:color w:val="auto"/>
              </w:rPr>
            </w:pPr>
          </w:p>
        </w:tc>
        <w:tc>
          <w:tcPr>
            <w:tcW w:w="70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exercise</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exercise</w:t>
            </w:r>
          </w:p>
        </w:tc>
      </w:tr>
      <w:tr>
        <w:trPr>
          <w:trHeight w:val="194"/>
        </w:trPr>
        <w:tc>
          <w:tcPr>
            <w:tcW w:w="3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Per Share</w:t>
            </w:r>
          </w:p>
        </w:tc>
        <w:tc>
          <w:tcPr>
            <w:tcW w:w="7020" w:type="dxa"/>
            <w:vAlign w:val="bottom"/>
            <w:shd w:val="clear" w:color="auto" w:fill="CCEEFF"/>
          </w:tcPr>
          <w:p>
            <w:pPr>
              <w:jc w:val="right"/>
              <w:ind w:right="833"/>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33"/>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13"/>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702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354"/>
        </w:trPr>
        <w:tc>
          <w:tcPr>
            <w:tcW w:w="3140" w:type="dxa"/>
            <w:vAlign w:val="bottom"/>
          </w:tcPr>
          <w:p>
            <w:pPr>
              <w:spacing w:after="0"/>
              <w:rPr>
                <w:sz w:val="24"/>
                <w:szCs w:val="24"/>
                <w:color w:val="auto"/>
              </w:rPr>
            </w:pPr>
          </w:p>
        </w:tc>
        <w:tc>
          <w:tcPr>
            <w:tcW w:w="7020" w:type="dxa"/>
            <w:vAlign w:val="bottom"/>
          </w:tcPr>
          <w:p>
            <w:pPr>
              <w:jc w:val="right"/>
              <w:ind w:right="4313"/>
              <w:spacing w:after="0"/>
              <w:rPr>
                <w:sz w:val="20"/>
                <w:szCs w:val="20"/>
                <w:color w:val="auto"/>
              </w:rPr>
            </w:pPr>
            <w:r>
              <w:rPr>
                <w:rFonts w:ascii="Arial" w:cs="Arial" w:eastAsia="Arial" w:hAnsi="Arial"/>
                <w:sz w:val="17"/>
                <w:szCs w:val="17"/>
                <w:color w:val="auto"/>
              </w:rPr>
              <w:t>198</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w:t>
      </w:r>
    </w:p>
    <w:p>
      <w:pPr>
        <w:spacing w:after="0" w:line="5" w:lineRule="exact"/>
        <w:rPr>
          <w:sz w:val="20"/>
          <w:szCs w:val="20"/>
          <w:color w:val="auto"/>
        </w:rPr>
      </w:pPr>
    </w:p>
    <w:p>
      <w:pPr>
        <w:spacing w:after="0"/>
        <w:tabs>
          <w:tab w:leader="none" w:pos="7100" w:val="left"/>
        </w:tabs>
        <w:rPr>
          <w:sz w:val="20"/>
          <w:szCs w:val="20"/>
          <w:color w:val="auto"/>
        </w:rPr>
      </w:pPr>
      <w:r>
        <w:rPr>
          <w:rFonts w:ascii="Arial" w:cs="Arial" w:eastAsia="Arial" w:hAnsi="Arial"/>
          <w:sz w:val="17"/>
          <w:szCs w:val="17"/>
          <w:color w:val="auto"/>
        </w:rPr>
        <w:t>but excluding the underwriting discounts and commissions, will be approximately $</w:t>
      </w:r>
      <w:r>
        <w:rPr>
          <w:sz w:val="20"/>
          <w:szCs w:val="20"/>
          <w:color w:val="auto"/>
        </w:rPr>
        <w:tab/>
      </w:r>
      <w:r>
        <w:rPr>
          <w:rFonts w:ascii="Arial" w:cs="Arial" w:eastAsia="Arial" w:hAnsi="Arial"/>
          <w:sz w:val="17"/>
          <w:szCs w:val="17"/>
          <w:color w:val="auto"/>
        </w:rPr>
        <w:t>. We have also agreed to reimburse the underwriters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 certain of their expenses</w:t>
      </w:r>
    </w:p>
    <w:p>
      <w:pPr>
        <w:spacing w:after="0" w:line="5" w:lineRule="exact"/>
        <w:rPr>
          <w:sz w:val="20"/>
          <w:szCs w:val="20"/>
          <w:color w:val="auto"/>
        </w:rPr>
      </w:pPr>
    </w:p>
    <w:p>
      <w:pPr>
        <w:spacing w:after="0"/>
        <w:tabs>
          <w:tab w:leader="none" w:pos="6860" w:val="left"/>
        </w:tabs>
        <w:rPr>
          <w:sz w:val="20"/>
          <w:szCs w:val="20"/>
          <w:color w:val="auto"/>
        </w:rPr>
      </w:pPr>
      <w:r>
        <w:rPr>
          <w:rFonts w:ascii="Arial" w:cs="Arial" w:eastAsia="Arial" w:hAnsi="Arial"/>
          <w:sz w:val="17"/>
          <w:szCs w:val="17"/>
          <w:color w:val="auto"/>
        </w:rPr>
        <w:t>related to the Financial Industry Regulatory Authority, Inc., in an amount up to $</w:t>
      </w:r>
      <w:r>
        <w:rPr>
          <w:sz w:val="20"/>
          <w:szCs w:val="20"/>
          <w:color w:val="auto"/>
        </w:rPr>
        <w:tab/>
      </w:r>
      <w:r>
        <w:rPr>
          <w:rFonts w:ascii="Arial" w:cs="Arial" w:eastAsia="Arial" w:hAnsi="Arial"/>
          <w:sz w:val="14"/>
          <w:szCs w:val="14"/>
          <w:color w:val="auto"/>
        </w:rPr>
        <w:t>.</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w:t>
      </w:r>
    </w:p>
    <w:p>
      <w:pPr>
        <w:spacing w:after="0" w:line="1" w:lineRule="exact"/>
        <w:rPr>
          <w:sz w:val="20"/>
          <w:szCs w:val="20"/>
          <w:color w:val="auto"/>
        </w:rPr>
      </w:pPr>
    </w:p>
    <w:p>
      <w:pPr>
        <w:ind w:right="160" w:firstLine="7"/>
        <w:spacing w:after="0" w:line="250" w:lineRule="auto"/>
        <w:tabs>
          <w:tab w:leader="none" w:pos="24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Cowen and Company, LLC and Piper Sandler &amp; Co. for a period of 180 days after the date of this prospectus, other than the shares of our common stock to be sold in this offering.</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Cowen and Company, LLC and Piper Sandler &amp; Co.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common stock, the “lock-up securities”)), (ii) enter into any hedging, swap or other agreement or transaction that transfers, in whole or in part, any of the economic consequences of ownership of the lock-up securities,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220"/>
          </w:cols>
          <w:pgMar w:left="320" w:top="456"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or for bona fide estate planning purposes, (ii) by will or intestacy or other testamentary document, (iii) to any trust for the direct or indirect benefit of the lock-up party or any immediate family member, (iv) to a corporation, partnership, limited liability company, investment fund or other entity (A) of which the lock-up party and/or its immediate family members are the legal and beneficial owner of all of the outstanding equity securities or similar interests or (B) controlled by, or under common control with, the lock-up party or the immediate family member of the lock-up party,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or common investment management with the lock-up party or its affiliates or (B) as part of a distribution to limited partners, members or stockholders of the lock-up party; (vii) by operation of law,</w:t>
      </w:r>
    </w:p>
    <w:p>
      <w:pPr>
        <w:spacing w:after="0" w:line="3" w:lineRule="exact"/>
        <w:rPr>
          <w:sz w:val="20"/>
          <w:szCs w:val="20"/>
          <w:color w:val="auto"/>
        </w:rPr>
      </w:pPr>
    </w:p>
    <w:p>
      <w:pPr>
        <w:ind w:firstLine="7"/>
        <w:spacing w:after="0" w:line="247" w:lineRule="auto"/>
        <w:tabs>
          <w:tab w:leader="none" w:pos="36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us from an employee upon death, disability or termination of employment of such employee, (ix) as part of a sale of lock-up securities acquired in this offering (other than, in the case of an officer or director of the Company, any lock-up securities such officer or director may purchase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30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J.P. Morgan Securities LLC, Cowen and Company, LLC and Piper Sandler &amp; Co., in their sole discretion, may release the securities subject to any of the lock-up agreements with the underwriters described above, in whole or in part at any time.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220"/>
          </w:cols>
          <w:pgMar w:left="320" w:top="456" w:right="3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will apply to have our common stock approved for listing/quotation on The Nasdaq Global Market under the symbol “GLUE.”</w:t>
      </w:r>
    </w:p>
    <w:p>
      <w:pPr>
        <w:spacing w:after="0" w:line="11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9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92"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2" w:lineRule="exact"/>
        <w:rPr>
          <w:sz w:val="20"/>
          <w:szCs w:val="20"/>
          <w:color w:val="auto"/>
        </w:rPr>
      </w:pPr>
    </w:p>
    <w:p>
      <w:pPr>
        <w:ind w:left="220" w:hanging="213"/>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220"/>
          </w:cols>
          <w:pgMar w:left="320" w:top="456" w:right="3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hanging="213"/>
        <w:spacing w:after="0"/>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12"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shares, or that the shares will trade in the public market at or above the initial public offering price.</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Directed share program</w:t>
      </w:r>
    </w:p>
    <w:p>
      <w:pPr>
        <w:spacing w:after="0" w:line="142" w:lineRule="exact"/>
        <w:rPr>
          <w:sz w:val="20"/>
          <w:szCs w:val="20"/>
          <w:color w:val="auto"/>
        </w:rPr>
      </w:pPr>
    </w:p>
    <w:p>
      <w:pPr>
        <w:spacing w:after="0"/>
        <w:tabs>
          <w:tab w:leader="none" w:pos="8140" w:val="left"/>
        </w:tabs>
        <w:rPr>
          <w:sz w:val="20"/>
          <w:szCs w:val="20"/>
          <w:color w:val="auto"/>
        </w:rPr>
      </w:pPr>
      <w:r>
        <w:rPr>
          <w:rFonts w:ascii="Arial" w:cs="Arial" w:eastAsia="Arial" w:hAnsi="Arial"/>
          <w:sz w:val="17"/>
          <w:szCs w:val="17"/>
          <w:color w:val="auto"/>
        </w:rPr>
        <w:t>At our request, the DSP Underwriter has reserved for sale, at the initial public offering price, up to</w:t>
      </w:r>
      <w:r>
        <w:rPr>
          <w:sz w:val="20"/>
          <w:szCs w:val="20"/>
          <w:color w:val="auto"/>
        </w:rPr>
        <w:tab/>
      </w:r>
      <w:r>
        <w:rPr>
          <w:rFonts w:ascii="Arial" w:cs="Arial" w:eastAsia="Arial" w:hAnsi="Arial"/>
          <w:sz w:val="17"/>
          <w:szCs w:val="17"/>
          <w:color w:val="auto"/>
        </w:rPr>
        <w:t>shares of our common stock, or up to</w:t>
      </w:r>
    </w:p>
    <w:p>
      <w:pPr>
        <w:spacing w:after="0" w:line="5" w:lineRule="exact"/>
        <w:rPr>
          <w:sz w:val="20"/>
          <w:szCs w:val="20"/>
          <w:color w:val="auto"/>
        </w:rPr>
      </w:pPr>
    </w:p>
    <w:p>
      <w:pPr>
        <w:ind w:right="40" w:firstLine="394"/>
        <w:spacing w:after="0" w:line="249" w:lineRule="auto"/>
        <w:tabs>
          <w:tab w:leader="none" w:pos="59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of the shares to be sold in this offering, to our officers, directors, employees and certain related persons. The DSP Underwriter will receive the same underwriting discount on any shares purchased pursuant to this program as they will on any other shares sold to the public in this offering. The number of shares of common stock available for sale to the general public will be reduced to the extent these individuals purchase such reserved shares. Any directed shares not purchased will be offered by the DSP Underwriter to the general public on the same basis as all other shares offered by this prospectus. Individuals who purchase shares in the directed share program will be subject to the 180-day lock-up restrictions with respect to such shares as described above. We have agreed to indemnify the underwriters against certain liabilities and expenses, including liabilities under the Securities Act, in connection with the sales of the directed shares.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Selling restrictions</w:t>
      </w:r>
    </w:p>
    <w:p>
      <w:pPr>
        <w:spacing w:after="0" w:line="14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220"/>
          </w:cols>
          <w:pgMar w:left="320" w:top="456"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European Economic Area</w:t>
      </w:r>
    </w:p>
    <w:p>
      <w:pPr>
        <w:spacing w:after="0" w:line="14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5" w:lineRule="exact"/>
        <w:rPr>
          <w:sz w:val="20"/>
          <w:szCs w:val="20"/>
          <w:color w:val="auto"/>
        </w:rPr>
      </w:pPr>
    </w:p>
    <w:p>
      <w:pPr>
        <w:ind w:left="1000" w:hanging="552"/>
        <w:spacing w:after="0"/>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25" w:lineRule="exact"/>
        <w:rPr>
          <w:rFonts w:ascii="Arial" w:cs="Arial" w:eastAsia="Arial" w:hAnsi="Arial"/>
          <w:sz w:val="17"/>
          <w:szCs w:val="17"/>
          <w:color w:val="auto"/>
        </w:rPr>
      </w:pPr>
    </w:p>
    <w:p>
      <w:pPr>
        <w:ind w:left="1000" w:right="260" w:hanging="552"/>
        <w:spacing w:after="0" w:line="263" w:lineRule="auto"/>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Representatives for any such offer; or</w:t>
      </w:r>
    </w:p>
    <w:p>
      <w:pPr>
        <w:spacing w:after="0" w:line="93" w:lineRule="exact"/>
        <w:rPr>
          <w:rFonts w:ascii="Arial" w:cs="Arial" w:eastAsia="Arial" w:hAnsi="Arial"/>
          <w:sz w:val="17"/>
          <w:szCs w:val="17"/>
          <w:color w:val="auto"/>
        </w:rPr>
      </w:pPr>
    </w:p>
    <w:p>
      <w:pPr>
        <w:ind w:left="1000" w:hanging="552"/>
        <w:spacing w:after="0"/>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shares shall require the Issuer or any underwriter to publish a prospectus pursuant to Article 3 of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or supplement a prospectus pursuant to Article 23 of the Prospectus Regulation and each person who initially acquires any shares or to whom any offer is made will be deemed to have represented, acknowledged and agreed to and with each of the underwriters and the Issuer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United Kingdom</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02" w:lineRule="exact"/>
        <w:rPr>
          <w:sz w:val="20"/>
          <w:szCs w:val="20"/>
          <w:color w:val="auto"/>
        </w:rPr>
      </w:pPr>
    </w:p>
    <w:p>
      <w:pPr>
        <w:ind w:left="5480" w:right="1960" w:hanging="5032"/>
        <w:spacing w:after="0" w:line="443" w:lineRule="auto"/>
        <w:tabs>
          <w:tab w:leader="none" w:pos="99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 203</w:t>
      </w:r>
    </w:p>
    <w:p>
      <w:pPr>
        <w:sectPr>
          <w:pgSz w:w="11900" w:h="16838" w:orient="portrait"/>
          <w:cols w:equalWidth="0" w:num="1">
            <w:col w:w="11200"/>
          </w:cols>
          <w:pgMar w:left="320" w:top="456" w:right="3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000" w:right="900" w:hanging="552"/>
        <w:spacing w:after="0" w:line="263"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93" w:lineRule="exact"/>
        <w:rPr>
          <w:rFonts w:ascii="Arial" w:cs="Arial" w:eastAsia="Arial" w:hAnsi="Arial"/>
          <w:sz w:val="17"/>
          <w:szCs w:val="17"/>
          <w:color w:val="auto"/>
        </w:rPr>
      </w:pPr>
    </w:p>
    <w:p>
      <w:pPr>
        <w:ind w:left="1000" w:hanging="552"/>
        <w:spacing w:after="0"/>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the shares shall require the Issuer or any underwriter to publish a prospectus pursuant to Section 85 of the FSMA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9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Canada</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9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Switzerland</w:t>
      </w:r>
    </w:p>
    <w:p>
      <w:pPr>
        <w:spacing w:after="0" w:line="14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does not constitute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240"/>
          </w:cols>
          <w:pgMar w:left="320" w:top="456"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Hong Kong</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Singapore</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7" w:lineRule="exact"/>
        <w:rPr>
          <w:sz w:val="20"/>
          <w:szCs w:val="20"/>
          <w:color w:val="auto"/>
        </w:rPr>
      </w:pPr>
    </w:p>
    <w:p>
      <w:pPr>
        <w:ind w:left="1000" w:right="360" w:hanging="552"/>
        <w:spacing w:after="0" w:line="263" w:lineRule="auto"/>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or the SFA) pursuant to Section 274 of the SFA;</w:t>
      </w:r>
    </w:p>
    <w:p>
      <w:pPr>
        <w:spacing w:after="0" w:line="93" w:lineRule="exact"/>
        <w:rPr>
          <w:rFonts w:ascii="Arial" w:cs="Arial" w:eastAsia="Arial" w:hAnsi="Arial"/>
          <w:sz w:val="17"/>
          <w:szCs w:val="17"/>
          <w:color w:val="auto"/>
        </w:rPr>
      </w:pPr>
    </w:p>
    <w:p>
      <w:pPr>
        <w:ind w:left="1000" w:right="460" w:hanging="552"/>
        <w:spacing w:after="0" w:line="263" w:lineRule="auto"/>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3" w:lineRule="exact"/>
        <w:rPr>
          <w:rFonts w:ascii="Arial" w:cs="Arial" w:eastAsia="Arial" w:hAnsi="Arial"/>
          <w:sz w:val="17"/>
          <w:szCs w:val="17"/>
          <w:color w:val="auto"/>
        </w:rPr>
      </w:pPr>
    </w:p>
    <w:p>
      <w:pPr>
        <w:ind w:left="1000" w:hanging="552"/>
        <w:spacing w:after="0"/>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220"/>
          </w:cols>
          <w:pgMar w:left="320" w:top="456" w:right="3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25" w:lineRule="exact"/>
        <w:rPr>
          <w:sz w:val="20"/>
          <w:szCs w:val="20"/>
          <w:color w:val="auto"/>
        </w:rPr>
      </w:pPr>
    </w:p>
    <w:p>
      <w:pPr>
        <w:ind w:left="1000" w:right="300" w:hanging="552"/>
        <w:spacing w:after="0" w:line="263" w:lineRule="auto"/>
        <w:tabs>
          <w:tab w:leader="none" w:pos="10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7"/>
          <w:szCs w:val="17"/>
          <w:color w:val="auto"/>
        </w:rPr>
      </w:pPr>
    </w:p>
    <w:p>
      <w:pPr>
        <w:ind w:left="1000" w:hanging="552"/>
        <w:spacing w:after="0" w:line="263" w:lineRule="auto"/>
        <w:tabs>
          <w:tab w:leader="none" w:pos="10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2" w:lineRule="exact"/>
        <w:rPr>
          <w:sz w:val="20"/>
          <w:szCs w:val="20"/>
          <w:color w:val="auto"/>
        </w:rPr>
      </w:pPr>
    </w:p>
    <w:p>
      <w:pPr>
        <w:ind w:left="1000" w:right="1000" w:hanging="552"/>
        <w:spacing w:after="0" w:line="263"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or to any person arising from an offer referred to in Section 275(1A) or Section 276(4)(i)(B) of the SFA;</w:t>
      </w:r>
    </w:p>
    <w:p>
      <w:pPr>
        <w:spacing w:after="0" w:line="93" w:lineRule="exact"/>
        <w:rPr>
          <w:rFonts w:ascii="Arial" w:cs="Arial" w:eastAsia="Arial" w:hAnsi="Arial"/>
          <w:sz w:val="17"/>
          <w:szCs w:val="17"/>
          <w:color w:val="auto"/>
        </w:rPr>
      </w:pPr>
    </w:p>
    <w:p>
      <w:pPr>
        <w:ind w:left="1000" w:hanging="552"/>
        <w:spacing w:after="0"/>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25" w:lineRule="exact"/>
        <w:rPr>
          <w:rFonts w:ascii="Arial" w:cs="Arial" w:eastAsia="Arial" w:hAnsi="Arial"/>
          <w:sz w:val="17"/>
          <w:szCs w:val="17"/>
          <w:color w:val="auto"/>
        </w:rPr>
      </w:pPr>
    </w:p>
    <w:p>
      <w:pPr>
        <w:ind w:left="1000" w:hanging="552"/>
        <w:spacing w:after="0"/>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25" w:lineRule="exact"/>
        <w:rPr>
          <w:rFonts w:ascii="Arial" w:cs="Arial" w:eastAsia="Arial" w:hAnsi="Arial"/>
          <w:sz w:val="17"/>
          <w:szCs w:val="17"/>
          <w:color w:val="auto"/>
        </w:rPr>
      </w:pPr>
    </w:p>
    <w:p>
      <w:pPr>
        <w:ind w:left="1000" w:hanging="552"/>
        <w:spacing w:after="0"/>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25" w:lineRule="exact"/>
        <w:rPr>
          <w:rFonts w:ascii="Arial" w:cs="Arial" w:eastAsia="Arial" w:hAnsi="Arial"/>
          <w:sz w:val="17"/>
          <w:szCs w:val="17"/>
          <w:color w:val="auto"/>
        </w:rPr>
      </w:pPr>
    </w:p>
    <w:p>
      <w:pPr>
        <w:ind w:left="1000" w:right="340" w:hanging="552"/>
        <w:spacing w:after="0" w:line="263"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Japan</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the United Arab Emirates</w:t>
      </w:r>
    </w:p>
    <w:p>
      <w:pPr>
        <w:spacing w:after="0" w:line="14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to prospective investors in the Dubai international financial centre</w:t>
      </w:r>
    </w:p>
    <w:p>
      <w:pPr>
        <w:spacing w:after="0" w:line="142"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220"/>
          </w:cols>
          <w:pgMar w:left="320" w:top="456"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2" w:lineRule="exact"/>
        <w:rPr>
          <w:sz w:val="20"/>
          <w:szCs w:val="20"/>
          <w:color w:val="auto"/>
        </w:rPr>
      </w:pPr>
    </w:p>
    <w:p>
      <w:pPr>
        <w:jc w:val="both"/>
        <w:ind w:right="140"/>
        <w:spacing w:after="0" w:line="254"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220"/>
          </w:cols>
          <w:pgMar w:left="320" w:top="456" w:right="3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3"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Goodwin Procter LLP, Boston, Massachusetts. Certain legal matters relating to this offering will be passed upon for the underwriters by Latham &amp; Watkins LLP, New York, New York.</w:t>
      </w: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3"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combined and consolidated financial statements as of December 31, 2020 and 2019 and for the years then ended included in this prospectus, have been audited by Deloitte &amp; Touche LLP, an independent registered public accounting firm, as stated in their report appearing herein. Such combined and consolidated financial statements have been so included in reliance upon the report of such firm given upon their authority as experts in accounting and auditing.</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filed with the SEC a registration statement on Form S-1 (File Number 333- ) under the Securities Act with respect to the common stock we are offering by this prospectus. This prospectus, which constitutes part of the registration statement,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9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https://www.monterosatx.com and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part of, and is not incorporated into, this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240"/>
          </w:cols>
          <w:pgMar w:left="320" w:top="456"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combined and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171"/>
        </w:trPr>
        <w:tc>
          <w:tcPr>
            <w:tcW w:w="4280" w:type="dxa"/>
            <w:vAlign w:val="bottom"/>
            <w:tcBorders>
              <w:bottom w:val="single" w:sz="8" w:color="0000EE"/>
            </w:tcBorders>
            <w:gridSpan w:val="4"/>
          </w:tcPr>
          <w:p>
            <w:pPr>
              <w:spacing w:after="0" w:line="171" w:lineRule="exact"/>
              <w:rPr>
                <w:rFonts w:ascii="Arial" w:cs="Arial" w:eastAsia="Arial" w:hAnsi="Arial"/>
                <w:sz w:val="17"/>
                <w:szCs w:val="17"/>
                <w:color w:val="0000EE"/>
              </w:rPr>
            </w:pPr>
            <w:hyperlink w:anchor="page214">
              <w:r>
                <w:rPr>
                  <w:rFonts w:ascii="Arial" w:cs="Arial" w:eastAsia="Arial" w:hAnsi="Arial"/>
                  <w:sz w:val="17"/>
                  <w:szCs w:val="17"/>
                  <w:color w:val="0000EE"/>
                </w:rPr>
                <w:t>Report of independent registered public accounting firm</w:t>
              </w:r>
            </w:hyperlink>
          </w:p>
        </w:tc>
        <w:tc>
          <w:tcPr>
            <w:tcW w:w="3880" w:type="dxa"/>
            <w:vAlign w:val="bottom"/>
            <w:gridSpan w:val="7"/>
          </w:tcPr>
          <w:p>
            <w:pPr>
              <w:spacing w:after="0"/>
              <w:rPr>
                <w:sz w:val="14"/>
                <w:szCs w:val="14"/>
                <w:color w:val="auto"/>
              </w:rPr>
            </w:pPr>
          </w:p>
        </w:tc>
        <w:tc>
          <w:tcPr>
            <w:tcW w:w="3020" w:type="dxa"/>
            <w:vAlign w:val="bottom"/>
          </w:tcPr>
          <w:p>
            <w:pPr>
              <w:jc w:val="right"/>
              <w:spacing w:after="0" w:line="171" w:lineRule="exact"/>
              <w:rPr>
                <w:sz w:val="20"/>
                <w:szCs w:val="20"/>
                <w:color w:val="auto"/>
              </w:rPr>
            </w:pPr>
            <w:r>
              <w:rPr>
                <w:rFonts w:ascii="Arial" w:cs="Arial" w:eastAsia="Arial" w:hAnsi="Arial"/>
                <w:sz w:val="17"/>
                <w:szCs w:val="17"/>
                <w:color w:val="auto"/>
              </w:rPr>
              <w:t>F-2</w:t>
            </w:r>
          </w:p>
        </w:tc>
      </w:tr>
      <w:tr>
        <w:trPr>
          <w:trHeight w:val="326"/>
        </w:trPr>
        <w:tc>
          <w:tcPr>
            <w:tcW w:w="8160" w:type="dxa"/>
            <w:vAlign w:val="bottom"/>
            <w:gridSpan w:val="11"/>
          </w:tcPr>
          <w:p>
            <w:pPr>
              <w:spacing w:after="0"/>
              <w:rPr>
                <w:sz w:val="20"/>
                <w:szCs w:val="20"/>
                <w:color w:val="auto"/>
              </w:rPr>
            </w:pPr>
            <w:r>
              <w:rPr>
                <w:rFonts w:ascii="Arial" w:cs="Arial" w:eastAsia="Arial" w:hAnsi="Arial"/>
                <w:sz w:val="17"/>
                <w:szCs w:val="17"/>
                <w:b w:val="1"/>
                <w:bCs w:val="1"/>
                <w:color w:val="auto"/>
              </w:rPr>
              <w:t>Audited combined and consolidated financial statements</w:t>
            </w:r>
          </w:p>
        </w:tc>
        <w:tc>
          <w:tcPr>
            <w:tcW w:w="3020" w:type="dxa"/>
            <w:vAlign w:val="bottom"/>
          </w:tcPr>
          <w:p>
            <w:pPr>
              <w:spacing w:after="0"/>
              <w:rPr>
                <w:sz w:val="24"/>
                <w:szCs w:val="24"/>
                <w:color w:val="auto"/>
              </w:rPr>
            </w:pPr>
          </w:p>
        </w:tc>
      </w:tr>
      <w:tr>
        <w:trPr>
          <w:trHeight w:val="269"/>
        </w:trPr>
        <w:tc>
          <w:tcPr>
            <w:tcW w:w="3380" w:type="dxa"/>
            <w:vAlign w:val="bottom"/>
            <w:tcBorders>
              <w:bottom w:val="single" w:sz="8" w:color="0000EE"/>
            </w:tcBorders>
            <w:gridSpan w:val="2"/>
          </w:tcPr>
          <w:p>
            <w:pPr>
              <w:spacing w:after="0"/>
              <w:rPr>
                <w:rFonts w:ascii="Arial" w:cs="Arial" w:eastAsia="Arial" w:hAnsi="Arial"/>
                <w:sz w:val="17"/>
                <w:szCs w:val="17"/>
                <w:color w:val="0000EE"/>
              </w:rPr>
            </w:pPr>
            <w:hyperlink w:anchor="page215">
              <w:r>
                <w:rPr>
                  <w:rFonts w:ascii="Arial" w:cs="Arial" w:eastAsia="Arial" w:hAnsi="Arial"/>
                  <w:sz w:val="17"/>
                  <w:szCs w:val="17"/>
                  <w:color w:val="0000EE"/>
                </w:rPr>
                <w:t>Combined and consolidated balance sheets</w:t>
              </w:r>
            </w:hyperlink>
          </w:p>
        </w:tc>
        <w:tc>
          <w:tcPr>
            <w:tcW w:w="4780" w:type="dxa"/>
            <w:vAlign w:val="bottom"/>
            <w:gridSpan w:val="9"/>
          </w:tcPr>
          <w:p>
            <w:pPr>
              <w:spacing w:after="0"/>
              <w:rPr>
                <w:sz w:val="23"/>
                <w:szCs w:val="23"/>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88"/>
        </w:trPr>
        <w:tc>
          <w:tcPr>
            <w:tcW w:w="6040" w:type="dxa"/>
            <w:vAlign w:val="bottom"/>
            <w:tcBorders>
              <w:bottom w:val="single" w:sz="8" w:color="0000EE"/>
            </w:tcBorders>
            <w:gridSpan w:val="8"/>
          </w:tcPr>
          <w:p>
            <w:pPr>
              <w:spacing w:after="0"/>
              <w:rPr>
                <w:rFonts w:ascii="Arial" w:cs="Arial" w:eastAsia="Arial" w:hAnsi="Arial"/>
                <w:sz w:val="17"/>
                <w:szCs w:val="17"/>
                <w:color w:val="0000EE"/>
              </w:rPr>
            </w:pPr>
            <w:hyperlink w:anchor="page216">
              <w:r>
                <w:rPr>
                  <w:rFonts w:ascii="Arial" w:cs="Arial" w:eastAsia="Arial" w:hAnsi="Arial"/>
                  <w:sz w:val="17"/>
                  <w:szCs w:val="17"/>
                  <w:color w:val="0000EE"/>
                </w:rPr>
                <w:t>Combined and consolidated statements of operations and comprehensive loss</w:t>
              </w:r>
            </w:hyperlink>
          </w:p>
        </w:tc>
        <w:tc>
          <w:tcPr>
            <w:tcW w:w="212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88"/>
        </w:trPr>
        <w:tc>
          <w:tcPr>
            <w:tcW w:w="7260" w:type="dxa"/>
            <w:vAlign w:val="bottom"/>
            <w:tcBorders>
              <w:bottom w:val="single" w:sz="8" w:color="0000EE"/>
            </w:tcBorders>
            <w:gridSpan w:val="10"/>
          </w:tcPr>
          <w:p>
            <w:pPr>
              <w:spacing w:after="0"/>
              <w:rPr>
                <w:rFonts w:ascii="Arial" w:cs="Arial" w:eastAsia="Arial" w:hAnsi="Arial"/>
                <w:sz w:val="17"/>
                <w:szCs w:val="17"/>
                <w:color w:val="0000EE"/>
              </w:rPr>
            </w:pPr>
            <w:hyperlink w:anchor="page217">
              <w:r>
                <w:rPr>
                  <w:rFonts w:ascii="Arial" w:cs="Arial" w:eastAsia="Arial" w:hAnsi="Arial"/>
                  <w:sz w:val="17"/>
                  <w:szCs w:val="17"/>
                  <w:color w:val="0000EE"/>
                </w:rPr>
                <w:t>Combined and consolidated statements of convertible preferred stock and stockholders’ deficit</w:t>
              </w:r>
            </w:hyperlink>
          </w:p>
        </w:tc>
        <w:tc>
          <w:tcPr>
            <w:tcW w:w="90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88"/>
        </w:trPr>
        <w:tc>
          <w:tcPr>
            <w:tcW w:w="4120" w:type="dxa"/>
            <w:vAlign w:val="bottom"/>
            <w:tcBorders>
              <w:bottom w:val="single" w:sz="8" w:color="0000EE"/>
            </w:tcBorders>
            <w:gridSpan w:val="3"/>
          </w:tcPr>
          <w:p>
            <w:pPr>
              <w:spacing w:after="0"/>
              <w:rPr>
                <w:rFonts w:ascii="Arial" w:cs="Arial" w:eastAsia="Arial" w:hAnsi="Arial"/>
                <w:sz w:val="17"/>
                <w:szCs w:val="17"/>
                <w:color w:val="0000EE"/>
              </w:rPr>
            </w:pPr>
            <w:hyperlink w:anchor="page218">
              <w:r>
                <w:rPr>
                  <w:rFonts w:ascii="Arial" w:cs="Arial" w:eastAsia="Arial" w:hAnsi="Arial"/>
                  <w:sz w:val="17"/>
                  <w:szCs w:val="17"/>
                  <w:color w:val="0000EE"/>
                </w:rPr>
                <w:t>Combined and consolidated statements of cash flows</w:t>
              </w:r>
            </w:hyperlink>
          </w:p>
        </w:tc>
        <w:tc>
          <w:tcPr>
            <w:tcW w:w="404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88"/>
        </w:trPr>
        <w:tc>
          <w:tcPr>
            <w:tcW w:w="4700" w:type="dxa"/>
            <w:vAlign w:val="bottom"/>
            <w:tcBorders>
              <w:bottom w:val="single" w:sz="8" w:color="0000EE"/>
            </w:tcBorders>
            <w:gridSpan w:val="5"/>
          </w:tcPr>
          <w:p>
            <w:pPr>
              <w:spacing w:after="0"/>
              <w:rPr>
                <w:rFonts w:ascii="Arial" w:cs="Arial" w:eastAsia="Arial" w:hAnsi="Arial"/>
                <w:sz w:val="17"/>
                <w:szCs w:val="17"/>
                <w:color w:val="0000EE"/>
              </w:rPr>
            </w:pPr>
            <w:hyperlink w:anchor="page219">
              <w:r>
                <w:rPr>
                  <w:rFonts w:ascii="Arial" w:cs="Arial" w:eastAsia="Arial" w:hAnsi="Arial"/>
                  <w:sz w:val="17"/>
                  <w:szCs w:val="17"/>
                  <w:color w:val="0000EE"/>
                </w:rPr>
                <w:t>Notes to the combined and consolidated financial statements</w:t>
              </w:r>
            </w:hyperlink>
          </w:p>
        </w:tc>
        <w:tc>
          <w:tcPr>
            <w:tcW w:w="346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326"/>
        </w:trPr>
        <w:tc>
          <w:tcPr>
            <w:tcW w:w="8160" w:type="dxa"/>
            <w:vAlign w:val="bottom"/>
            <w:gridSpan w:val="11"/>
          </w:tcPr>
          <w:p>
            <w:pPr>
              <w:spacing w:after="0"/>
              <w:rPr>
                <w:sz w:val="20"/>
                <w:szCs w:val="20"/>
                <w:color w:val="auto"/>
              </w:rPr>
            </w:pPr>
            <w:r>
              <w:rPr>
                <w:rFonts w:ascii="Arial" w:cs="Arial" w:eastAsia="Arial" w:hAnsi="Arial"/>
                <w:sz w:val="17"/>
                <w:szCs w:val="17"/>
                <w:b w:val="1"/>
                <w:bCs w:val="1"/>
                <w:color w:val="auto"/>
              </w:rPr>
              <w:t>Unaudited condensed combined and consolidated financial statements</w:t>
            </w:r>
          </w:p>
        </w:tc>
        <w:tc>
          <w:tcPr>
            <w:tcW w:w="3020" w:type="dxa"/>
            <w:vAlign w:val="bottom"/>
          </w:tcPr>
          <w:p>
            <w:pPr>
              <w:spacing w:after="0"/>
              <w:rPr>
                <w:sz w:val="24"/>
                <w:szCs w:val="24"/>
                <w:color w:val="auto"/>
              </w:rPr>
            </w:pPr>
          </w:p>
        </w:tc>
      </w:tr>
      <w:tr>
        <w:trPr>
          <w:trHeight w:val="269"/>
        </w:trPr>
        <w:tc>
          <w:tcPr>
            <w:tcW w:w="3140" w:type="dxa"/>
            <w:vAlign w:val="bottom"/>
            <w:tcBorders>
              <w:bottom w:val="single" w:sz="8" w:color="0000EE"/>
            </w:tcBorders>
          </w:tcPr>
          <w:p>
            <w:pPr>
              <w:spacing w:after="0"/>
              <w:rPr>
                <w:rFonts w:ascii="Arial" w:cs="Arial" w:eastAsia="Arial" w:hAnsi="Arial"/>
                <w:sz w:val="17"/>
                <w:szCs w:val="17"/>
                <w:color w:val="0000EE"/>
              </w:rPr>
            </w:pPr>
            <w:hyperlink w:anchor="page242">
              <w:r>
                <w:rPr>
                  <w:rFonts w:ascii="Arial" w:cs="Arial" w:eastAsia="Arial" w:hAnsi="Arial"/>
                  <w:sz w:val="17"/>
                  <w:szCs w:val="17"/>
                  <w:color w:val="0000EE"/>
                </w:rPr>
                <w:t>Condensed consolidated balance sheets</w:t>
              </w:r>
            </w:hyperlink>
          </w:p>
        </w:tc>
        <w:tc>
          <w:tcPr>
            <w:tcW w:w="5020" w:type="dxa"/>
            <w:vAlign w:val="bottom"/>
            <w:gridSpan w:val="10"/>
          </w:tcPr>
          <w:p>
            <w:pPr>
              <w:spacing w:after="0"/>
              <w:rPr>
                <w:sz w:val="23"/>
                <w:szCs w:val="23"/>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F-30</w:t>
            </w:r>
          </w:p>
        </w:tc>
      </w:tr>
      <w:tr>
        <w:trPr>
          <w:trHeight w:val="288"/>
        </w:trPr>
        <w:tc>
          <w:tcPr>
            <w:tcW w:w="6940" w:type="dxa"/>
            <w:vAlign w:val="bottom"/>
            <w:tcBorders>
              <w:bottom w:val="single" w:sz="8" w:color="0000EE"/>
            </w:tcBorders>
            <w:gridSpan w:val="9"/>
          </w:tcPr>
          <w:p>
            <w:pPr>
              <w:spacing w:after="0"/>
              <w:rPr>
                <w:rFonts w:ascii="Arial" w:cs="Arial" w:eastAsia="Arial" w:hAnsi="Arial"/>
                <w:sz w:val="17"/>
                <w:szCs w:val="17"/>
                <w:color w:val="0000EE"/>
              </w:rPr>
            </w:pPr>
            <w:hyperlink w:anchor="page243">
              <w:r>
                <w:rPr>
                  <w:rFonts w:ascii="Arial" w:cs="Arial" w:eastAsia="Arial" w:hAnsi="Arial"/>
                  <w:sz w:val="17"/>
                  <w:szCs w:val="17"/>
                  <w:color w:val="0000EE"/>
                </w:rPr>
                <w:t>Condensed combined and consolidated statements of operations and comprehensive loss</w:t>
              </w:r>
            </w:hyperlink>
          </w:p>
        </w:tc>
        <w:tc>
          <w:tcPr>
            <w:tcW w:w="122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F-31</w:t>
            </w:r>
          </w:p>
        </w:tc>
      </w:tr>
      <w:tr>
        <w:trPr>
          <w:trHeight w:val="288"/>
        </w:trPr>
        <w:tc>
          <w:tcPr>
            <w:tcW w:w="8160" w:type="dxa"/>
            <w:vAlign w:val="bottom"/>
            <w:tcBorders>
              <w:bottom w:val="single" w:sz="8" w:color="0000EE"/>
            </w:tcBorders>
            <w:gridSpan w:val="11"/>
          </w:tcPr>
          <w:p>
            <w:pPr>
              <w:spacing w:after="0"/>
              <w:rPr>
                <w:rFonts w:ascii="Arial" w:cs="Arial" w:eastAsia="Arial" w:hAnsi="Arial"/>
                <w:sz w:val="17"/>
                <w:szCs w:val="17"/>
                <w:color w:val="0000EE"/>
              </w:rPr>
            </w:pPr>
            <w:hyperlink w:anchor="page244">
              <w:r>
                <w:rPr>
                  <w:rFonts w:ascii="Arial" w:cs="Arial" w:eastAsia="Arial" w:hAnsi="Arial"/>
                  <w:sz w:val="17"/>
                  <w:szCs w:val="17"/>
                  <w:color w:val="0000EE"/>
                </w:rPr>
                <w:t>Condensed combined and consolidated statements of convertible preferred stock and stockholders’ deficit</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F-32</w:t>
            </w:r>
          </w:p>
        </w:tc>
      </w:tr>
      <w:tr>
        <w:trPr>
          <w:trHeight w:val="288"/>
        </w:trPr>
        <w:tc>
          <w:tcPr>
            <w:tcW w:w="5020" w:type="dxa"/>
            <w:vAlign w:val="bottom"/>
            <w:tcBorders>
              <w:bottom w:val="single" w:sz="8" w:color="0000EE"/>
            </w:tcBorders>
            <w:gridSpan w:val="6"/>
          </w:tcPr>
          <w:p>
            <w:pPr>
              <w:spacing w:after="0"/>
              <w:rPr>
                <w:rFonts w:ascii="Arial" w:cs="Arial" w:eastAsia="Arial" w:hAnsi="Arial"/>
                <w:sz w:val="17"/>
                <w:szCs w:val="17"/>
                <w:color w:val="0000EE"/>
              </w:rPr>
            </w:pPr>
            <w:hyperlink w:anchor="page245">
              <w:r>
                <w:rPr>
                  <w:rFonts w:ascii="Arial" w:cs="Arial" w:eastAsia="Arial" w:hAnsi="Arial"/>
                  <w:sz w:val="17"/>
                  <w:szCs w:val="17"/>
                  <w:color w:val="0000EE"/>
                </w:rPr>
                <w:t>Condensed combined and consolidated statements of cash flows</w:t>
              </w:r>
            </w:hyperlink>
          </w:p>
        </w:tc>
        <w:tc>
          <w:tcPr>
            <w:tcW w:w="3140" w:type="dxa"/>
            <w:vAlign w:val="bottom"/>
            <w:gridSpan w:val="5"/>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F-33</w:t>
            </w:r>
          </w:p>
        </w:tc>
      </w:tr>
      <w:tr>
        <w:trPr>
          <w:trHeight w:val="288"/>
        </w:trPr>
        <w:tc>
          <w:tcPr>
            <w:tcW w:w="5600" w:type="dxa"/>
            <w:vAlign w:val="bottom"/>
            <w:tcBorders>
              <w:bottom w:val="single" w:sz="8" w:color="0000EE"/>
            </w:tcBorders>
            <w:gridSpan w:val="7"/>
          </w:tcPr>
          <w:p>
            <w:pPr>
              <w:spacing w:after="0"/>
              <w:rPr>
                <w:rFonts w:ascii="Arial" w:cs="Arial" w:eastAsia="Arial" w:hAnsi="Arial"/>
                <w:sz w:val="17"/>
                <w:szCs w:val="17"/>
                <w:color w:val="0000EE"/>
              </w:rPr>
            </w:pPr>
            <w:hyperlink w:anchor="page246">
              <w:r>
                <w:rPr>
                  <w:rFonts w:ascii="Arial" w:cs="Arial" w:eastAsia="Arial" w:hAnsi="Arial"/>
                  <w:sz w:val="17"/>
                  <w:szCs w:val="17"/>
                  <w:color w:val="0000EE"/>
                </w:rPr>
                <w:t>Notes to the condensed combined and consolidated financial statements</w:t>
              </w:r>
            </w:hyperlink>
          </w:p>
        </w:tc>
        <w:tc>
          <w:tcPr>
            <w:tcW w:w="256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F-34</w:t>
            </w:r>
          </w:p>
        </w:tc>
      </w:tr>
      <w:tr>
        <w:trPr>
          <w:trHeight w:val="366"/>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480"/>
              <w:spacing w:after="0"/>
              <w:rPr>
                <w:sz w:val="20"/>
                <w:szCs w:val="20"/>
                <w:color w:val="auto"/>
              </w:rPr>
            </w:pPr>
            <w:r>
              <w:rPr>
                <w:rFonts w:ascii="Arial" w:cs="Arial" w:eastAsia="Arial" w:hAnsi="Arial"/>
                <w:sz w:val="17"/>
                <w:szCs w:val="17"/>
                <w:color w:val="auto"/>
              </w:rPr>
              <w:t>F-1</w:t>
            </w:r>
          </w:p>
        </w:tc>
        <w:tc>
          <w:tcPr>
            <w:tcW w:w="3020" w:type="dxa"/>
            <w:vAlign w:val="bottom"/>
          </w:tcPr>
          <w:p>
            <w:pPr>
              <w:spacing w:after="0"/>
              <w:rPr>
                <w:sz w:val="24"/>
                <w:szCs w:val="24"/>
                <w:color w:val="auto"/>
              </w:rPr>
            </w:pPr>
          </w:p>
        </w:tc>
      </w:tr>
    </w:tbl>
    <w:p>
      <w:pPr>
        <w:sectPr>
          <w:pgSz w:w="11900" w:h="16838" w:orient="portrait"/>
          <w:cols w:equalWidth="0" w:num="1">
            <w:col w:w="11180"/>
          </w:cols>
          <w:pgMar w:left="320" w:top="456" w:right="3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 of Monte Rosa Therapeutics, Inc.</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Opinion on the financial statements</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have audited the accompanying combined and consolidated balance sheets of Monte Rosa Therapeutics, Inc. and its subsidiaries (the “Company”) as of December 31, 2020 and 2019, the related combined and consolidated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for opinion</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19, 2021</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20"/>
          </w:cols>
          <w:pgMar w:left="320" w:top="456" w:right="3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Combined and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359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7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4"/>
        </w:trPr>
        <w:tc>
          <w:tcPr>
            <w:tcW w:w="9280" w:type="dxa"/>
            <w:vAlign w:val="bottom"/>
            <w:tcBorders>
              <w:bottom w:val="single" w:sz="8" w:color="auto"/>
            </w:tcBorders>
            <w:vMerge w:val="continue"/>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33590" cy="1276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Cash and cash equivalents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Prepaid expenses and other current assets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Property and equipment, net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276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assets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Current liabilities: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Accrued expenses and other current liabilities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Preferred stock tranche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Convertible note payable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Defined benefit plan liability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1276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 (Note 6)</w:t>
      </w:r>
    </w:p>
    <w:p>
      <w:pPr>
        <w:spacing w:after="0" w:line="5" w:lineRule="exact"/>
        <w:rPr>
          <w:sz w:val="20"/>
          <w:szCs w:val="20"/>
          <w:color w:val="auto"/>
        </w:rPr>
      </w:pPr>
    </w:p>
    <w:p>
      <w:pPr>
        <w:ind w:left="220" w:right="100" w:hanging="213"/>
        <w:spacing w:after="0" w:line="254" w:lineRule="auto"/>
        <w:rPr>
          <w:sz w:val="20"/>
          <w:szCs w:val="20"/>
          <w:color w:val="auto"/>
        </w:rPr>
      </w:pPr>
      <w:r>
        <w:rPr>
          <w:rFonts w:ascii="Arial" w:cs="Arial" w:eastAsia="Arial" w:hAnsi="Arial"/>
          <w:sz w:val="17"/>
          <w:szCs w:val="17"/>
          <w:color w:val="auto"/>
        </w:rPr>
        <w:t>Convertible preferred stock, $0.0001 par value; 77,631,514 shares authorized and 53,631,514 shares issued and outstanding as of December 31, 2020; and 19,250,000 shares authorized, issued and outstanding as of December 31, 2019; aggregate liquidation value of $80.5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1276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Stockholders’ deficit</w:t>
      </w:r>
    </w:p>
    <w:p>
      <w:pPr>
        <w:spacing w:after="0" w:line="5" w:lineRule="exact"/>
        <w:rPr>
          <w:sz w:val="20"/>
          <w:szCs w:val="20"/>
          <w:color w:val="auto"/>
        </w:rPr>
      </w:pPr>
    </w:p>
    <w:p>
      <w:pPr>
        <w:jc w:val="both"/>
        <w:ind w:left="220" w:hanging="213"/>
        <w:spacing w:after="0" w:line="246" w:lineRule="auto"/>
        <w:rPr>
          <w:sz w:val="20"/>
          <w:szCs w:val="20"/>
          <w:color w:val="auto"/>
        </w:rPr>
      </w:pPr>
      <w:r>
        <w:rPr>
          <w:rFonts w:ascii="Arial" w:cs="Arial" w:eastAsia="Arial" w:hAnsi="Arial"/>
          <w:sz w:val="17"/>
          <w:szCs w:val="17"/>
          <w:color w:val="auto"/>
        </w:rPr>
        <w:t>Common stock, $0.0001 par value; 97,500,000 shares authorized, 7,699,359 shares issued and 5,950,779 shares outstanding as of December 31, 2020; and $0.01 par value; 5,000,000 authorized, issued and outstanding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1276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Additional paid-in capital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1276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Accumulated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276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0656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65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tabs>
          <w:tab w:leader="none" w:pos="1120" w:val="left"/>
          <w:tab w:leader="none" w:pos="1400" w:val="left"/>
        </w:tabs>
        <w:rPr>
          <w:sz w:val="20"/>
          <w:szCs w:val="20"/>
          <w:color w:val="auto"/>
        </w:rPr>
      </w:pPr>
      <w:r>
        <w:rPr>
          <w:rFonts w:ascii="Arial" w:cs="Arial" w:eastAsia="Arial" w:hAnsi="Arial"/>
          <w:sz w:val="17"/>
          <w:szCs w:val="17"/>
          <w:color w:val="auto"/>
        </w:rPr>
        <w:t>$ 41,699</w:t>
      </w:r>
      <w:r>
        <w:rPr>
          <w:sz w:val="20"/>
          <w:szCs w:val="20"/>
          <w:color w:val="auto"/>
        </w:rPr>
        <w:tab/>
      </w:r>
      <w:r>
        <w:rPr>
          <w:rFonts w:ascii="Arial" w:cs="Arial" w:eastAsia="Arial" w:hAnsi="Arial"/>
          <w:sz w:val="17"/>
          <w:szCs w:val="17"/>
          <w:color w:val="auto"/>
        </w:rPr>
        <w:t>$</w:t>
        <w:tab/>
        <w:t>5,995</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—3,250</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1,892514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43,591</w:t>
            </w: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9,759</w:t>
            </w:r>
          </w:p>
        </w:tc>
      </w:tr>
      <w:tr>
        <w:trPr>
          <w:trHeight w:val="201"/>
        </w:trPr>
        <w:tc>
          <w:tcPr>
            <w:tcW w:w="14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4,623</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1,335</w:t>
            </w:r>
          </w:p>
        </w:tc>
      </w:tr>
      <w:tr>
        <w:trPr>
          <w:trHeight w:val="197"/>
        </w:trPr>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1,164</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49,378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11,094</w:t>
            </w:r>
          </w:p>
        </w:tc>
      </w:tr>
      <w:tr>
        <w:trPr>
          <w:trHeight w:val="679"/>
        </w:trPr>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7,066</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3,195</w:t>
            </w:r>
          </w:p>
        </w:tc>
      </w:tr>
      <w:tr>
        <w:trPr>
          <w:trHeight w:val="201"/>
        </w:trPr>
        <w:tc>
          <w:tcPr>
            <w:tcW w:w="14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2,529</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01"/>
        </w:trPr>
        <w:tc>
          <w:tcPr>
            <w:tcW w:w="14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19,680</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bl>
    <w:p>
      <w:pPr>
        <w:ind w:left="540"/>
        <w:spacing w:after="0"/>
        <w:rPr>
          <w:sz w:val="20"/>
          <w:szCs w:val="20"/>
          <w:color w:val="auto"/>
        </w:rPr>
      </w:pPr>
      <w:r>
        <w:rPr>
          <w:rFonts w:ascii="Arial" w:cs="Arial" w:eastAsia="Arial" w:hAnsi="Arial"/>
          <w:sz w:val="17"/>
          <w:szCs w:val="17"/>
          <w:color w:val="auto"/>
        </w:rPr>
        <w:t>—750</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29,2754,292</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1,067—</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30,3424,292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-414020</wp:posOffset>
            </wp:positionV>
            <wp:extent cx="11804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804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wp:posOffset>
            </wp:positionV>
            <wp:extent cx="11804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7"/>
          <w:szCs w:val="17"/>
          <w:color w:val="auto"/>
        </w:rPr>
        <w:t>67,764</w:t>
      </w:r>
      <w:r>
        <w:rPr>
          <w:sz w:val="20"/>
          <w:szCs w:val="20"/>
          <w:color w:val="auto"/>
        </w:rPr>
        <w:tab/>
      </w:r>
      <w:r>
        <w:rPr>
          <w:rFonts w:ascii="Arial" w:cs="Arial" w:eastAsia="Arial" w:hAnsi="Arial"/>
          <w:sz w:val="17"/>
          <w:szCs w:val="17"/>
          <w:color w:val="auto"/>
        </w:rPr>
        <w:t>18,950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60" w:hanging="1053"/>
        <w:spacing w:after="0"/>
        <w:tabs>
          <w:tab w:leader="none" w:pos="1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50</w:t>
      </w:r>
    </w:p>
    <w:p>
      <w:pPr>
        <w:spacing w:after="0" w:line="5"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404—</w:t>
      </w:r>
    </w:p>
    <w:p>
      <w:pPr>
        <w:spacing w:after="0" w:line="5"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7"/>
          <w:szCs w:val="17"/>
          <w:color w:val="auto"/>
        </w:rPr>
        <w:t>(1,056)</w:t>
      </w:r>
      <w:r>
        <w:rPr>
          <w:sz w:val="20"/>
          <w:szCs w:val="20"/>
          <w:color w:val="auto"/>
        </w:rPr>
        <w:tab/>
      </w:r>
      <w:r>
        <w:rPr>
          <w:rFonts w:ascii="Arial" w:cs="Arial" w:eastAsia="Arial" w:hAnsi="Arial"/>
          <w:sz w:val="17"/>
          <w:szCs w:val="17"/>
          <w:color w:val="auto"/>
        </w:rPr>
        <w:t>—</w:t>
      </w:r>
    </w:p>
    <w:p>
      <w:pPr>
        <w:spacing w:after="0" w:line="5"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7"/>
          <w:szCs w:val="17"/>
          <w:color w:val="auto"/>
        </w:rPr>
        <w:t>(48,077)</w:t>
      </w:r>
      <w:r>
        <w:rPr>
          <w:sz w:val="20"/>
          <w:szCs w:val="20"/>
          <w:color w:val="auto"/>
        </w:rPr>
        <w:tab/>
      </w:r>
      <w:r>
        <w:rPr>
          <w:rFonts w:ascii="Arial" w:cs="Arial" w:eastAsia="Arial" w:hAnsi="Arial"/>
          <w:sz w:val="17"/>
          <w:szCs w:val="17"/>
          <w:color w:val="auto"/>
        </w:rPr>
        <w:t>(12,198)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11804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2"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7"/>
          <w:szCs w:val="17"/>
          <w:color w:val="auto"/>
        </w:rPr>
        <w:t>(48,728)</w:t>
      </w:r>
      <w:r>
        <w:rPr>
          <w:sz w:val="20"/>
          <w:szCs w:val="20"/>
          <w:color w:val="auto"/>
        </w:rPr>
        <w:tab/>
      </w:r>
      <w:r>
        <w:rPr>
          <w:rFonts w:ascii="Arial" w:cs="Arial" w:eastAsia="Arial" w:hAnsi="Arial"/>
          <w:sz w:val="17"/>
          <w:szCs w:val="17"/>
          <w:color w:val="auto"/>
        </w:rPr>
        <w:t>(12,148)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11804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$ 49,378</w:t>
      </w:r>
      <w:r>
        <w:rPr>
          <w:sz w:val="20"/>
          <w:szCs w:val="20"/>
          <w:color w:val="auto"/>
        </w:rPr>
        <w:tab/>
      </w:r>
      <w:r>
        <w:rPr>
          <w:rFonts w:ascii="Arial" w:cs="Arial" w:eastAsia="Arial" w:hAnsi="Arial"/>
          <w:sz w:val="17"/>
          <w:szCs w:val="17"/>
          <w:color w:val="auto"/>
        </w:rPr>
        <w:t>$ 11,094</w:t>
      </w:r>
    </w:p>
    <w:p>
      <w:pPr>
        <w:spacing w:after="0" w:line="200" w:lineRule="exact"/>
        <w:rPr>
          <w:sz w:val="20"/>
          <w:szCs w:val="20"/>
          <w:color w:val="auto"/>
        </w:rPr>
      </w:pPr>
    </w:p>
    <w:p>
      <w:pPr>
        <w:sectPr>
          <w:pgSz w:w="11900" w:h="16838" w:orient="portrait"/>
          <w:cols w:equalWidth="0" w:num="2">
            <w:col w:w="8800" w:space="480"/>
            <w:col w:w="1960"/>
          </w:cols>
          <w:pgMar w:left="320" w:top="4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combined and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240"/>
          </w:cols>
          <w:pgMar w:left="320" w:top="456" w:right="33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ind w:right="2360"/>
        <w:spacing w:after="0" w:line="256" w:lineRule="auto"/>
        <w:rPr>
          <w:sz w:val="20"/>
          <w:szCs w:val="20"/>
          <w:color w:val="auto"/>
        </w:rPr>
      </w:pPr>
      <w:r>
        <w:rPr>
          <w:rFonts w:ascii="Arial" w:cs="Arial" w:eastAsia="Arial" w:hAnsi="Arial"/>
          <w:sz w:val="32"/>
          <w:szCs w:val="32"/>
          <w:b w:val="1"/>
          <w:bCs w:val="1"/>
          <w:color w:val="auto"/>
        </w:rPr>
        <w:t>Combined and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3359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100" w:type="dxa"/>
            <w:vAlign w:val="bottom"/>
          </w:tcPr>
          <w:p>
            <w:pPr>
              <w:spacing w:after="0"/>
              <w:rPr>
                <w:sz w:val="19"/>
                <w:szCs w:val="19"/>
                <w:color w:val="auto"/>
              </w:rPr>
            </w:pPr>
          </w:p>
        </w:tc>
        <w:tc>
          <w:tcPr>
            <w:tcW w:w="24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194"/>
        </w:trPr>
        <w:tc>
          <w:tcPr>
            <w:tcW w:w="8720" w:type="dxa"/>
            <w:vAlign w:val="bottom"/>
            <w:tcBorders>
              <w:bottom w:val="single" w:sz="8" w:color="auto"/>
            </w:tcBorders>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73"/>
              <w:spacing w:after="0" w:line="194" w:lineRule="exact"/>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8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273"/>
              <w:spacing w:after="0"/>
              <w:rPr>
                <w:sz w:val="20"/>
                <w:szCs w:val="20"/>
                <w:color w:val="auto"/>
              </w:rPr>
            </w:pPr>
            <w:r>
              <w:rPr>
                <w:rFonts w:ascii="Arial" w:cs="Arial" w:eastAsia="Arial" w:hAnsi="Arial"/>
                <w:sz w:val="17"/>
                <w:szCs w:val="17"/>
                <w:color w:val="auto"/>
              </w:rPr>
              <w:t>24,005</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4,005</w:t>
            </w: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20" w:type="dxa"/>
            <w:vAlign w:val="bottom"/>
          </w:tcPr>
          <w:p>
            <w:pPr>
              <w:ind w:left="44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28,010</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(28,010)</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(7,994)</w:t>
            </w:r>
          </w:p>
        </w:tc>
        <w:tc>
          <w:tcPr>
            <w:tcW w:w="0" w:type="dxa"/>
            <w:vAlign w:val="bottom"/>
          </w:tcPr>
          <w:p>
            <w:pPr>
              <w:spacing w:after="0"/>
              <w:rPr>
                <w:sz w:val="1"/>
                <w:szCs w:val="1"/>
                <w:color w:val="auto"/>
              </w:rPr>
            </w:pPr>
          </w:p>
        </w:tc>
      </w:tr>
      <w:tr>
        <w:trPr>
          <w:trHeight w:val="267"/>
        </w:trPr>
        <w:tc>
          <w:tcPr>
            <w:tcW w:w="8720" w:type="dxa"/>
            <w:vAlign w:val="bottom"/>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9</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8720" w:type="dxa"/>
            <w:vAlign w:val="bottom"/>
          </w:tcPr>
          <w:p>
            <w:pPr>
              <w:ind w:left="220"/>
              <w:spacing w:after="0"/>
              <w:rPr>
                <w:sz w:val="20"/>
                <w:szCs w:val="20"/>
                <w:color w:val="auto"/>
              </w:rPr>
            </w:pPr>
            <w:r>
              <w:rPr>
                <w:rFonts w:ascii="Arial" w:cs="Arial" w:eastAsia="Arial" w:hAnsi="Arial"/>
                <w:sz w:val="17"/>
                <w:szCs w:val="17"/>
                <w:color w:val="auto"/>
              </w:rPr>
              <w:t>Foreign currency exchange loss, net</w:t>
            </w:r>
          </w:p>
        </w:tc>
        <w:tc>
          <w:tcPr>
            <w:tcW w:w="10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Arial" w:cs="Arial" w:eastAsia="Arial" w:hAnsi="Arial"/>
                <w:sz w:val="17"/>
                <w:szCs w:val="17"/>
                <w:color w:val="auto"/>
              </w:rPr>
              <w:t>(198)</w:t>
            </w:r>
          </w:p>
        </w:tc>
        <w:tc>
          <w:tcPr>
            <w:tcW w:w="4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fair value of preferred stock tranche obligations, net</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(7,680)</w:t>
            </w: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20" w:type="dxa"/>
            <w:vAlign w:val="bottom"/>
          </w:tcPr>
          <w:p>
            <w:pPr>
              <w:ind w:left="440"/>
              <w:spacing w:after="0"/>
              <w:rPr>
                <w:sz w:val="20"/>
                <w:szCs w:val="20"/>
                <w:color w:val="auto"/>
              </w:rPr>
            </w:pPr>
            <w:r>
              <w:rPr>
                <w:rFonts w:ascii="Arial" w:cs="Arial" w:eastAsia="Arial" w:hAnsi="Arial"/>
                <w:sz w:val="17"/>
                <w:szCs w:val="17"/>
                <w:color w:val="auto"/>
              </w:rPr>
              <w:t>Total other (expense) income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(7,869)</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(35,879)</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214"/>
        </w:trPr>
        <w:tc>
          <w:tcPr>
            <w:tcW w:w="8720" w:type="dxa"/>
            <w:vAlign w:val="bottom"/>
          </w:tcPr>
          <w:p>
            <w:pPr>
              <w:spacing w:after="0"/>
              <w:rPr>
                <w:sz w:val="20"/>
                <w:szCs w:val="20"/>
                <w:color w:val="auto"/>
              </w:rPr>
            </w:pPr>
            <w:r>
              <w:rPr>
                <w:rFonts w:ascii="Arial" w:cs="Arial" w:eastAsia="Arial" w:hAnsi="Arial"/>
                <w:sz w:val="17"/>
                <w:szCs w:val="17"/>
                <w:color w:val="auto"/>
              </w:rPr>
              <w:t>Provision for pension benefit obligation</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(1,056)</w:t>
            </w: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(36,935)</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274"/>
        </w:trPr>
        <w:tc>
          <w:tcPr>
            <w:tcW w:w="8720" w:type="dxa"/>
            <w:vAlign w:val="bottom"/>
          </w:tcPr>
          <w:p>
            <w:pPr>
              <w:spacing w:after="0"/>
              <w:rPr>
                <w:sz w:val="20"/>
                <w:szCs w:val="20"/>
                <w:color w:val="auto"/>
              </w:rPr>
            </w:pPr>
            <w:r>
              <w:rPr>
                <w:rFonts w:ascii="Arial" w:cs="Arial" w:eastAsia="Arial" w:hAnsi="Arial"/>
                <w:sz w:val="17"/>
                <w:szCs w:val="17"/>
                <w:color w:val="auto"/>
              </w:rPr>
              <w:t>Reconciliation of net loss to net loss attributable to common stockholders</w:t>
            </w:r>
          </w:p>
        </w:tc>
        <w:tc>
          <w:tcPr>
            <w:tcW w:w="1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(35,879)</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72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213"/>
              <w:spacing w:after="0"/>
              <w:rPr>
                <w:sz w:val="20"/>
                <w:szCs w:val="20"/>
                <w:color w:val="auto"/>
              </w:rPr>
            </w:pPr>
            <w:r>
              <w:rPr>
                <w:rFonts w:ascii="Arial" w:cs="Arial" w:eastAsia="Arial" w:hAnsi="Arial"/>
                <w:sz w:val="17"/>
                <w:szCs w:val="17"/>
                <w:color w:val="auto"/>
              </w:rPr>
              <w:t>(6.70)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4"/>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outstanding used in computing net loss per common share—basic</w:t>
            </w: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diluted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5,355,459</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456"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ind w:right="540"/>
        <w:spacing w:after="0" w:line="256" w:lineRule="auto"/>
        <w:rPr>
          <w:sz w:val="20"/>
          <w:szCs w:val="20"/>
          <w:color w:val="auto"/>
        </w:rPr>
      </w:pPr>
      <w:r>
        <w:rPr>
          <w:rFonts w:ascii="Arial" w:cs="Arial" w:eastAsia="Arial" w:hAnsi="Arial"/>
          <w:sz w:val="32"/>
          <w:szCs w:val="32"/>
          <w:b w:val="1"/>
          <w:bCs w:val="1"/>
          <w:color w:val="auto"/>
        </w:rPr>
        <w:t>Combined and consolidated statements of convertible preferred stock and stockholders’ deficit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Convertible</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Additional</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rPr>
                <w:sz w:val="11"/>
                <w:szCs w:val="11"/>
                <w:color w:val="auto"/>
              </w:rPr>
            </w:pPr>
          </w:p>
        </w:tc>
        <w:tc>
          <w:tcPr>
            <w:tcW w:w="1860" w:type="dxa"/>
            <w:vAlign w:val="bottom"/>
            <w:tcBorders>
              <w:right w:val="single" w:sz="8" w:color="auto"/>
            </w:tcBorders>
            <w:gridSpan w:val="4"/>
          </w:tcPr>
          <w:p>
            <w:pPr>
              <w:jc w:val="right"/>
              <w:ind w:right="180"/>
              <w:spacing w:after="0" w:line="137" w:lineRule="exact"/>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1"/>
                <w:szCs w:val="11"/>
                <w:color w:val="auto"/>
              </w:rPr>
            </w:pPr>
          </w:p>
        </w:tc>
        <w:tc>
          <w:tcPr>
            <w:tcW w:w="1720" w:type="dxa"/>
            <w:vAlign w:val="bottom"/>
            <w:gridSpan w:val="4"/>
          </w:tcPr>
          <w:p>
            <w:pPr>
              <w:jc w:val="right"/>
              <w:ind w:right="160"/>
              <w:spacing w:after="0" w:line="137" w:lineRule="exact"/>
              <w:rPr>
                <w:sz w:val="20"/>
                <w:szCs w:val="20"/>
                <w:color w:val="auto"/>
              </w:rPr>
            </w:pPr>
            <w:r>
              <w:rPr>
                <w:rFonts w:ascii="Arial" w:cs="Arial" w:eastAsia="Arial" w:hAnsi="Arial"/>
                <w:sz w:val="13"/>
                <w:szCs w:val="13"/>
                <w:b w:val="1"/>
                <w:bCs w:val="1"/>
                <w:color w:val="auto"/>
              </w:rPr>
              <w:t>Common stock</w:t>
            </w:r>
          </w:p>
        </w:tc>
        <w:tc>
          <w:tcPr>
            <w:tcW w:w="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7"/>
              <w:spacing w:after="0" w:line="137" w:lineRule="exact"/>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100"/>
              <w:spacing w:after="0" w:line="13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(in thousands, except share</w:t>
            </w: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vMerge w:val="restart"/>
          </w:tcPr>
          <w:p>
            <w:pPr>
              <w:jc w:val="right"/>
              <w:ind w:right="16"/>
              <w:spacing w:after="0" w:line="148" w:lineRule="exact"/>
              <w:rPr>
                <w:sz w:val="20"/>
                <w:szCs w:val="20"/>
                <w:color w:val="auto"/>
              </w:rPr>
            </w:pPr>
            <w:r>
              <w:rPr>
                <w:rFonts w:ascii="Arial" w:cs="Arial" w:eastAsia="Arial" w:hAnsi="Arial"/>
                <w:sz w:val="13"/>
                <w:szCs w:val="13"/>
                <w:b w:val="1"/>
                <w:bCs w:val="1"/>
                <w:color w:val="auto"/>
              </w:rPr>
              <w:t>paid-in</w:t>
            </w:r>
          </w:p>
        </w:tc>
        <w:tc>
          <w:tcPr>
            <w:tcW w:w="1260" w:type="dxa"/>
            <w:vAlign w:val="bottom"/>
            <w:gridSpan w:val="2"/>
            <w:vMerge w:val="restart"/>
          </w:tcPr>
          <w:p>
            <w:pPr>
              <w:jc w:val="right"/>
              <w:ind w:right="77"/>
              <w:spacing w:after="0" w:line="148"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2"/>
            <w:vMerge w:val="restart"/>
          </w:tcPr>
          <w:p>
            <w:pPr>
              <w:ind w:left="120"/>
              <w:spacing w:after="0" w:line="148" w:lineRule="exact"/>
              <w:rPr>
                <w:sz w:val="20"/>
                <w:szCs w:val="20"/>
                <w:color w:val="auto"/>
              </w:rPr>
            </w:pPr>
            <w:r>
              <w:rPr>
                <w:rFonts w:ascii="Arial" w:cs="Arial" w:eastAsia="Arial" w:hAnsi="Arial"/>
                <w:sz w:val="13"/>
                <w:szCs w:val="13"/>
                <w:b w:val="1"/>
                <w:bCs w:val="1"/>
                <w:color w:val="auto"/>
              </w:rPr>
              <w:t>Accumulated</w:t>
            </w:r>
          </w:p>
        </w:tc>
        <w:tc>
          <w:tcPr>
            <w:tcW w:w="1100" w:type="dxa"/>
            <w:vAlign w:val="bottom"/>
            <w:gridSpan w:val="3"/>
            <w:vMerge w:val="restart"/>
          </w:tcPr>
          <w:p>
            <w:pPr>
              <w:jc w:val="right"/>
              <w:ind w:right="100"/>
              <w:spacing w:after="0" w:line="148"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00"/>
        </w:trPr>
        <w:tc>
          <w:tcPr>
            <w:tcW w:w="3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loss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deficit</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Balance—January 1, 2019</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5,000,000</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4,370</w:t>
            </w:r>
          </w:p>
        </w:tc>
        <w:tc>
          <w:tcPr>
            <w:tcW w:w="180" w:type="dxa"/>
            <w:vAlign w:val="bottom"/>
            <w:tcBorders>
              <w:right w:val="single" w:sz="8" w:color="auto"/>
            </w:tcBorders>
            <w:shd w:val="clear" w:color="auto" w:fill="CCEEFF"/>
          </w:tcPr>
          <w:p>
            <w:pPr>
              <w:spacing w:after="0"/>
              <w:rPr>
                <w:sz w:val="16"/>
                <w:szCs w:val="16"/>
                <w:color w:val="auto"/>
              </w:rPr>
            </w:pPr>
          </w:p>
        </w:tc>
        <w:tc>
          <w:tcPr>
            <w:tcW w:w="1080" w:type="dxa"/>
            <w:vAlign w:val="bottom"/>
            <w:gridSpan w:val="2"/>
            <w:shd w:val="clear" w:color="auto" w:fill="CCEEFF"/>
          </w:tcPr>
          <w:p>
            <w:pPr>
              <w:jc w:val="right"/>
              <w:ind w:right="17"/>
              <w:spacing w:after="0" w:line="194" w:lineRule="exact"/>
              <w:rPr>
                <w:sz w:val="20"/>
                <w:szCs w:val="20"/>
                <w:color w:val="auto"/>
              </w:rPr>
            </w:pPr>
            <w:r>
              <w:rPr>
                <w:rFonts w:ascii="Arial" w:cs="Arial" w:eastAsia="Arial" w:hAnsi="Arial"/>
                <w:sz w:val="17"/>
                <w:szCs w:val="17"/>
                <w:color w:val="auto"/>
              </w:rPr>
              <w:t>5,000,000</w:t>
            </w:r>
          </w:p>
        </w:tc>
        <w:tc>
          <w:tcPr>
            <w:tcW w:w="2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94" w:lineRule="exact"/>
              <w:rPr>
                <w:sz w:val="20"/>
                <w:szCs w:val="20"/>
                <w:color w:val="auto"/>
              </w:rPr>
            </w:pPr>
            <w:r>
              <w:rPr>
                <w:rFonts w:ascii="Arial" w:cs="Arial" w:eastAsia="Arial" w:hAnsi="Arial"/>
                <w:sz w:val="17"/>
                <w:szCs w:val="17"/>
                <w:color w:val="auto"/>
              </w:rPr>
              <w:t>(4,458)</w:t>
            </w:r>
          </w:p>
        </w:tc>
        <w:tc>
          <w:tcPr>
            <w:tcW w:w="300" w:type="dxa"/>
            <w:vAlign w:val="bottom"/>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(4,408)</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7"/>
                <w:szCs w:val="17"/>
                <w:color w:val="auto"/>
              </w:rPr>
              <w:t>Issuance of Series A convertible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tcPr>
          <w:p>
            <w:pPr>
              <w:ind w:left="220"/>
              <w:spacing w:after="0"/>
              <w:rPr>
                <w:sz w:val="20"/>
                <w:szCs w:val="20"/>
                <w:color w:val="auto"/>
              </w:rPr>
            </w:pPr>
            <w:r>
              <w:rPr>
                <w:rFonts w:ascii="Arial" w:cs="Arial" w:eastAsia="Arial" w:hAnsi="Arial"/>
                <w:sz w:val="17"/>
                <w:szCs w:val="17"/>
                <w:color w:val="auto"/>
              </w:rPr>
              <w:t>preferred stock, net of issuance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20"/>
              <w:spacing w:after="0"/>
              <w:rPr>
                <w:sz w:val="20"/>
                <w:szCs w:val="20"/>
                <w:color w:val="auto"/>
              </w:rPr>
            </w:pPr>
            <w:r>
              <w:rPr>
                <w:rFonts w:ascii="Arial" w:cs="Arial" w:eastAsia="Arial" w:hAnsi="Arial"/>
                <w:sz w:val="17"/>
                <w:szCs w:val="17"/>
                <w:color w:val="auto"/>
              </w:rPr>
              <w:t>costs of $0</w:t>
            </w:r>
          </w:p>
        </w:tc>
        <w:tc>
          <w:tcPr>
            <w:tcW w:w="940" w:type="dxa"/>
            <w:vAlign w:val="bottom"/>
          </w:tcPr>
          <w:p>
            <w:pPr>
              <w:jc w:val="right"/>
              <w:spacing w:after="0"/>
              <w:rPr>
                <w:sz w:val="20"/>
                <w:szCs w:val="20"/>
                <w:color w:val="auto"/>
              </w:rPr>
            </w:pPr>
            <w:r>
              <w:rPr>
                <w:rFonts w:ascii="Arial" w:cs="Arial" w:eastAsia="Arial" w:hAnsi="Arial"/>
                <w:sz w:val="17"/>
                <w:szCs w:val="17"/>
                <w:color w:val="auto"/>
              </w:rPr>
              <w:t>14,250,000</w:t>
            </w: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99"/>
              </w:rPr>
              <w:t>14,580</w:t>
            </w:r>
          </w:p>
        </w:tc>
        <w:tc>
          <w:tcPr>
            <w:tcW w:w="1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(7,740)</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tcPr>
          <w:p>
            <w:pPr>
              <w:spacing w:after="0"/>
              <w:rPr>
                <w:sz w:val="20"/>
                <w:szCs w:val="20"/>
                <w:color w:val="auto"/>
              </w:rPr>
            </w:pPr>
            <w:r>
              <w:rPr>
                <w:rFonts w:ascii="Arial" w:cs="Arial" w:eastAsia="Arial" w:hAnsi="Arial"/>
                <w:sz w:val="17"/>
                <w:szCs w:val="17"/>
                <w:color w:val="auto"/>
              </w:rPr>
              <w:t>Balance—December 31, 2019</w:t>
            </w:r>
          </w:p>
        </w:tc>
        <w:tc>
          <w:tcPr>
            <w:tcW w:w="940" w:type="dxa"/>
            <w:vAlign w:val="bottom"/>
          </w:tcPr>
          <w:p>
            <w:pPr>
              <w:jc w:val="right"/>
              <w:spacing w:after="0"/>
              <w:rPr>
                <w:sz w:val="20"/>
                <w:szCs w:val="20"/>
                <w:color w:val="auto"/>
              </w:rPr>
            </w:pPr>
            <w:r>
              <w:rPr>
                <w:rFonts w:ascii="Arial" w:cs="Arial" w:eastAsia="Arial" w:hAnsi="Arial"/>
                <w:sz w:val="17"/>
                <w:szCs w:val="17"/>
                <w:color w:val="auto"/>
              </w:rPr>
              <w:t>19,250,000</w:t>
            </w:r>
          </w:p>
        </w:tc>
        <w:tc>
          <w:tcPr>
            <w:tcW w:w="2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99"/>
              </w:rPr>
              <w:t>18,950</w:t>
            </w:r>
          </w:p>
        </w:tc>
        <w:tc>
          <w:tcPr>
            <w:tcW w:w="1080" w:type="dxa"/>
            <w:vAlign w:val="bottom"/>
            <w:gridSpan w:val="2"/>
          </w:tcPr>
          <w:p>
            <w:pPr>
              <w:jc w:val="right"/>
              <w:ind w:right="17"/>
              <w:spacing w:after="0"/>
              <w:rPr>
                <w:sz w:val="20"/>
                <w:szCs w:val="20"/>
                <w:color w:val="auto"/>
              </w:rPr>
            </w:pPr>
            <w:r>
              <w:rPr>
                <w:rFonts w:ascii="Arial" w:cs="Arial" w:eastAsia="Arial" w:hAnsi="Arial"/>
                <w:sz w:val="17"/>
                <w:szCs w:val="17"/>
                <w:color w:val="auto"/>
              </w:rPr>
              <w:t>5,000,000</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(12,198)</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(12,148)</w:t>
            </w: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Vesting of restricted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950,779</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7"/>
                <w:szCs w:val="17"/>
                <w:color w:val="auto"/>
              </w:rPr>
              <w:t>Change in par value of 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tcPr>
          <w:p>
            <w:pPr>
              <w:ind w:left="220"/>
              <w:spacing w:after="0"/>
              <w:rPr>
                <w:sz w:val="20"/>
                <w:szCs w:val="20"/>
                <w:color w:val="auto"/>
              </w:rPr>
            </w:pPr>
            <w:r>
              <w:rPr>
                <w:rFonts w:ascii="Arial" w:cs="Arial" w:eastAsia="Arial" w:hAnsi="Arial"/>
                <w:sz w:val="17"/>
                <w:szCs w:val="17"/>
                <w:color w:val="auto"/>
              </w:rPr>
              <w:t>due to the Contribution and</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20"/>
              <w:spacing w:after="0"/>
              <w:rPr>
                <w:sz w:val="20"/>
                <w:szCs w:val="20"/>
                <w:color w:val="auto"/>
              </w:rPr>
            </w:pPr>
            <w:r>
              <w:rPr>
                <w:rFonts w:ascii="Arial" w:cs="Arial" w:eastAsia="Arial" w:hAnsi="Arial"/>
                <w:sz w:val="17"/>
                <w:szCs w:val="17"/>
                <w:color w:val="auto"/>
              </w:rPr>
              <w:t>Exchange agreement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convertible note and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interest to Series A</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754,280</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7"/>
                <w:szCs w:val="17"/>
                <w:color w:val="auto"/>
              </w:rPr>
              <w:t>Issuance of Series A-2 convertible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tcPr>
          <w:p>
            <w:pPr>
              <w:ind w:left="220"/>
              <w:spacing w:after="0"/>
              <w:rPr>
                <w:sz w:val="20"/>
                <w:szCs w:val="20"/>
                <w:color w:val="auto"/>
              </w:rPr>
            </w:pPr>
            <w:r>
              <w:rPr>
                <w:rFonts w:ascii="Arial" w:cs="Arial" w:eastAsia="Arial" w:hAnsi="Arial"/>
                <w:sz w:val="17"/>
                <w:szCs w:val="17"/>
                <w:color w:val="auto"/>
              </w:rPr>
              <w:t>preferred stock, net of issuance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20"/>
              <w:spacing w:after="0"/>
              <w:rPr>
                <w:sz w:val="20"/>
                <w:szCs w:val="20"/>
                <w:color w:val="auto"/>
              </w:rPr>
            </w:pPr>
            <w:r>
              <w:rPr>
                <w:rFonts w:ascii="Arial" w:cs="Arial" w:eastAsia="Arial" w:hAnsi="Arial"/>
                <w:sz w:val="17"/>
                <w:szCs w:val="17"/>
                <w:color w:val="auto"/>
              </w:rPr>
              <w:t>costs of $178</w:t>
            </w:r>
          </w:p>
        </w:tc>
        <w:tc>
          <w:tcPr>
            <w:tcW w:w="940" w:type="dxa"/>
            <w:vAlign w:val="bottom"/>
          </w:tcPr>
          <w:p>
            <w:pPr>
              <w:jc w:val="right"/>
              <w:spacing w:after="0"/>
              <w:rPr>
                <w:sz w:val="20"/>
                <w:szCs w:val="20"/>
                <w:color w:val="auto"/>
              </w:rPr>
            </w:pPr>
            <w:r>
              <w:rPr>
                <w:rFonts w:ascii="Arial" w:cs="Arial" w:eastAsia="Arial" w:hAnsi="Arial"/>
                <w:sz w:val="17"/>
                <w:szCs w:val="17"/>
                <w:color w:val="auto"/>
              </w:rPr>
              <w:t>9,627,234</w:t>
            </w: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99"/>
              </w:rPr>
              <w:t>12,322</w:t>
            </w:r>
          </w:p>
        </w:tc>
        <w:tc>
          <w:tcPr>
            <w:tcW w:w="1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net of issuance</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costs of $262 and discount on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allocation of proceeds to preferred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tranche obligation of $12,000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24,000,000</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35,738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Provision for pension benefit obligation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(1,056)</w:t>
            </w:r>
          </w:p>
        </w:tc>
        <w:tc>
          <w:tcPr>
            <w:tcW w:w="28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354</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(35,879)</w:t>
            </w:r>
          </w:p>
        </w:tc>
        <w:tc>
          <w:tcPr>
            <w:tcW w:w="3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(35,879)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53,631,514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67,764</w:t>
            </w:r>
          </w:p>
        </w:tc>
        <w:tc>
          <w:tcPr>
            <w:tcW w:w="10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5,950,779</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(1,056)</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(48,077)</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(48,728)</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40"/>
          </w:cols>
          <w:pgMar w:left="320" w:top="456"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Combined and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359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9"/>
        </w:trPr>
        <w:tc>
          <w:tcPr>
            <w:tcW w:w="93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9"/>
                <w:szCs w:val="19"/>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4"/>
        </w:trPr>
        <w:tc>
          <w:tcPr>
            <w:tcW w:w="9340" w:type="dxa"/>
            <w:vAlign w:val="bottom"/>
            <w:tcBorders>
              <w:bottom w:val="single" w:sz="8" w:color="auto"/>
            </w:tcBorders>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3"/>
              <w:spacing w:after="0" w:line="194" w:lineRule="exact"/>
              <w:rPr>
                <w:sz w:val="20"/>
                <w:szCs w:val="20"/>
                <w:color w:val="auto"/>
              </w:rPr>
            </w:pPr>
            <w:r>
              <w:rPr>
                <w:rFonts w:ascii="Arial" w:cs="Arial" w:eastAsia="Arial" w:hAnsi="Arial"/>
                <w:sz w:val="17"/>
                <w:szCs w:val="17"/>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9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4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(35,879)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(7,740)</w:t>
            </w:r>
          </w:p>
        </w:tc>
        <w:tc>
          <w:tcPr>
            <w:tcW w:w="0" w:type="dxa"/>
            <w:vAlign w:val="bottom"/>
          </w:tcPr>
          <w:p>
            <w:pPr>
              <w:spacing w:after="0"/>
              <w:rPr>
                <w:sz w:val="1"/>
                <w:szCs w:val="1"/>
                <w:color w:val="auto"/>
              </w:rPr>
            </w:pPr>
          </w:p>
        </w:tc>
      </w:tr>
      <w:tr>
        <w:trPr>
          <w:trHeight w:val="55"/>
        </w:trPr>
        <w:tc>
          <w:tcPr>
            <w:tcW w:w="9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354</w:t>
            </w:r>
          </w:p>
        </w:tc>
        <w:tc>
          <w:tcPr>
            <w:tcW w:w="4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537</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40" w:type="dxa"/>
            <w:vAlign w:val="bottom"/>
          </w:tcPr>
          <w:p>
            <w:pPr>
              <w:ind w:left="220"/>
              <w:spacing w:after="0"/>
              <w:rPr>
                <w:sz w:val="20"/>
                <w:szCs w:val="20"/>
                <w:color w:val="auto"/>
              </w:rPr>
            </w:pPr>
            <w:r>
              <w:rPr>
                <w:rFonts w:ascii="Arial" w:cs="Arial" w:eastAsia="Arial" w:hAnsi="Arial"/>
                <w:sz w:val="17"/>
                <w:szCs w:val="17"/>
                <w:color w:val="auto"/>
              </w:rPr>
              <w:t>Changes in fair value of preferred stock tranche obligations</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7,680</w:t>
            </w:r>
          </w:p>
        </w:tc>
        <w:tc>
          <w:tcPr>
            <w:tcW w:w="4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55"/>
        </w:trPr>
        <w:tc>
          <w:tcPr>
            <w:tcW w:w="9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(1,377)</w:t>
            </w:r>
          </w:p>
        </w:tc>
        <w:tc>
          <w:tcPr>
            <w:tcW w:w="4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3,435</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2,197</w:t>
            </w:r>
          </w:p>
        </w:tc>
        <w:tc>
          <w:tcPr>
            <w:tcW w:w="4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93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(23,053)</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(6,173)</w:t>
            </w:r>
          </w:p>
        </w:tc>
        <w:tc>
          <w:tcPr>
            <w:tcW w:w="0" w:type="dxa"/>
            <w:vAlign w:val="bottom"/>
          </w:tcPr>
          <w:p>
            <w:pPr>
              <w:spacing w:after="0"/>
              <w:rPr>
                <w:sz w:val="1"/>
                <w:szCs w:val="1"/>
                <w:color w:val="auto"/>
              </w:rPr>
            </w:pPr>
          </w:p>
        </w:tc>
      </w:tr>
      <w:tr>
        <w:trPr>
          <w:trHeight w:val="274"/>
        </w:trPr>
        <w:tc>
          <w:tcPr>
            <w:tcW w:w="93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340" w:type="dxa"/>
            <w:vAlign w:val="bottom"/>
          </w:tcPr>
          <w:p>
            <w:pPr>
              <w:ind w:left="44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(3,389)</w:t>
            </w:r>
          </w:p>
        </w:tc>
        <w:tc>
          <w:tcPr>
            <w:tcW w:w="4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74"/>
        </w:trPr>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ind w:left="220"/>
              <w:spacing w:after="0"/>
              <w:rPr>
                <w:sz w:val="20"/>
                <w:szCs w:val="20"/>
                <w:color w:val="auto"/>
              </w:rPr>
            </w:pPr>
            <w:r>
              <w:rPr>
                <w:rFonts w:ascii="Arial" w:cs="Arial" w:eastAsia="Arial" w:hAnsi="Arial"/>
                <w:sz w:val="17"/>
                <w:szCs w:val="17"/>
                <w:color w:val="auto"/>
              </w:rPr>
              <w:t>Proceeds from issuance of convertible preferred stock</w:t>
            </w:r>
          </w:p>
        </w:tc>
        <w:tc>
          <w:tcPr>
            <w:tcW w:w="10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60,500</w:t>
            </w:r>
          </w:p>
        </w:tc>
        <w:tc>
          <w:tcPr>
            <w:tcW w:w="4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 of convertible preferred stock issuance costs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9340" w:type="dxa"/>
            <w:vAlign w:val="bottom"/>
          </w:tcPr>
          <w:p>
            <w:pPr>
              <w:ind w:left="220"/>
              <w:spacing w:after="0"/>
              <w:rPr>
                <w:sz w:val="20"/>
                <w:szCs w:val="20"/>
                <w:color w:val="auto"/>
              </w:rPr>
            </w:pPr>
            <w:r>
              <w:rPr>
                <w:rFonts w:ascii="Arial" w:cs="Arial" w:eastAsia="Arial" w:hAnsi="Arial"/>
                <w:sz w:val="17"/>
                <w:szCs w:val="17"/>
                <w:color w:val="auto"/>
              </w:rPr>
              <w:t>Proceeds from issuance of convertible note payable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60,060</w:t>
            </w: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40" w:type="dxa"/>
            <w:vAlign w:val="bottom"/>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33,618</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cash—beginning of year</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9,245</w:t>
            </w: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40" w:type="dxa"/>
            <w:vAlign w:val="bottom"/>
          </w:tcPr>
          <w:p>
            <w:pPr>
              <w:spacing w:after="0"/>
              <w:rPr>
                <w:sz w:val="20"/>
                <w:szCs w:val="20"/>
                <w:color w:val="auto"/>
              </w:rPr>
            </w:pPr>
            <w:r>
              <w:rPr>
                <w:rFonts w:ascii="Arial" w:cs="Arial" w:eastAsia="Arial" w:hAnsi="Arial"/>
                <w:sz w:val="17"/>
                <w:szCs w:val="17"/>
                <w:color w:val="auto"/>
              </w:rPr>
              <w:t>Cash, cash equivalents and restricted cash—end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42,863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Reconciliation of cash, cash equivalents and restricted cash</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41,699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1,164</w:t>
            </w: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40" w:type="dxa"/>
            <w:vAlign w:val="bottom"/>
          </w:tcPr>
          <w:p>
            <w:pPr>
              <w:ind w:left="220"/>
              <w:spacing w:after="0"/>
              <w:rPr>
                <w:sz w:val="20"/>
                <w:szCs w:val="20"/>
                <w:color w:val="auto"/>
              </w:rPr>
            </w:pPr>
            <w:r>
              <w:rPr>
                <w:rFonts w:ascii="Arial" w:cs="Arial" w:eastAsia="Arial" w:hAnsi="Arial"/>
                <w:sz w:val="17"/>
                <w:szCs w:val="17"/>
                <w:color w:val="auto"/>
              </w:rPr>
              <w:t>Total cash, cash equivalents and restricted 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42,863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noncash items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40" w:type="dxa"/>
            <w:vAlign w:val="bottom"/>
          </w:tcPr>
          <w:p>
            <w:pPr>
              <w:ind w:left="220"/>
              <w:spacing w:after="0"/>
              <w:rPr>
                <w:sz w:val="20"/>
                <w:szCs w:val="20"/>
                <w:color w:val="auto"/>
              </w:rPr>
            </w:pPr>
            <w:r>
              <w:rPr>
                <w:rFonts w:ascii="Arial" w:cs="Arial" w:eastAsia="Arial" w:hAnsi="Arial"/>
                <w:sz w:val="17"/>
                <w:szCs w:val="17"/>
                <w:color w:val="auto"/>
              </w:rPr>
              <w:t>Conversion of convertible note payable and accrued interest into Series A convertible preferred stock</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754</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9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458</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40"/>
          </w:cols>
          <w:pgMar w:left="320" w:top="456"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the combined and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Description of business, contribution and exchange, and liquidity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13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Monte Rosa Therapeutics, Inc. is a biopharmaceutical company developing a portfolio of novel small molecule precision medicines that employ the body’s natural mechanisms to selectively degrade therapeutically-relevant proteins. As used in these combined and consolidated financial statements, unless the context otherwise requires, references to the Company or Monte Rosa refer to Monte Rosa Therapeutics, Inc. and its wholly owned subsidiaries Monte Rosa Therapeutics AG and Monte Rosa Therapeutics Securities Corp. The Company was incorporated in Delaware in November 2019 and is headquartered in Boston, Massachusetts with research operations in both Boston and Basel, Switzerland.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and exchange</w:t>
      </w:r>
    </w:p>
    <w:p>
      <w:pPr>
        <w:spacing w:after="0" w:line="1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Monte Rosa Therapeutics AG, a Swiss operating company, was incorporated in April 2018. Monte Rosa Therapeutics, Inc. was incorporated in November 2019. In 2020, Monte Rosa Therapeutics, Inc. and Monte Rosa Therapeutics AG, entities under common control since the incorporation of Monte Rosa Therapeutics, Inc., consummated a contribution and exchange agreement, or the Contribution and Exchange, whereby Monte Rosa Therapeutics, Inc. acquired the net assets and shareholdings of Monte Rosa Therapeutics AG via a one-for-one exchange of equity between Monte Rosa Therapeutics, Inc. and the shareholders of Monte Rosa Therapeutics AG in a common control reorganization. Accordingly, the historical financial information has been retrospectively adjusted to include the historical results and financial position of Monte Rosa Therapeutics, Inc. combined with Monte Rosa Therapeutics AG’s historical results and financial position, after the elimination of all intercompany accounts and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32" w:lineRule="exact"/>
        <w:rPr>
          <w:sz w:val="20"/>
          <w:szCs w:val="20"/>
          <w:color w:val="auto"/>
        </w:rPr>
      </w:pPr>
    </w:p>
    <w:p>
      <w:pPr>
        <w:jc w:val="both"/>
        <w:ind w:right="140"/>
        <w:spacing w:after="0" w:line="254" w:lineRule="auto"/>
        <w:rPr>
          <w:sz w:val="20"/>
          <w:szCs w:val="20"/>
          <w:color w:val="auto"/>
        </w:rPr>
      </w:pPr>
      <w:r>
        <w:rPr>
          <w:rFonts w:ascii="Arial" w:cs="Arial" w:eastAsia="Arial" w:hAnsi="Arial"/>
          <w:sz w:val="17"/>
          <w:szCs w:val="17"/>
          <w:color w:val="auto"/>
        </w:rPr>
        <w:t>The Company is subject to risks common to companies in the biopharmaceutical industry including, but not limited to, the successful discovery and development of its product candidates, new technological innovations, protection of proprietary technology, dependence on key personnel, compliance with government regulations and the need to obtain additional financing.</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considerations</w:t>
      </w:r>
    </w:p>
    <w:p>
      <w:pPr>
        <w:spacing w:after="0" w:line="132"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Since inception, the Company has devoted substantially all its efforts to business planning, research and development, recruiting management and technical staff, and raising capital and has financed its operations primarily through the issuance of convertible preferred shares.</w:t>
      </w:r>
    </w:p>
    <w:p>
      <w:pPr>
        <w:spacing w:after="0" w:line="8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Company’s continued discovery and development of its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product development efforts are successful, it is uncertain when, if ever, the Company will realize significant revenue from product sales.</w:t>
      </w:r>
    </w:p>
    <w:p>
      <w:pPr>
        <w:spacing w:after="0" w:line="9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As of December 31, 2020, the Company had an accumulated deficit of $48.1 million. The Company has incurred losses and negative cash flows from operations since inception, including net losses of $35.9 million and $7.7 million for the years ended December 31, 2020 and 2019, respectively. The Company expects that its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100"/>
          </w:cols>
          <w:pgMar w:left="320" w:top="456"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operating losses and negative cash flows will continue for the foreseeable future as the Company continues to develop its product candidates. The Company currently expects that its cash and cash equivalents of $41.7 million as of December 31, 2020 together with the milestone closing of the Series B convertible preferred stock, or Series B Preferred, for gross proceeds of $48.0 million in February 2021 and the closing of the Series C convertible preferred stock, or Series C Preferred, for gross proceeds of $95.0 million in March 2021 will be sufficient to fund operating expenses and capital requirements for at least 12 months from the date the combined and consolidated financial statements are issued. However, additional funding will be necessary to fund future discovery research, pre-clinical and clinical activities. The Company will seek additional funding through public financings, debt financings, collaboration agreements, strategic alliances and licensing arrangements. Although it has been successful in raising capital in the past, there is no assurance that the Company will be successful in obtaining such additional financing on terms acceptable to it, if at all, and the Company may not be able to enter into collaborations or other arrangements. If the Company is unable to obtain funding, it could be forced to delay, reduce or eliminate its research and development programs, product portfolio expansion or commercialization efforts, which could adversely affect the Company’s business prospects, even the ability to continue operations.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Coronavirus pandemic</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coronavirus, or COVID-19, pandemic has spread worldwide, and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the Company’s business and operations are uncertain. To date, our operations have not been significantly impacted by the COVID-19 pandemic.</w:t>
      </w:r>
    </w:p>
    <w:p>
      <w:pPr>
        <w:spacing w:after="0" w:line="9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actual and perceived impact of the COVID-19 pandemic is changing daily, and its ultimate effect on the Company cannot be predicted. As a result, there can be no assurance that the Company will not experience additional negative impacts associated with COVID-19, which could be significant. The COVID-19 pandemic may negatively impact the Company’s business, financial condition and results of operations causing interruptions or delays in the Company’s programs and services.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3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accompanying combined and consolidated financial statements have been prepared in conformity with accounting principles generally accepted in the United States of America, or GAAP, and are stated in U.S. dollars. Any reference in these notes to applicable guidance is meant to refer to the authoritative GAAP as found in the Accounting Standards Codification and Accounting Standards Updates, or ASUs, of the Financial Accounting Standards Board, or FASB. All intercompany balances and transactions have been eliminated in combination or consolidation.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preparation of the combined and consolidated financial statements in conformity with GAAP requires the Company to make estimates and assumptions that affect the reported amounts of assets and liabilities and disclosures of contingent assets and liabilities at the date of the financial statements and reported amounts of</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220"/>
          </w:cols>
          <w:pgMar w:left="320" w:top="456" w:right="3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expenses during the reporting periods. Actual results could differ from those estimates. On an ongoing basis, the Company evaluates its estimates, including those related to accrued research and development expenses, other long-lived assets, the fair values of the Company’s preferred stock tranche obligations, or Preferred Stock Tranche Obligations, common stock, stock- based compensation and the valuation of deferred tax assets. The Company bases its estimates using historical experience, Company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and adjusts those estimates and assumptions when facts and circumstances dictate.</w:t>
      </w:r>
    </w:p>
    <w:p>
      <w:pPr>
        <w:spacing w:after="0" w:line="9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The Company utilizes estimates and assumptions in determining the fair value of its common stock, including stock-based awards. The Company has granted stock options at exercise prices that represent the fair value of its common stock on the specific grant dates. The Company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 Held Company Equity Securities Issued as Compensation</w:t>
      </w:r>
      <w:r>
        <w:rPr>
          <w:rFonts w:ascii="Arial" w:cs="Arial" w:eastAsia="Arial" w:hAnsi="Arial"/>
          <w:sz w:val="17"/>
          <w:szCs w:val="17"/>
          <w:color w:val="auto"/>
        </w:rPr>
        <w:t xml:space="preserve"> , or AICPA TPA,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convertible preferred stock, the superior rights and preferences of the convertible preferred stock senior to the Company’s common stock at the time, and a probability analysis of various liquidity events, such as a public offering or sale of the Company, under differing scenarios. Changes to the key assumptions used in the valuations could result in different fair values of common stock at each valuation date.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Currency and currency translation</w:t>
      </w:r>
    </w:p>
    <w:p>
      <w:pPr>
        <w:spacing w:after="0" w:line="13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combined and consolidated financial statements are presented in U.S. dollars, the Company’s reporting currency. The functional currency of the Company’s wholly owned subsidiary, Monte Rosa Therapeutics AG, is the U.S. dollar. Adjustments that arise from exchange rate changes on transactions denominated in a currency other than the functional currency are included in foreign currency exchange loss, net in the combined and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32"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The Company considers all highly liquid investments with original maturities at the date of purchase of three months or less to be cash equivalents. Cash and cash equivalents are stated at fair value and may include money market funds, U.S. Treasury and U.S. government-sponsored agency securities, corporate debt, commercial paper and certificates of deposit. The Company’s cash equivalents at December 31, 2020 and 2019 consist of bank demand deposits and money market fund investments.</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had restricted cash of $1.2 million as of December 31, 2020, primarily related to a security deposit on its operating lease for its office in Boston, Massachusetts and funds reserved for a corporate credit card facility in Switzerland, which is presented as a noncurrent asset on the Company’s combined and consolidated balance sheet. The Company had restricted cash of $3.3 million as of December 31, 2019, primarily related to restriction from the Swiss government pending recording of capital funds in the commercial registry. This restricted cash is presented as a current asset on the Company’s combined and consolidated balance sheet.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13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has invested in cash and cash equivalents at December 31, 2020 and 2019, held in a financial institution that management believes is creditworthy. These deposits may exceed</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00"/>
          </w:cols>
          <w:pgMar w:left="320" w:top="456"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federally insured limits. The Company has not experienced any losses historically in these accounts and believes it in not exposed to significant credit risk in its cash and cash equivalents. The Company has no significant off-balance sheet concentrations of credit risk, such as foreign currency exchange contracts, option contracts, or other hedging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12" w:lineRule="exact"/>
        <w:rPr>
          <w:sz w:val="20"/>
          <w:szCs w:val="20"/>
          <w:color w:val="auto"/>
        </w:rPr>
      </w:pPr>
    </w:p>
    <w:p>
      <w:pPr>
        <w:jc w:val="both"/>
        <w:ind w:left="460" w:right="100"/>
        <w:spacing w:after="0" w:line="254" w:lineRule="auto"/>
        <w:rPr>
          <w:sz w:val="20"/>
          <w:szCs w:val="20"/>
          <w:color w:val="auto"/>
        </w:rPr>
      </w:pPr>
      <w:r>
        <w:rPr>
          <w:rFonts w:ascii="Arial" w:cs="Arial" w:eastAsia="Arial" w:hAnsi="Arial"/>
          <w:sz w:val="17"/>
          <w:szCs w:val="17"/>
          <w:color w:val="auto"/>
        </w:rPr>
        <w:t>Level 2—Inputs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88" w:lineRule="exact"/>
        <w:rPr>
          <w:sz w:val="20"/>
          <w:szCs w:val="20"/>
          <w:color w:val="auto"/>
        </w:rPr>
      </w:pPr>
    </w:p>
    <w:p>
      <w:pPr>
        <w:ind w:left="460" w:right="540"/>
        <w:spacing w:after="0" w:line="263"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8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32"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proceeds generated as a result of the offering.</w:t>
      </w:r>
    </w:p>
    <w:p>
      <w:pPr>
        <w:spacing w:after="0" w:line="8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Should a planned equity financing be abandoned, the deferred initial public offering costs would be expensed immediately as a charge to operating expenses in the combined and consolidated statement of operations. The Company recorded no deferred initial public offering costs as of December 31, 2020 and 2019.</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32"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Property and equipment are stated at cost, subject to adjustments for impairments, less accumulated depreciation. Depreciation is calculated using the straight-line method over the useful life of the asset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Asset</w:t>
            </w:r>
          </w:p>
        </w:tc>
        <w:tc>
          <w:tcPr>
            <w:tcW w:w="7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Estimated useful life</w:t>
            </w:r>
          </w:p>
        </w:tc>
      </w:tr>
      <w:tr>
        <w:trPr>
          <w:trHeight w:val="194"/>
        </w:trPr>
        <w:tc>
          <w:tcPr>
            <w:tcW w:w="3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Laboratory equipment</w:t>
            </w:r>
          </w:p>
        </w:tc>
        <w:tc>
          <w:tcPr>
            <w:tcW w:w="76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Five years</w:t>
            </w: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Computer hardware</w:t>
            </w:r>
          </w:p>
        </w:tc>
        <w:tc>
          <w:tcPr>
            <w:tcW w:w="7660" w:type="dxa"/>
            <w:vAlign w:val="bottom"/>
            <w:gridSpan w:val="2"/>
          </w:tcPr>
          <w:p>
            <w:pPr>
              <w:jc w:val="right"/>
              <w:ind w:right="60"/>
              <w:spacing w:after="0"/>
              <w:rPr>
                <w:sz w:val="20"/>
                <w:szCs w:val="20"/>
                <w:color w:val="auto"/>
              </w:rPr>
            </w:pPr>
            <w:r>
              <w:rPr>
                <w:rFonts w:ascii="Arial" w:cs="Arial" w:eastAsia="Arial" w:hAnsi="Arial"/>
                <w:sz w:val="17"/>
                <w:szCs w:val="17"/>
                <w:color w:val="auto"/>
              </w:rPr>
              <w:t>Three years</w:t>
            </w:r>
          </w:p>
        </w:tc>
      </w:tr>
      <w:tr>
        <w:trPr>
          <w:trHeight w:val="354"/>
        </w:trPr>
        <w:tc>
          <w:tcPr>
            <w:tcW w:w="3580" w:type="dxa"/>
            <w:vAlign w:val="bottom"/>
            <w:tcBorders>
              <w:top w:val="single" w:sz="8" w:color="auto"/>
            </w:tcBorders>
          </w:tcPr>
          <w:p>
            <w:pPr>
              <w:spacing w:after="0"/>
              <w:rPr>
                <w:sz w:val="24"/>
                <w:szCs w:val="24"/>
                <w:color w:val="auto"/>
              </w:rPr>
            </w:pPr>
          </w:p>
        </w:tc>
        <w:tc>
          <w:tcPr>
            <w:tcW w:w="7600" w:type="dxa"/>
            <w:vAlign w:val="bottom"/>
            <w:tcBorders>
              <w:top w:val="single" w:sz="8" w:color="auto"/>
            </w:tcBorders>
          </w:tcPr>
          <w:p>
            <w:pPr>
              <w:ind w:left="1860"/>
              <w:spacing w:after="0"/>
              <w:rPr>
                <w:sz w:val="20"/>
                <w:szCs w:val="20"/>
                <w:color w:val="auto"/>
              </w:rPr>
            </w:pPr>
            <w:r>
              <w:rPr>
                <w:rFonts w:ascii="Arial" w:cs="Arial" w:eastAsia="Arial" w:hAnsi="Arial"/>
                <w:sz w:val="17"/>
                <w:szCs w:val="17"/>
                <w:color w:val="auto"/>
              </w:rPr>
              <w:t>F-10</w:t>
            </w:r>
          </w:p>
        </w:tc>
        <w:tc>
          <w:tcPr>
            <w:tcW w:w="6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Maintenance and repairs that do not improve or extend the life of the respective asset are expensed as incurred. Upon disposal of an asset, the related cost and accumulated depreciation are removed from the accounts and any resulting gain or loss is included in the results of operations. Leasehold improvements are amortized over the shorter of the useful life or remaining term of the lease.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evaluates whether current facts or circumstances indicate that the carrying values of its long-lived assets may not be recoverable. If such facts or circumstances are determined to exist, an estimate of the undiscounted future cash flows of these assets is compared to the carrying value the assets to determine whether impairment exists. If the assets are determined to be impaired, the loss is measured based on the difference between the fair value and carrying value of the assets. No impairment losses were recorded during the years ended December 31, 2020 or 2019.</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Research and development costs are expensed as incurred. The Company’s research and development expenses consist primarily of costs incurred for the research and development of its product candidates and include expenses incurred under agreements with consultants to conduct preclinical and non-clinical studies, costs to acquire supplies for preclinical studies, salaries and related personnel costs, including stock-based compensation, depreciation and other allocated facility-related and overhead expenses.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costs</w:t>
      </w:r>
    </w:p>
    <w:p>
      <w:pPr>
        <w:spacing w:after="0" w:line="13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Company records accruals for estimated costs of discovery research activities and preclinical studies. A portion of the Company’s research and development activities are conducted by third-party service providers. The financial terms of these contracts are subject to negotiation, which vary by contract and may result in payments that do not match the periods over which materials or services are provided. The Company accrues the costs incurred under the agreements based on an estimate of actual work completed in accordance with the agreements.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 If the Company does not identify costs that have begun to be incurred or if the Company underestimates or overestimates the level of services performed or the costs of these services, actual expenses could differ from the Company’s estimates.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32" w:lineRule="exact"/>
        <w:rPr>
          <w:sz w:val="20"/>
          <w:szCs w:val="20"/>
          <w:color w:val="auto"/>
        </w:rPr>
      </w:pPr>
    </w:p>
    <w:p>
      <w:pPr>
        <w:jc w:val="both"/>
        <w:ind w:right="340"/>
        <w:spacing w:after="0" w:line="254" w:lineRule="auto"/>
        <w:rPr>
          <w:sz w:val="20"/>
          <w:szCs w:val="20"/>
          <w:color w:val="auto"/>
        </w:rPr>
      </w:pPr>
      <w:r>
        <w:rPr>
          <w:rFonts w:ascii="Arial" w:cs="Arial" w:eastAsia="Arial" w:hAnsi="Arial"/>
          <w:sz w:val="17"/>
          <w:szCs w:val="17"/>
          <w:color w:val="auto"/>
        </w:rPr>
        <w:t>The Company classifies convertible preferred stock outside of stockholders’ deficit on the accompanying combined and consolidated balance sheets as the requirements of triggering a deemed liquidation event are not within the Company’s control. In the event of a deemed liquidation event, the proceeds from the event are distributed in accordance with liquidation preferences (see Note 8).</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 tranche obligations</w:t>
      </w:r>
    </w:p>
    <w:p>
      <w:pPr>
        <w:spacing w:after="0" w:line="13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Included in the terms of the Series A and Series B Preferred Stock Purchase Agreements were certain rights, or Tranche Rights, granted to the investors who purchased the Series A and Series B Preferred. The Series A Tranche Rights gave the investor the option to purchase up to an aggregate of 15,000,000 additional shares of Series A Preferred at $1.00 per share. The Series B Tranche Rights gave investors the option to purchase up to an aggregate of 24,000,000 shares of Series B Preferred at $2.00 per share. The Company concluded that both the Series A and the Series B Tranche Rights met the definition of a freestanding financial instrument, as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240"/>
          </w:cols>
          <w:pgMar w:left="320" w:top="456"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Series A and Series B Tranche Rights were legally detachable and separately exercisable from the Series A and Series B Preferred. At initial recognition, the Company recorded these Series A and Series B Tranche Rights as a liability on the balance sheets at its estimated fair value. The Series A and Series B Preferred Stock Tranche Obligations are subject to remeasurement at each balance sheet date, with changes in fair value recognized in changes in fair value of Preferred Stock Tranche Obligations on the Company’s combined and consolidated statements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Stock-based compensation expense related to stock options granted to employees, directors and non-employees is recognized based on the grant-date estimated fair values of the awards using the Black-Scholes option pricing model, or Black-Scholes. Stock-based compensation expense related to restricted stock granted to employees and non-employees is recognized based on the grant-date fair value of the Company’s common stock. The value is recognized as expense ratably over the requisite service period, which is generally the vesting term of the award. The Company adjusts the expense for actual forfeitures as they occur. Stock-based compensation expense is classified in the accompanying combined and consolidated statements of operations based on the function to which the related services are provided.</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grant date fair value of the Company’s common stock utilized in Black-Scholes is determined by the Company’s board of directors with the assistance of management. The grant date fair value of the Company’s common stock is determined using valuation methodologies which utilizes certain assumptions including probability weighting of events, volatility, time to liquidation, a risk-free interest rate and an assumption for a discount for lack of marketability. In determining the fair value of the Company’s common stock, the methodologies used to estimate the enterprise value of the Company were performed using methodologies, approaches, and assumptions consistent with the AICPA TPA.</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uses the liability method to account for income taxes. Under this method, deferred tax assets and liabilities are determined based on differences between the financial statement carrying amounts of existing assets and liabilities and their tax bases.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9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The Company assesses the likelihood of deferred tax assets being realized. A valuation allowance is provided when it is more likely than not that some portion or all of a deferred tax asset will not be realized.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w:t>
      </w:r>
    </w:p>
    <w:p>
      <w:pPr>
        <w:spacing w:after="0" w:line="9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Company files U.S. federal and state income tax returns, as well as Swiss income tax returns. The Company’s tax positions are subject to audit. Financial statement effects of uncertain tax positions are recognized when it is more likely than not, based on the technical merits of the position, that it will be sustained upon examination.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Interest and penalties related to unrecognized tax benefits are included within the provision for income tax. To date, the Company has not been subject to any interest and penalties.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240"/>
          </w:cols>
          <w:pgMar w:left="320" w:top="456"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pension benefit obligation</w:t>
      </w:r>
    </w:p>
    <w:p>
      <w:pPr>
        <w:spacing w:after="0" w:line="13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Company maintains a mandatory pension for its employees in Switzerland through affiliation with the Swiss Life Collective BVG Foundation. All benefits in accordance with the regulations are reinsured in their entirety with Swiss Life Ltd within the framework of the corresponding contract. This plan is considered to be a defined benefit plan under GAAP.</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recognizes an asset for the plan’s overfunded status or a liability for the plan’s underfunded status in its combined and consolidated balance sheets. Additionally, the Company measures the plan’s assets and obligations that determine its funded status as of the end of the year and recognizes the change in the funded status within the combined and consolidated statements of comprehensive loss.</w:t>
      </w:r>
    </w:p>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uses an actuarial valuation to determine its pension benefit costs and credits. The amounts calculated depend on a variety of key assumptions, including discount rates and expected return on plan assets. Details of the assumptions used to determine the net funded status are described in Note 12. The Company’s pension plan assets are assigned to their respective levels in the fair value hierarchy in accordance with the valuation principles described in the Fair Value of Financial Instruments section above.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Under the two-class method, basic net loss per share attributable to common stockholders is computed by dividing the net loss attributable to common stockholders by the weighted average number of common shares outstanding during the period, without consideration of potential dilutive securities. Diluted net loss per share is calculated by dividing net loss by the weighted average number of shares of common stock and potential dilutive common stock equivalents outstanding during the period if the effect is dilutive. Potentially dilutive securities include stock options, restricted common stock, and convertible preferred stock. The calculation of diluted loss per share also requires that, to the extent issuance of additional shares from the Preferred Stock Tranche Obligation is dilutive to loss per share for the period, adjustments to net loss used in the calculation are required to remove the change in fair value of the Preferred Stock Tranche Obligation for the period. Likewise, adjustments to the denominator are required to reflect the related dilutive shares. In all periods presented, the Company’s outstanding stock options, restricted common stock, convertible preferred stock, and issuance of additional preferred stock from the Tranche Rights were excluded from the calculation of diluted net loss per share because their effects were antidilutive.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13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or CODM, in deciding how to allocate resources to an individual segment and in assessing performance. The Company’s CODM is its chief executive officer. The Company manages its operations as a single segment for the purposes of assessing performance and making operating decisions.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240"/>
          </w:cols>
          <w:pgMar w:left="320" w:top="456"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3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Comprehensive loss is defined as the change in equity of a business enterprise during a period from transactions and other events and circumstances from non-owner sources. The Company’s other comprehensive loss includes adjustments to unrecognized pension benefit costs for Monte Rosa Therapeutics AG. For the years ended December 31, 2020 and 2019, the Company incurred other comprehensive loss of $1.1 million and $0,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Effective January 1, 2019, the Company adopted ASU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Prior to the adoption of ASU 2018-07, the measurement date for non-employee awards was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the date the services are completed, resulting in financial reporting period adjustments to equity-based compensation during the vesting terms for changes in the fair value of the awards. After the adoption of ASU 2018-07, the measurement date for non-employee awards is the date of grant without subsequent changes in the fair value of the award. The impact of adopting ASU 2018-07 was immaterial to the combined and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3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The Company has elected to use the extended transition period for complying with new or revised accounting standards as available under the Jumpstart Our Business Startups Act (JOBS Act).</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 amended, or ASU 2016-02, with guidance regarding the accounting for and disclosure of leases. The update requires lessees to recognize the liabilities related all leases, including operating leases, with a term greater than 12 months on the balance sheet. This update also requires lessees and lessors to disclose key information about their leasing transactions. This standard is effective for annual reporting periods beginning after December 15, 2021, and interim periods within annual periods beginning after December 15, 2022. Early adoption is permitted. The Company is currently assessing the potential impact of adopting ASU 2016-02 on its financial statements and financial statement disclosures.</w:t>
      </w:r>
    </w:p>
    <w:p>
      <w:pPr>
        <w:spacing w:after="0" w:line="69"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ASU 2016-13 requires measurement and recognition of expected credit losses for financial assets. In April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FASB issued clarification to ASU 2016-13 within ASU 2019-04,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Derivatives and Hedging</w:t>
      </w:r>
      <w:r>
        <w:rPr>
          <w:rFonts w:ascii="Arial" w:cs="Arial" w:eastAsia="Arial" w:hAnsi="Arial"/>
          <w:sz w:val="17"/>
          <w:szCs w:val="17"/>
          <w:color w:val="auto"/>
        </w:rPr>
        <w:t>,</w:t>
      </w:r>
      <w:r>
        <w:rPr>
          <w:rFonts w:ascii="Arial" w:cs="Arial" w:eastAsia="Arial" w:hAnsi="Arial"/>
          <w:sz w:val="17"/>
          <w:szCs w:val="17"/>
          <w:i w:val="1"/>
          <w:iCs w:val="1"/>
          <w:color w:val="auto"/>
        </w:rPr>
        <w:t xml:space="preserve"> and Topic 825, Financial Instruments</w:t>
      </w:r>
      <w:r>
        <w:rPr>
          <w:rFonts w:ascii="Arial" w:cs="Arial" w:eastAsia="Arial" w:hAnsi="Arial"/>
          <w:sz w:val="17"/>
          <w:szCs w:val="17"/>
          <w:color w:val="auto"/>
        </w:rPr>
        <w:t>, or ASU 2016-13. The guidance is effective for fiscal years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after December 15, 2022. The Company is currently assessing the potential impact of adopting ASU 2016-13 on its financial statements and financial statement disclosures.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2021, and interim periods within fiscal years beginning after December 15, 2022. Early adoption is permitted. The Company is currently assessing the impact adoption of ASU 2019-12 will have on the financial statements and disclosures.</w:t>
      </w:r>
    </w:p>
    <w:p>
      <w:pPr>
        <w:spacing w:after="0" w:line="69"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Contracts in Entity s Own Equity (Subtopic 815-40): Accounting for Convertible Instruments and Contracts in an Entity’s Own Equity</w:t>
      </w:r>
      <w:r>
        <w:rPr>
          <w:rFonts w:ascii="Arial" w:cs="Arial" w:eastAsia="Arial" w:hAnsi="Arial"/>
          <w:sz w:val="17"/>
          <w:szCs w:val="17"/>
          <w:color w:val="auto"/>
        </w:rPr>
        <w:t>. ASU 2020-06 will simplify the accounting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20"/>
          </w:cols>
          <w:pgMar w:left="320" w:top="456"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currently assessing the impact adoption of ASU 2020-06 will have on the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Fair value measurements</w:t>
      </w:r>
    </w:p>
    <w:p>
      <w:pPr>
        <w:spacing w:after="0" w:line="142"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As of December 31, 2020</w:t>
            </w:r>
          </w:p>
        </w:tc>
      </w:tr>
      <w:tr>
        <w:trPr>
          <w:trHeight w:val="20"/>
        </w:trPr>
        <w:tc>
          <w:tcPr>
            <w:tcW w:w="75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7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b w:val="1"/>
                <w:bCs w:val="1"/>
                <w:color w:val="auto"/>
              </w:rPr>
              <w:t>Level 1</w:t>
            </w: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Level 2</w:t>
            </w:r>
          </w:p>
        </w:tc>
        <w:tc>
          <w:tcPr>
            <w:tcW w:w="12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47"/>
        </w:trPr>
        <w:tc>
          <w:tcPr>
            <w:tcW w:w="7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1"/>
        </w:trPr>
        <w:tc>
          <w:tcPr>
            <w:tcW w:w="7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7500" w:type="dxa"/>
            <w:vAlign w:val="bottom"/>
          </w:tcPr>
          <w:p>
            <w:pPr>
              <w:ind w:left="220"/>
              <w:spacing w:after="0"/>
              <w:rPr>
                <w:sz w:val="20"/>
                <w:szCs w:val="20"/>
                <w:color w:val="auto"/>
              </w:rPr>
            </w:pPr>
            <w:r>
              <w:rPr>
                <w:rFonts w:ascii="Arial" w:cs="Arial" w:eastAsia="Arial" w:hAnsi="Arial"/>
                <w:sz w:val="17"/>
                <w:szCs w:val="17"/>
                <w:color w:val="auto"/>
              </w:rPr>
              <w:t>Money market funds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w w:val="99"/>
              </w:rPr>
              <w:t>38,712</w:t>
            </w:r>
          </w:p>
        </w:tc>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$38,712</w:t>
            </w:r>
          </w:p>
        </w:tc>
      </w:tr>
      <w:tr>
        <w:trPr>
          <w:trHeight w:val="201"/>
        </w:trPr>
        <w:tc>
          <w:tcPr>
            <w:tcW w:w="7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plan assets(1)</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60" w:type="dxa"/>
            <w:vAlign w:val="bottom"/>
            <w:shd w:val="clear" w:color="auto" w:fill="CCEEFF"/>
          </w:tcPr>
          <w:p>
            <w:pPr>
              <w:spacing w:after="0"/>
              <w:rPr>
                <w:sz w:val="17"/>
                <w:szCs w:val="17"/>
                <w:color w:val="auto"/>
              </w:rPr>
            </w:pPr>
          </w:p>
        </w:tc>
      </w:tr>
      <w:tr>
        <w:trPr>
          <w:trHeight w:val="207"/>
        </w:trPr>
        <w:tc>
          <w:tcPr>
            <w:tcW w:w="7500" w:type="dxa"/>
            <w:vAlign w:val="bottom"/>
          </w:tcPr>
          <w:p>
            <w:pPr>
              <w:ind w:left="440"/>
              <w:spacing w:after="0"/>
              <w:rPr>
                <w:sz w:val="20"/>
                <w:szCs w:val="20"/>
                <w:color w:val="auto"/>
              </w:rPr>
            </w:pPr>
            <w:r>
              <w:rPr>
                <w:rFonts w:ascii="Arial" w:cs="Arial" w:eastAsia="Arial" w:hAnsi="Arial"/>
                <w:sz w:val="17"/>
                <w:szCs w:val="17"/>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w w:val="99"/>
              </w:rPr>
              <w:t>38,712</w:t>
            </w:r>
          </w:p>
        </w:tc>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1,217</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$39,929</w:t>
            </w:r>
          </w:p>
        </w:tc>
      </w:tr>
      <w:tr>
        <w:trPr>
          <w:trHeight w:val="74"/>
        </w:trPr>
        <w:tc>
          <w:tcPr>
            <w:tcW w:w="7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1"/>
        </w:trPr>
        <w:tc>
          <w:tcPr>
            <w:tcW w:w="7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7500" w:type="dxa"/>
            <w:vAlign w:val="bottom"/>
          </w:tcPr>
          <w:p>
            <w:pPr>
              <w:ind w:left="220"/>
              <w:spacing w:after="0"/>
              <w:rPr>
                <w:sz w:val="20"/>
                <w:szCs w:val="20"/>
                <w:color w:val="auto"/>
              </w:rPr>
            </w:pPr>
            <w:r>
              <w:rPr>
                <w:rFonts w:ascii="Arial" w:cs="Arial" w:eastAsia="Arial" w:hAnsi="Arial"/>
                <w:sz w:val="17"/>
                <w:szCs w:val="17"/>
                <w:color w:val="auto"/>
              </w:rPr>
              <w:t>Preferred stock tranche obligation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w w:val="99"/>
              </w:rPr>
              <w:t>19,680</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$19,680</w:t>
            </w:r>
          </w:p>
        </w:tc>
      </w:tr>
      <w:tr>
        <w:trPr>
          <w:trHeight w:val="27"/>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75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99"/>
              </w:rPr>
              <w:t>19,680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$19,680</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right="400" w:hanging="313"/>
        <w:spacing w:after="0" w:line="254" w:lineRule="auto"/>
        <w:tabs>
          <w:tab w:leader="none" w:pos="3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fair value of pension plan assets has been determined as the surrender value of the portfolio of active insured members held within the Swiss Life Collective BVG Foundation collective investment fund.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assets or liabilities measured at fair value as of December 31, 2019.</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Money market funds are highly liquid investments and are actively traded. The pricing information on the Company’s money market funds are based on quoted prices in active markets for identical securities. This approach results in the classification of these securities as Level 1 of the fair value hierarchy.</w:t>
      </w:r>
    </w:p>
    <w:p>
      <w:pPr>
        <w:spacing w:after="0" w:line="88"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Company’s Series B Preferred Stock Tranche Obligation is measured at fair value using a Black-Scholes option pricing valuation methodology. The fair value of Series B Preferred Stock Tranche Obligation includes inputs not observable in the market and thus represents a Level 3 measurement. The option pricing valuation methodology utilized requires inputs based on certain subjective assumptions, including</w:t>
      </w:r>
    </w:p>
    <w:p>
      <w:pPr>
        <w:spacing w:after="0" w:line="1" w:lineRule="exact"/>
        <w:rPr>
          <w:sz w:val="20"/>
          <w:szCs w:val="20"/>
          <w:color w:val="auto"/>
        </w:rPr>
      </w:pPr>
    </w:p>
    <w:p>
      <w:pPr>
        <w:ind w:right="40" w:firstLine="7"/>
        <w:spacing w:after="0" w:line="250" w:lineRule="auto"/>
        <w:tabs>
          <w:tab w:leader="none" w:pos="20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expected stock price volatility, (ii) calculation of an expected term, (iii) a risk-free interest rate, and (iv) expected dividends. The assumptions utilized to value the Series B Preferred Stock Tranche Obligation on issuance were (i) expected stock price volatility of 76%; (ii) remaining term 2.0 years; (iii) a risk-free rate of 0.14%; and (iv) an expectation of no dividends. The assumptions utilized to value the Series B Preferred Stock Tranche Obligation as of December 31, 2020 were (i) expected stock price volatility of 93%; (ii) remaining term of 1.7 years; (iii) a risk-free interest rate of 0.12%; and (iv) an expectation of no dividends.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456"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following table provides a reconciliation of assets and liabilities measured at fair value on a recurring basis using significant unobservable inputs (Level 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Amount</w:t>
            </w:r>
          </w:p>
        </w:tc>
      </w:tr>
      <w:tr>
        <w:trPr>
          <w:trHeight w:val="194"/>
        </w:trPr>
        <w:tc>
          <w:tcPr>
            <w:tcW w:w="10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January 1, 2019</w:t>
            </w: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606</w:t>
            </w:r>
          </w:p>
        </w:tc>
        <w:tc>
          <w:tcPr>
            <w:tcW w:w="120" w:type="dxa"/>
            <w:vAlign w:val="bottom"/>
            <w:shd w:val="clear" w:color="auto" w:fill="CCEEFF"/>
          </w:tcPr>
          <w:p>
            <w:pPr>
              <w:spacing w:after="0"/>
              <w:rPr>
                <w:sz w:val="16"/>
                <w:szCs w:val="16"/>
                <w:color w:val="auto"/>
              </w:rPr>
            </w:pPr>
          </w:p>
        </w:tc>
      </w:tr>
      <w:tr>
        <w:trPr>
          <w:trHeight w:val="201"/>
        </w:trPr>
        <w:tc>
          <w:tcPr>
            <w:tcW w:w="10440" w:type="dxa"/>
            <w:vAlign w:val="bottom"/>
          </w:tcPr>
          <w:p>
            <w:pPr>
              <w:spacing w:after="0"/>
              <w:rPr>
                <w:sz w:val="20"/>
                <w:szCs w:val="20"/>
                <w:color w:val="auto"/>
              </w:rPr>
            </w:pPr>
            <w:r>
              <w:rPr>
                <w:rFonts w:ascii="Arial" w:cs="Arial" w:eastAsia="Arial" w:hAnsi="Arial"/>
                <w:sz w:val="17"/>
                <w:szCs w:val="17"/>
                <w:color w:val="auto"/>
              </w:rPr>
              <w:t>Change in fair value</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(276)</w:t>
            </w:r>
          </w:p>
        </w:tc>
      </w:tr>
      <w:tr>
        <w:trPr>
          <w:trHeight w:val="201"/>
        </w:trPr>
        <w:tc>
          <w:tcPr>
            <w:tcW w:w="10440" w:type="dxa"/>
            <w:vAlign w:val="bottom"/>
            <w:shd w:val="clear" w:color="auto" w:fill="CCEEFF"/>
          </w:tcPr>
          <w:p>
            <w:pPr>
              <w:spacing w:after="0"/>
              <w:rPr>
                <w:sz w:val="20"/>
                <w:szCs w:val="20"/>
                <w:color w:val="auto"/>
              </w:rPr>
            </w:pPr>
            <w:r>
              <w:rPr>
                <w:rFonts w:ascii="Arial" w:cs="Arial" w:eastAsia="Arial" w:hAnsi="Arial"/>
                <w:sz w:val="17"/>
                <w:szCs w:val="17"/>
                <w:color w:val="auto"/>
              </w:rPr>
              <w:t>Settlement of Preferred Stock Tranche Obligation</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(330)</w:t>
            </w:r>
          </w:p>
        </w:tc>
      </w:tr>
      <w:tr>
        <w:trPr>
          <w:trHeight w:val="20"/>
        </w:trPr>
        <w:tc>
          <w:tcPr>
            <w:tcW w:w="10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10440" w:type="dxa"/>
            <w:vAlign w:val="bottom"/>
          </w:tcPr>
          <w:p>
            <w:pPr>
              <w:spacing w:after="0"/>
              <w:rPr>
                <w:sz w:val="20"/>
                <w:szCs w:val="20"/>
                <w:color w:val="auto"/>
              </w:rPr>
            </w:pPr>
            <w:r>
              <w:rPr>
                <w:rFonts w:ascii="Arial" w:cs="Arial" w:eastAsia="Arial" w:hAnsi="Arial"/>
                <w:sz w:val="17"/>
                <w:szCs w:val="17"/>
                <w:color w:val="auto"/>
              </w:rPr>
              <w:t>Balance at December 31, 2019</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1"/>
        </w:trPr>
        <w:tc>
          <w:tcPr>
            <w:tcW w:w="10440" w:type="dxa"/>
            <w:vAlign w:val="bottom"/>
            <w:shd w:val="clear" w:color="auto" w:fill="CCEEFF"/>
          </w:tcPr>
          <w:p>
            <w:pPr>
              <w:spacing w:after="0"/>
              <w:rPr>
                <w:sz w:val="20"/>
                <w:szCs w:val="20"/>
                <w:color w:val="auto"/>
              </w:rPr>
            </w:pPr>
            <w:r>
              <w:rPr>
                <w:rFonts w:ascii="Arial" w:cs="Arial" w:eastAsia="Arial" w:hAnsi="Arial"/>
                <w:sz w:val="17"/>
                <w:szCs w:val="17"/>
                <w:color w:val="auto"/>
              </w:rPr>
              <w:t>Issuance of Preferred Stock Tranche Obligation</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20" w:type="dxa"/>
            <w:vAlign w:val="bottom"/>
            <w:shd w:val="clear" w:color="auto" w:fill="CCEEFF"/>
          </w:tcPr>
          <w:p>
            <w:pPr>
              <w:spacing w:after="0"/>
              <w:rPr>
                <w:sz w:val="17"/>
                <w:szCs w:val="17"/>
                <w:color w:val="auto"/>
              </w:rPr>
            </w:pPr>
          </w:p>
        </w:tc>
      </w:tr>
      <w:tr>
        <w:trPr>
          <w:trHeight w:val="207"/>
        </w:trPr>
        <w:tc>
          <w:tcPr>
            <w:tcW w:w="10440" w:type="dxa"/>
            <w:vAlign w:val="bottom"/>
          </w:tcPr>
          <w:p>
            <w:pPr>
              <w:spacing w:after="0"/>
              <w:rPr>
                <w:sz w:val="20"/>
                <w:szCs w:val="20"/>
                <w:color w:val="auto"/>
              </w:rPr>
            </w:pPr>
            <w:r>
              <w:rPr>
                <w:rFonts w:ascii="Arial" w:cs="Arial" w:eastAsia="Arial" w:hAnsi="Arial"/>
                <w:sz w:val="17"/>
                <w:szCs w:val="17"/>
                <w:color w:val="auto"/>
              </w:rPr>
              <w:t>Change in fair value</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7,680</w:t>
            </w:r>
          </w:p>
        </w:tc>
        <w:tc>
          <w:tcPr>
            <w:tcW w:w="120" w:type="dxa"/>
            <w:vAlign w:val="bottom"/>
          </w:tcPr>
          <w:p>
            <w:pPr>
              <w:spacing w:after="0"/>
              <w:rPr>
                <w:sz w:val="18"/>
                <w:szCs w:val="18"/>
                <w:color w:val="auto"/>
              </w:rPr>
            </w:pPr>
          </w:p>
        </w:tc>
      </w:tr>
      <w:tr>
        <w:trPr>
          <w:trHeight w:val="201"/>
        </w:trPr>
        <w:tc>
          <w:tcPr>
            <w:tcW w:w="104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19,680</w:t>
            </w:r>
          </w:p>
        </w:tc>
        <w:tc>
          <w:tcPr>
            <w:tcW w:w="120" w:type="dxa"/>
            <w:vAlign w:val="bottom"/>
            <w:shd w:val="clear" w:color="auto" w:fill="CCEEFF"/>
          </w:tcPr>
          <w:p>
            <w:pPr>
              <w:spacing w:after="0"/>
              <w:rPr>
                <w:sz w:val="17"/>
                <w:szCs w:val="17"/>
                <w:color w:val="auto"/>
              </w:rPr>
            </w:pPr>
          </w:p>
        </w:tc>
      </w:tr>
      <w:tr>
        <w:trPr>
          <w:trHeight w:val="20"/>
        </w:trPr>
        <w:tc>
          <w:tcPr>
            <w:tcW w:w="10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10440" w:type="dxa"/>
            <w:vAlign w:val="bottom"/>
          </w:tcPr>
          <w:p>
            <w:pPr>
              <w:spacing w:after="0"/>
              <w:rPr>
                <w:sz w:val="20"/>
                <w:szCs w:val="20"/>
                <w:color w:val="auto"/>
              </w:rPr>
            </w:pPr>
            <w:r>
              <w:rPr>
                <w:rFonts w:ascii="Arial" w:cs="Arial" w:eastAsia="Arial" w:hAnsi="Arial"/>
                <w:sz w:val="17"/>
                <w:szCs w:val="17"/>
                <w:color w:val="auto"/>
              </w:rPr>
              <w:t>There were no transfers among Level 1, Level 2 or Level 3 categories in the years ended December 31, 2020 or 2019.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9"/>
                <w:szCs w:val="19"/>
                <w:color w:val="auto"/>
              </w:rPr>
            </w:pPr>
          </w:p>
        </w:tc>
      </w:tr>
      <w:tr>
        <w:trPr>
          <w:trHeight w:val="221"/>
        </w:trPr>
        <w:tc>
          <w:tcPr>
            <w:tcW w:w="9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7"/>
                <w:szCs w:val="17"/>
                <w:b w:val="1"/>
                <w:bCs w:val="1"/>
                <w:color w:val="auto"/>
              </w:rPr>
              <w:t>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4"/>
        </w:trPr>
        <w:tc>
          <w:tcPr>
            <w:tcW w:w="9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Laboratory equipment</w:t>
            </w:r>
          </w:p>
        </w:tc>
        <w:tc>
          <w:tcPr>
            <w:tcW w:w="1220" w:type="dxa"/>
            <w:vAlign w:val="bottom"/>
            <w:gridSpan w:val="2"/>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$5,205</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$1,393</w:t>
            </w:r>
          </w:p>
        </w:tc>
        <w:tc>
          <w:tcPr>
            <w:tcW w:w="100" w:type="dxa"/>
            <w:vAlign w:val="bottom"/>
            <w:shd w:val="clear" w:color="auto" w:fill="CCEEFF"/>
          </w:tcPr>
          <w:p>
            <w:pPr>
              <w:spacing w:after="0"/>
              <w:rPr>
                <w:sz w:val="16"/>
                <w:szCs w:val="16"/>
                <w:color w:val="auto"/>
              </w:rPr>
            </w:pP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Computer hardware</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r>
      <w:tr>
        <w:trPr>
          <w:trHeight w:val="201"/>
        </w:trPr>
        <w:tc>
          <w:tcPr>
            <w:tcW w:w="9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and equipment, at cost</w:t>
            </w:r>
          </w:p>
        </w:tc>
        <w:tc>
          <w:tcPr>
            <w:tcW w:w="122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5,232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00" w:type="dxa"/>
            <w:vAlign w:val="bottom"/>
            <w:shd w:val="clear" w:color="auto" w:fill="CCEEFF"/>
          </w:tcPr>
          <w:p>
            <w:pPr>
              <w:spacing w:after="0"/>
              <w:rPr>
                <w:sz w:val="17"/>
                <w:szCs w:val="17"/>
                <w:color w:val="auto"/>
              </w:rPr>
            </w:pPr>
          </w:p>
        </w:tc>
      </w:tr>
      <w:tr>
        <w:trPr>
          <w:trHeight w:val="201"/>
        </w:trPr>
        <w:tc>
          <w:tcPr>
            <w:tcW w:w="918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420" w:type="dxa"/>
            <w:vAlign w:val="bottom"/>
          </w:tcPr>
          <w:p>
            <w:pPr>
              <w:spacing w:after="0"/>
              <w:rPr>
                <w:sz w:val="17"/>
                <w:szCs w:val="17"/>
                <w:color w:val="auto"/>
              </w:rPr>
            </w:pP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(609)</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r>
      <w:tr>
        <w:trPr>
          <w:trHeight w:val="27"/>
        </w:trPr>
        <w:tc>
          <w:tcPr>
            <w:tcW w:w="9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9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122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$4,623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00" w:type="dxa"/>
            <w:vAlign w:val="bottom"/>
            <w:shd w:val="clear" w:color="auto" w:fill="CCEEFF"/>
          </w:tcPr>
          <w:p>
            <w:pPr>
              <w:spacing w:after="0"/>
              <w:rPr>
                <w:sz w:val="17"/>
                <w:szCs w:val="17"/>
                <w:color w:val="auto"/>
              </w:rPr>
            </w:pP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6"/>
        </w:trPr>
        <w:tc>
          <w:tcPr>
            <w:tcW w:w="9180" w:type="dxa"/>
            <w:vAlign w:val="bottom"/>
          </w:tcPr>
          <w:p>
            <w:pPr>
              <w:spacing w:after="0"/>
              <w:rPr>
                <w:sz w:val="20"/>
                <w:szCs w:val="20"/>
                <w:color w:val="auto"/>
              </w:rPr>
            </w:pPr>
            <w:r>
              <w:rPr>
                <w:rFonts w:ascii="Arial" w:cs="Arial" w:eastAsia="Arial" w:hAnsi="Arial"/>
                <w:sz w:val="17"/>
                <w:szCs w:val="17"/>
                <w:color w:val="auto"/>
              </w:rPr>
              <w:t>Depreciation expense for the years ended December 31, 2020 and 2019 was $537,000 and $72,000, respectively.</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Accrued expenses and other current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15240</wp:posOffset>
            </wp:positionV>
            <wp:extent cx="8915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5" w:lineRule="exact"/>
        <w:rPr>
          <w:sz w:val="20"/>
          <w:szCs w:val="20"/>
          <w:color w:val="auto"/>
        </w:rPr>
      </w:pPr>
    </w:p>
    <w:p>
      <w:pPr>
        <w:jc w:val="both"/>
        <w:ind w:left="9980"/>
        <w:spacing w:after="0"/>
        <w:tabs>
          <w:tab w:leader="none" w:pos="1078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Compensation and benefits</w:t>
            </w:r>
          </w:p>
        </w:tc>
        <w:tc>
          <w:tcPr>
            <w:tcW w:w="4500" w:type="dxa"/>
            <w:vAlign w:val="bottom"/>
            <w:tcBorders>
              <w:top w:val="single" w:sz="8" w:color="auto"/>
            </w:tcBorders>
            <w:gridSpan w:val="2"/>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$ 1,129</w:t>
            </w:r>
          </w:p>
        </w:tc>
        <w:tc>
          <w:tcPr>
            <w:tcW w:w="3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3720" w:type="dxa"/>
            <w:vAlign w:val="bottom"/>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1,400</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347</w:t>
            </w:r>
          </w:p>
        </w:tc>
        <w:tc>
          <w:tcPr>
            <w:tcW w:w="60" w:type="dxa"/>
            <w:vAlign w:val="bottom"/>
          </w:tcPr>
          <w:p>
            <w:pPr>
              <w:spacing w:after="0"/>
              <w:rPr>
                <w:sz w:val="18"/>
                <w:szCs w:val="18"/>
                <w:color w:val="auto"/>
              </w:rPr>
            </w:pP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current liabilities</w:t>
            </w:r>
          </w:p>
        </w:tc>
        <w:tc>
          <w:tcPr>
            <w:tcW w:w="45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$ 2,529</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347</w:t>
            </w:r>
          </w:p>
        </w:tc>
        <w:tc>
          <w:tcPr>
            <w:tcW w:w="60" w:type="dxa"/>
            <w:vAlign w:val="bottom"/>
            <w:shd w:val="clear" w:color="auto" w:fill="CCEEFF"/>
          </w:tcPr>
          <w:p>
            <w:pPr>
              <w:spacing w:after="0"/>
              <w:rPr>
                <w:sz w:val="17"/>
                <w:szCs w:val="17"/>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 agreements</w:t>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Company leases facilities in Boston, Massachusetts under an operating lease through April 2021, and Basel, Switzerland under an operating lease through April 2024. Rent expense for the years ended December 31, 2020 and 2019 was $1.1 million and $60,000, respectively. In 2020, the Company entered into an agreement to lease a new facility in Boston commencing in March 2021 and moved into the new facility in April 2021.</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456"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940"/>
        <w:spacing w:after="0" w:line="263" w:lineRule="auto"/>
        <w:rPr>
          <w:sz w:val="20"/>
          <w:szCs w:val="20"/>
          <w:color w:val="auto"/>
        </w:rPr>
      </w:pPr>
      <w:r>
        <w:rPr>
          <w:rFonts w:ascii="Arial" w:cs="Arial" w:eastAsia="Arial" w:hAnsi="Arial"/>
          <w:sz w:val="17"/>
          <w:szCs w:val="17"/>
          <w:color w:val="auto"/>
        </w:rPr>
        <w:t>Future minimum lease payments under the Company’s non–cancelable operating leases as of December 31,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6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$1,886</w:t>
            </w:r>
          </w:p>
        </w:tc>
        <w:tc>
          <w:tcPr>
            <w:tcW w:w="60" w:type="dxa"/>
            <w:vAlign w:val="bottom"/>
            <w:shd w:val="clear" w:color="auto" w:fill="CCEEFF"/>
          </w:tcPr>
          <w:p>
            <w:pPr>
              <w:spacing w:after="0"/>
              <w:rPr>
                <w:sz w:val="17"/>
                <w:szCs w:val="17"/>
                <w:color w:val="auto"/>
              </w:rPr>
            </w:pPr>
          </w:p>
        </w:tc>
      </w:tr>
      <w:tr>
        <w:trPr>
          <w:trHeight w:val="201"/>
        </w:trPr>
        <w:tc>
          <w:tcPr>
            <w:tcW w:w="10640" w:type="dxa"/>
            <w:vAlign w:val="bottom"/>
          </w:tcPr>
          <w:p>
            <w:pPr>
              <w:spacing w:after="0"/>
              <w:rPr>
                <w:sz w:val="20"/>
                <w:szCs w:val="20"/>
                <w:color w:val="auto"/>
              </w:rPr>
            </w:pPr>
            <w:r>
              <w:rPr>
                <w:rFonts w:ascii="Arial" w:cs="Arial" w:eastAsia="Arial" w:hAnsi="Arial"/>
                <w:sz w:val="17"/>
                <w:szCs w:val="17"/>
                <w:color w:val="auto"/>
              </w:rPr>
              <w:t>2022</w:t>
            </w:r>
          </w:p>
        </w:tc>
        <w:tc>
          <w:tcPr>
            <w:tcW w:w="540" w:type="dxa"/>
            <w:vAlign w:val="bottom"/>
          </w:tcPr>
          <w:p>
            <w:pPr>
              <w:jc w:val="right"/>
              <w:spacing w:after="0"/>
              <w:rPr>
                <w:sz w:val="20"/>
                <w:szCs w:val="20"/>
                <w:color w:val="auto"/>
              </w:rPr>
            </w:pPr>
            <w:r>
              <w:rPr>
                <w:rFonts w:ascii="Arial" w:cs="Arial" w:eastAsia="Arial" w:hAnsi="Arial"/>
                <w:sz w:val="17"/>
                <w:szCs w:val="17"/>
                <w:color w:val="auto"/>
              </w:rPr>
              <w:t>1,663</w:t>
            </w:r>
          </w:p>
        </w:tc>
        <w:tc>
          <w:tcPr>
            <w:tcW w:w="60" w:type="dxa"/>
            <w:vAlign w:val="bottom"/>
          </w:tcPr>
          <w:p>
            <w:pPr>
              <w:spacing w:after="0"/>
              <w:rPr>
                <w:sz w:val="17"/>
                <w:szCs w:val="17"/>
                <w:color w:val="auto"/>
              </w:rPr>
            </w:pPr>
          </w:p>
        </w:tc>
      </w:tr>
      <w:tr>
        <w:trPr>
          <w:trHeight w:val="201"/>
        </w:trPr>
        <w:tc>
          <w:tcPr>
            <w:tcW w:w="106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60" w:type="dxa"/>
            <w:vAlign w:val="bottom"/>
            <w:shd w:val="clear" w:color="auto" w:fill="CCEEFF"/>
          </w:tcPr>
          <w:p>
            <w:pPr>
              <w:spacing w:after="0"/>
              <w:rPr>
                <w:sz w:val="17"/>
                <w:szCs w:val="17"/>
                <w:color w:val="auto"/>
              </w:rPr>
            </w:pPr>
          </w:p>
        </w:tc>
      </w:tr>
      <w:tr>
        <w:trPr>
          <w:trHeight w:val="201"/>
        </w:trPr>
        <w:tc>
          <w:tcPr>
            <w:tcW w:w="10640" w:type="dxa"/>
            <w:vAlign w:val="bottom"/>
          </w:tcPr>
          <w:p>
            <w:pPr>
              <w:spacing w:after="0"/>
              <w:rPr>
                <w:sz w:val="20"/>
                <w:szCs w:val="20"/>
                <w:color w:val="auto"/>
              </w:rPr>
            </w:pPr>
            <w:r>
              <w:rPr>
                <w:rFonts w:ascii="Arial" w:cs="Arial" w:eastAsia="Arial" w:hAnsi="Arial"/>
                <w:sz w:val="17"/>
                <w:szCs w:val="17"/>
                <w:color w:val="auto"/>
              </w:rPr>
              <w:t>2024</w:t>
            </w:r>
          </w:p>
        </w:tc>
        <w:tc>
          <w:tcPr>
            <w:tcW w:w="540" w:type="dxa"/>
            <w:vAlign w:val="bottom"/>
          </w:tcPr>
          <w:p>
            <w:pPr>
              <w:jc w:val="right"/>
              <w:spacing w:after="0"/>
              <w:rPr>
                <w:sz w:val="20"/>
                <w:szCs w:val="20"/>
                <w:color w:val="auto"/>
              </w:rPr>
            </w:pPr>
            <w:r>
              <w:rPr>
                <w:rFonts w:ascii="Arial" w:cs="Arial" w:eastAsia="Arial" w:hAnsi="Arial"/>
                <w:sz w:val="17"/>
                <w:szCs w:val="17"/>
                <w:color w:val="auto"/>
              </w:rPr>
              <w:t>1,626</w:t>
            </w:r>
          </w:p>
        </w:tc>
        <w:tc>
          <w:tcPr>
            <w:tcW w:w="60" w:type="dxa"/>
            <w:vAlign w:val="bottom"/>
          </w:tcPr>
          <w:p>
            <w:pPr>
              <w:spacing w:after="0"/>
              <w:rPr>
                <w:sz w:val="17"/>
                <w:szCs w:val="17"/>
                <w:color w:val="auto"/>
              </w:rPr>
            </w:pPr>
          </w:p>
        </w:tc>
      </w:tr>
      <w:tr>
        <w:trPr>
          <w:trHeight w:val="201"/>
        </w:trPr>
        <w:tc>
          <w:tcPr>
            <w:tcW w:w="106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60" w:type="dxa"/>
            <w:vAlign w:val="bottom"/>
            <w:shd w:val="clear" w:color="auto" w:fill="CCEEFF"/>
          </w:tcPr>
          <w:p>
            <w:pPr>
              <w:spacing w:after="0"/>
              <w:rPr>
                <w:sz w:val="17"/>
                <w:szCs w:val="17"/>
                <w:color w:val="auto"/>
              </w:rPr>
            </w:pPr>
          </w:p>
        </w:tc>
      </w:tr>
      <w:tr>
        <w:trPr>
          <w:trHeight w:val="207"/>
        </w:trPr>
        <w:tc>
          <w:tcPr>
            <w:tcW w:w="10640" w:type="dxa"/>
            <w:vAlign w:val="bottom"/>
          </w:tcPr>
          <w:p>
            <w:pPr>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60" w:type="dxa"/>
            <w:vAlign w:val="bottom"/>
          </w:tcPr>
          <w:p>
            <w:pPr>
              <w:spacing w:after="0"/>
              <w:rPr>
                <w:sz w:val="18"/>
                <w:szCs w:val="18"/>
                <w:color w:val="auto"/>
              </w:rPr>
            </w:pPr>
          </w:p>
        </w:tc>
      </w:tr>
      <w:tr>
        <w:trPr>
          <w:trHeight w:val="201"/>
        </w:trPr>
        <w:tc>
          <w:tcPr>
            <w:tcW w:w="10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minimum lease payments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$8,896</w:t>
            </w:r>
          </w:p>
        </w:tc>
        <w:tc>
          <w:tcPr>
            <w:tcW w:w="60" w:type="dxa"/>
            <w:vAlign w:val="bottom"/>
            <w:shd w:val="clear" w:color="auto" w:fill="CCEEFF"/>
          </w:tcPr>
          <w:p>
            <w:pPr>
              <w:spacing w:after="0"/>
              <w:rPr>
                <w:sz w:val="17"/>
                <w:szCs w:val="17"/>
                <w:color w:val="auto"/>
              </w:rPr>
            </w:pPr>
          </w:p>
        </w:tc>
      </w:tr>
      <w:tr>
        <w:trPr>
          <w:trHeight w:val="20"/>
        </w:trPr>
        <w:tc>
          <w:tcPr>
            <w:tcW w:w="10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collaboration and investment agreements</w:t>
      </w:r>
    </w:p>
    <w:p>
      <w:pPr>
        <w:spacing w:after="0" w:line="13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In April 2018, the Company entered into license, collaboration and investment agreements with Cancer Research Technology Limited, or CRT, and The Institute of Cancer Research, or the ICR, for the purpose of development in the field of cereblon-mediated protein degradation (the “License and Collaboration”). Pursuant to the License and Collaboration, CRT and the ICR granted the Company an exclusive and non-exclusive, worldwide, and sublicensable licenses under CRT’s and the ICR’s intellection property rights in the field of cereblon mediated protein degradation to discover, research, develop, have developed, use, keep, make, have made, market, import, offer for sale, and sell products in the field of cereblon-mediated protein degradation.</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consideration for the rights granted under the License Agreement, the Company issued an aggregate of 4,000,000 common shares to CRT, the ICR and affiliated founding scientists pursuant to the Formation and Investment Agreement and paid CRT a technology access fee. The License Agreement will remain effective until terminated by written agreement between the Company, CRT and the ICR.</w:t>
      </w:r>
    </w:p>
    <w:p>
      <w:pPr>
        <w:spacing w:after="0" w:line="8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Upon execution of the License and Collaboration, the Company paid an immaterial access fee which was expensed to research and development in 2018. The research program conducted with the ICR with respect to cereblon-mediated protein degradation was completed as of December 31, 2020. However, the License and Collaboration Agreement continues until it is otherwise terminated under the terms and conditions stated within the agreement. The Company’s research and development expenses under the License and Collaboration Agreement for activities conducted by the ICR were $1.2 million and $1.8 million in the years ended December 31, 2020 and 2019, respectively. Accounts payable in the combined and consolidated balance sheets for research services and external costs under the License and Collaboration Agreement due to the ICR were $639,000 and $15,000 as of December 31, 2020 and 2019, respectively.</w:t>
      </w:r>
    </w:p>
    <w:p>
      <w:pPr>
        <w:spacing w:after="0" w:line="9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is further obligated to make milestone payments for achieving certain clinical progression events, aggregating up to $7 million for the first product candidate and $3.5 million for each subsequent product candidate. In addition, the Company is further required to pay low single-digit royalties on net sales for each product successfully developed and commercialized in the field of cereblon-mediated protein degradation under the terms of the License and Collaboration on a country by country basis until the later of (i) the date when the manufacture, use, offer for sale, sale or importation of a product is no longer covered by a valid claim in the country of sale, use or manufacture; (ii) ten years from the first commercial sale of such product in the relevant country; and (iii) the expiry of any extended exclusivity period granted with respect to an orphan drug designation, pediatric designation or other exclusivity in the relevant country.</w:t>
      </w:r>
    </w:p>
    <w:p>
      <w:pPr>
        <w:spacing w:after="0" w:line="9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License and Collaboration will remain effective until (i) the termination by either the Company or the ICR and CRT upon the bankruptcy or uncured breach of the other party, (ii) by the ICR and CRT if the Company should abandon all discovery, development and commercialization efforts for all products covered under the License and Collaboration; (iii) by the Company if it is determined the continued development of products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456"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covered under the License and Collaboration would be commercially unreasonable, scientifically unviable, illegal, unethical or impossible, with a 90-day notification period; or (iv) for any/no reason by written agreement of the Company and the ICR and CRT.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as permitted under Delaware law and in accordance with its certification of incorporation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w:t>
      </w:r>
    </w:p>
    <w:p>
      <w:pPr>
        <w:spacing w:after="0" w:line="8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As of December 31, 2020, the Company was not aware of any claims under indemnification arrangements and does not expect significant claims related to these indemnification obligations and, consequently, concluded that the fair value of these obligations is negligible. Therefore, no related reserves have been established.</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Convertible note payable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On December 12, 2019, the Company entered into a Convertible Promissory Note Agreement with an investor for a total principal amount of</w:t>
      </w:r>
    </w:p>
    <w:p>
      <w:pPr>
        <w:spacing w:after="0" w:line="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$750,000. The Convertible Note Payable accrued an annual interest rate of 1.68% with a maturity date of 12 months from the issuance date. The terms of the agreement provided that the Convertible Note Payable would automatically convert upon either (i) the occurrence of a qualified financing of at least $5.0 million in gross proceeds including the conversion of the note, in which the outstanding principal and all accrued and unpaid interest shall convert into shares of the equity financing at a conversion price equal to the price paid per share, or (ii) the Company enters into a Contribution and Exchange agreement with Monte Rosa Therapeutics AG, in which upon the consummation of such transaction, the outstanding principal and all accrued and unpaid interest shall convert into shares of Series A Preferred at a conversion price equal to $1.00 per share. The agreement also included terms for an optional conversion upon a change in control or upon maturity.</w:t>
      </w:r>
    </w:p>
    <w:p>
      <w:pPr>
        <w:spacing w:after="0" w:line="92"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On April 14, 2020, the Company completed the Contribution and Exchange transaction (see Note 1), and the Convertible Note Payable plus accrued interest of $754,000 converted into 754,280 shares of Series A Preferred based on a conversion price of $1.00 per share.</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Convertible preferred stock</w:t>
      </w:r>
    </w:p>
    <w:p>
      <w:pPr>
        <w:spacing w:after="0" w:line="14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As of December 31, 2020, the Company had 77,631,514 shares of $0.0001 par value convertible preferred stock, or Convertible Preferred Stock, authorized, of which 20,004,280 shares are designated as Series A Preferred;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20"/>
          </w:cols>
          <w:pgMar w:left="320" w:top="456" w:right="3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9,627,234 shares are designated as Series A-2 convertible preferred stock, or Series A-2 Preferred; and 48,000,000 shares are designated as Series B Preferred.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outstanding Convertible Preferred Stock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Series A-2</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Total convertible</w:t>
            </w:r>
          </w:p>
        </w:tc>
      </w:tr>
      <w:tr>
        <w:trPr>
          <w:trHeight w:val="164"/>
        </w:trPr>
        <w:tc>
          <w:tcPr>
            <w:tcW w:w="4260" w:type="dxa"/>
            <w:vAlign w:val="bottom"/>
          </w:tcPr>
          <w:p>
            <w:pPr>
              <w:spacing w:after="0"/>
              <w:rPr>
                <w:sz w:val="14"/>
                <w:szCs w:val="14"/>
                <w:color w:val="auto"/>
              </w:rPr>
            </w:pPr>
          </w:p>
        </w:tc>
        <w:tc>
          <w:tcPr>
            <w:tcW w:w="1760" w:type="dxa"/>
            <w:vAlign w:val="bottom"/>
            <w:gridSpan w:val="4"/>
          </w:tcPr>
          <w:p>
            <w:pPr>
              <w:jc w:val="center"/>
              <w:ind w:left="233"/>
              <w:spacing w:after="0"/>
              <w:rPr>
                <w:sz w:val="20"/>
                <w:szCs w:val="20"/>
                <w:color w:val="auto"/>
              </w:rPr>
            </w:pPr>
            <w:r>
              <w:rPr>
                <w:rFonts w:ascii="Arial" w:cs="Arial" w:eastAsia="Arial" w:hAnsi="Arial"/>
                <w:sz w:val="13"/>
                <w:szCs w:val="13"/>
                <w:b w:val="1"/>
                <w:bCs w:val="1"/>
                <w:color w:val="auto"/>
              </w:rPr>
              <w:t>Series A preferred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preferred</w:t>
            </w:r>
          </w:p>
        </w:tc>
        <w:tc>
          <w:tcPr>
            <w:tcW w:w="1800" w:type="dxa"/>
            <w:vAlign w:val="bottom"/>
            <w:gridSpan w:val="4"/>
          </w:tcPr>
          <w:p>
            <w:pPr>
              <w:jc w:val="center"/>
              <w:ind w:left="253"/>
              <w:spacing w:after="0"/>
              <w:rPr>
                <w:sz w:val="20"/>
                <w:szCs w:val="20"/>
                <w:color w:val="auto"/>
              </w:rPr>
            </w:pPr>
            <w:r>
              <w:rPr>
                <w:rFonts w:ascii="Arial" w:cs="Arial" w:eastAsia="Arial" w:hAnsi="Arial"/>
                <w:sz w:val="13"/>
                <w:szCs w:val="13"/>
                <w:b w:val="1"/>
                <w:bCs w:val="1"/>
                <w:color w:val="auto"/>
              </w:rPr>
              <w:t>Series B preferred</w:t>
            </w:r>
          </w:p>
        </w:tc>
        <w:tc>
          <w:tcPr>
            <w:tcW w:w="17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preferred stock</w:t>
            </w:r>
          </w:p>
        </w:tc>
      </w:tr>
      <w:tr>
        <w:trPr>
          <w:trHeight w:val="20"/>
        </w:trPr>
        <w:tc>
          <w:tcPr>
            <w:tcW w:w="4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4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140"/>
        </w:trPr>
        <w:tc>
          <w:tcPr>
            <w:tcW w:w="42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Balance—January 1, 2019</w:t>
            </w:r>
          </w:p>
        </w:tc>
        <w:tc>
          <w:tcPr>
            <w:tcW w:w="1000" w:type="dxa"/>
            <w:vAlign w:val="bottom"/>
            <w:shd w:val="clear" w:color="auto" w:fill="CCEEFF"/>
          </w:tcPr>
          <w:p>
            <w:pPr>
              <w:jc w:val="right"/>
              <w:ind w:right="73"/>
              <w:spacing w:after="0" w:line="141" w:lineRule="exact"/>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4,370</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5,000,000</w:t>
            </w:r>
          </w:p>
        </w:tc>
        <w:tc>
          <w:tcPr>
            <w:tcW w:w="2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4,370</w:t>
            </w:r>
          </w:p>
        </w:tc>
        <w:tc>
          <w:tcPr>
            <w:tcW w:w="60" w:type="dxa"/>
            <w:vAlign w:val="bottom"/>
            <w:shd w:val="clear" w:color="auto" w:fill="CCEEFF"/>
          </w:tcPr>
          <w:p>
            <w:pPr>
              <w:spacing w:after="0"/>
              <w:rPr>
                <w:sz w:val="12"/>
                <w:szCs w:val="12"/>
                <w:color w:val="auto"/>
              </w:rPr>
            </w:pPr>
          </w:p>
        </w:tc>
      </w:tr>
      <w:tr>
        <w:trPr>
          <w:trHeight w:val="154"/>
        </w:trPr>
        <w:tc>
          <w:tcPr>
            <w:tcW w:w="4260" w:type="dxa"/>
            <w:vAlign w:val="bottom"/>
          </w:tcPr>
          <w:p>
            <w:pPr>
              <w:spacing w:after="0" w:line="148" w:lineRule="exact"/>
              <w:rPr>
                <w:sz w:val="20"/>
                <w:szCs w:val="20"/>
                <w:color w:val="auto"/>
              </w:rPr>
            </w:pPr>
            <w:r>
              <w:rPr>
                <w:rFonts w:ascii="Arial" w:cs="Arial" w:eastAsia="Arial" w:hAnsi="Arial"/>
                <w:sz w:val="13"/>
                <w:szCs w:val="13"/>
                <w:color w:val="auto"/>
              </w:rPr>
              <w:t>Issuance of Series A convertible preferred stock</w:t>
            </w:r>
          </w:p>
        </w:tc>
        <w:tc>
          <w:tcPr>
            <w:tcW w:w="1000" w:type="dxa"/>
            <w:vAlign w:val="bottom"/>
            <w:tcBorders>
              <w:bottom w:val="single" w:sz="8" w:color="auto"/>
            </w:tcBorders>
          </w:tcPr>
          <w:p>
            <w:pPr>
              <w:jc w:val="right"/>
              <w:ind w:right="73"/>
              <w:spacing w:after="0" w:line="148" w:lineRule="exact"/>
              <w:rPr>
                <w:sz w:val="20"/>
                <w:szCs w:val="20"/>
                <w:color w:val="auto"/>
              </w:rPr>
            </w:pPr>
            <w:r>
              <w:rPr>
                <w:rFonts w:ascii="Arial" w:cs="Arial" w:eastAsia="Arial" w:hAnsi="Arial"/>
                <w:sz w:val="13"/>
                <w:szCs w:val="13"/>
                <w:color w:val="auto"/>
              </w:rPr>
              <w:t>14,250,000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14,580</w:t>
            </w: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14,250,000</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14,580</w:t>
            </w:r>
          </w:p>
        </w:tc>
        <w:tc>
          <w:tcPr>
            <w:tcW w:w="60" w:type="dxa"/>
            <w:vAlign w:val="bottom"/>
          </w:tcPr>
          <w:p>
            <w:pPr>
              <w:spacing w:after="0"/>
              <w:rPr>
                <w:sz w:val="13"/>
                <w:szCs w:val="13"/>
                <w:color w:val="auto"/>
              </w:rPr>
            </w:pPr>
          </w:p>
        </w:tc>
      </w:tr>
      <w:tr>
        <w:trPr>
          <w:trHeight w:val="147"/>
        </w:trPr>
        <w:tc>
          <w:tcPr>
            <w:tcW w:w="4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Balance—December 31, 2019</w:t>
            </w:r>
          </w:p>
        </w:tc>
        <w:tc>
          <w:tcPr>
            <w:tcW w:w="1000" w:type="dxa"/>
            <w:vAlign w:val="bottom"/>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19,250,000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18,950</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19,250,000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18,950</w:t>
            </w:r>
          </w:p>
        </w:tc>
        <w:tc>
          <w:tcPr>
            <w:tcW w:w="60" w:type="dxa"/>
            <w:vAlign w:val="bottom"/>
            <w:shd w:val="clear" w:color="auto" w:fill="CCEEFF"/>
          </w:tcPr>
          <w:p>
            <w:pPr>
              <w:spacing w:after="0"/>
              <w:rPr>
                <w:sz w:val="12"/>
                <w:szCs w:val="12"/>
                <w:color w:val="auto"/>
              </w:rPr>
            </w:pPr>
          </w:p>
        </w:tc>
      </w:tr>
      <w:tr>
        <w:trPr>
          <w:trHeight w:val="147"/>
        </w:trPr>
        <w:tc>
          <w:tcPr>
            <w:tcW w:w="4260" w:type="dxa"/>
            <w:vAlign w:val="bottom"/>
          </w:tcPr>
          <w:p>
            <w:pPr>
              <w:spacing w:after="0" w:line="148" w:lineRule="exact"/>
              <w:rPr>
                <w:sz w:val="20"/>
                <w:szCs w:val="20"/>
                <w:color w:val="auto"/>
              </w:rPr>
            </w:pPr>
            <w:r>
              <w:rPr>
                <w:rFonts w:ascii="Arial" w:cs="Arial" w:eastAsia="Arial" w:hAnsi="Arial"/>
                <w:sz w:val="13"/>
                <w:szCs w:val="13"/>
                <w:color w:val="auto"/>
              </w:rPr>
              <w:t>Conversion of convertible note to convertible preferred stock</w:t>
            </w:r>
          </w:p>
        </w:tc>
        <w:tc>
          <w:tcPr>
            <w:tcW w:w="1000" w:type="dxa"/>
            <w:vAlign w:val="bottom"/>
          </w:tcPr>
          <w:p>
            <w:pPr>
              <w:jc w:val="right"/>
              <w:ind w:right="73"/>
              <w:spacing w:after="0" w:line="148" w:lineRule="exact"/>
              <w:rPr>
                <w:sz w:val="20"/>
                <w:szCs w:val="20"/>
                <w:color w:val="auto"/>
              </w:rPr>
            </w:pPr>
            <w:r>
              <w:rPr>
                <w:rFonts w:ascii="Arial" w:cs="Arial" w:eastAsia="Arial" w:hAnsi="Arial"/>
                <w:sz w:val="13"/>
                <w:szCs w:val="13"/>
                <w:color w:val="auto"/>
              </w:rPr>
              <w:t>754,280</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754</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754,280</w:t>
            </w:r>
          </w:p>
        </w:tc>
        <w:tc>
          <w:tcPr>
            <w:tcW w:w="2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754</w:t>
            </w:r>
          </w:p>
        </w:tc>
        <w:tc>
          <w:tcPr>
            <w:tcW w:w="60" w:type="dxa"/>
            <w:vAlign w:val="bottom"/>
          </w:tcPr>
          <w:p>
            <w:pPr>
              <w:spacing w:after="0"/>
              <w:rPr>
                <w:sz w:val="12"/>
                <w:szCs w:val="12"/>
                <w:color w:val="auto"/>
              </w:rPr>
            </w:pPr>
          </w:p>
        </w:tc>
      </w:tr>
      <w:tr>
        <w:trPr>
          <w:trHeight w:val="146"/>
        </w:trPr>
        <w:tc>
          <w:tcPr>
            <w:tcW w:w="426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Issuance of convertible preferred stock, net of issuance costs of $440</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7"/>
        </w:trPr>
        <w:tc>
          <w:tcPr>
            <w:tcW w:w="426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and discount on allocation of proceeds to preferred stock tranche</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426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obligation of $12,000</w:t>
            </w:r>
          </w:p>
        </w:tc>
        <w:tc>
          <w:tcPr>
            <w:tcW w:w="1000" w:type="dxa"/>
            <w:vAlign w:val="bottom"/>
            <w:tcBorders>
              <w:bottom w:val="single" w:sz="8" w:color="auto"/>
            </w:tcBorders>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9,627,234</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12,322</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24,000,000</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35,738</w:t>
            </w:r>
          </w:p>
        </w:tc>
        <w:tc>
          <w:tcPr>
            <w:tcW w:w="9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33,627,234</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48,060</w:t>
            </w:r>
          </w:p>
        </w:tc>
        <w:tc>
          <w:tcPr>
            <w:tcW w:w="60" w:type="dxa"/>
            <w:vAlign w:val="bottom"/>
            <w:shd w:val="clear" w:color="auto" w:fill="CCEEFF"/>
          </w:tcPr>
          <w:p>
            <w:pPr>
              <w:spacing w:after="0"/>
              <w:rPr>
                <w:sz w:val="12"/>
                <w:szCs w:val="12"/>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3"/>
                <w:szCs w:val="13"/>
                <w:color w:val="auto"/>
              </w:rPr>
              <w:t>Balance—December 31, 2020</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20,004,280</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19,704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9,627,234</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12,322</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24,000,000</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35,738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53,631,514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67,764</w:t>
            </w:r>
          </w:p>
        </w:tc>
        <w:tc>
          <w:tcPr>
            <w:tcW w:w="60" w:type="dxa"/>
            <w:vAlign w:val="bottom"/>
          </w:tcPr>
          <w:p>
            <w:pPr>
              <w:spacing w:after="0"/>
              <w:rPr>
                <w:sz w:val="13"/>
                <w:szCs w:val="13"/>
                <w:color w:val="auto"/>
              </w:rPr>
            </w:pPr>
          </w:p>
        </w:tc>
      </w:tr>
      <w:tr>
        <w:trPr>
          <w:trHeight w:val="147"/>
        </w:trPr>
        <w:tc>
          <w:tcPr>
            <w:tcW w:w="4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Original issue price, or Original Issue Price, per share</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1.2984</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2.00</w:t>
            </w: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Liquidation value</w:t>
            </w: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20,004</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48,000</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80,504</w:t>
            </w:r>
          </w:p>
        </w:tc>
        <w:tc>
          <w:tcPr>
            <w:tcW w:w="60" w:type="dxa"/>
            <w:vAlign w:val="bottom"/>
          </w:tcPr>
          <w:p>
            <w:pPr>
              <w:spacing w:after="0"/>
              <w:rPr>
                <w:sz w:val="14"/>
                <w:szCs w:val="14"/>
                <w:color w:val="auto"/>
              </w:rPr>
            </w:pPr>
          </w:p>
        </w:tc>
      </w:tr>
    </w:tbl>
    <w:p>
      <w:pPr>
        <w:spacing w:after="0" w:line="110"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In 2019, the Company issued 14,250,000 shares of Series A Preferred at a price of $1.00 per share to an existing investor for gross proceeds of $14.2 million pursuant to the terms of the Formation and Investment Agreement. The Formation and Investment agreement provided the purchaser of the Series A Preferred (i) a call option for the purchase of 5,000,000 Series A Preferred at a price per share of $1.00, and (ii) a call option for the purchase of up to 10,000,000 Series A Preferred at a price per share of $1.00, together the Series A Preferred Stock Tranche Obligation, both contingent on the achievement of certain research milestones.</w:t>
      </w:r>
    </w:p>
    <w:p>
      <w:pPr>
        <w:spacing w:after="0" w:line="9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concluded that the Series A Preferred Stock Tranche Obligation met the definition of a freestanding financial instrument, as it is legally detachable and separately exercisable from the Series A Preferred. Therefore, the Company allocated the proceeds received from the initial 2018 issuance of Series A Preferred between the Series A Preferred Stock Tranche Obligation and the Series A Preferred. The fair value of the Series A Preferred Stock Tranche Obligation of $606,000 on issuance was allocated from the $5.0 million proceeds of the Series A Preferred financing. The board of directors approved or waived the milestones for the Preferred Stock Tranche Obligations and the Company issued an additional 14,250,000 shares of Series A Preferred during the year ended December 31, 2019.</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In April 2020, the Company authorized the sale of up to 9,635,000 shares of its Series A-2 Preferred at a price of $1.2984 per share and issued 9,627,234 shares of Series A-2 Preferred to a single investor for aggregate gross proceeds of $12.4 million.</w:t>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September 2020, the Company authorized the sale of up to 48,000,000 shares of its Series B Preferred at a price of $2.00 per share, or Series B Financing. In an initial closing in September 2020, the Company issued 24,000,000 shares of Series B Preferred to several new and existing investors for aggregate gross proceeds of $48.0 million. The Series B Financing further allowed certain purchasers of Series B Preferred the option, or the Series B Preferred Stock Tranche Obligation, to purchase up to an additional 24,000,000 shares of Series B Preferred at a price per share of $2.00 at such time prior to the earlier of (i) September 2022, (ii) the IPO (as defined under Conversion Rights below), and (iii) a Deemed Liquidation Event (as defined under “Liquidation Rights” below), the Company’s cash balance minus current liabilities is less than $5.0 million and on notice of approval by a majority of the board of directors, including the approval of a majority of the preferred directors, for potential aggregate gross proceeds of up to $48.0 million.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456"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 concluded that the Preferred Stock Tranche Obligation met the definition of a freestanding financial instrument, as it is legally detachable and separately exercisable from the Series B Preferred. Therefore, the Company allocated the proceeds received from the issuance of shares under the Series B Preferred Stock Purchase Agreement between the Preferred Stock Tranche Obligation and the Series B Preferred. The fair value of the Preferred Stock Tranche Obligation of $12.0 million on issuance was allocated from the $48.0 million proceeds of the Series B Preferred financing and is classified as a current liability on the combined and consolidated balance sheets as of December 31, 2020 as the Series B Preferred would become redeemable upon a Deemed Liquidation Event, the occurrence of which is not within the Company’s control.</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rights and preferences and privileges of Convertible Preferred Stock are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Holders of Convertible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in preference to the holders of common stock, shall be entitled to receive, when, as and if declared by the board of directors, but only out of funds that are legally available therefor, cash dividends at the rate of eight percent of the respective series Original Issue Price per annum on each outstanding share of Convertible Preferred Stock, collectively the Preferred Dividend. All such Preferred Dividends shall be payable only when, as and if declared by the board of directors and shall be non-cumulative, and, if and when declared, shall be declared on each series of Convertible Preferred Stock and not on individual series of the Convertible Preferred Stock.</w:t>
      </w:r>
    </w:p>
    <w:p>
      <w:pPr>
        <w:spacing w:after="0" w:line="2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Further, the Company shall not declare, pay or set aside any dividends on shares of any other class or series of capital stock unless the holders of the Convertible Preferred Stock then outstanding shall first receive, or simultaneously receive, both the applicable Preferred Dividend and a dividend on each outstanding share of Convertible Preferred Stock in an amount at least equal to that dividend per share of Convertible Preferred Stock as would equal the product of (i) the dividend payable on each share of such class or series determined, if applicable, as if all shares of such class or series had been converted into common stock and (ii) the number of shares of common stock issuable upon conversion of a share of Convertible Preferred Stock, in each case calculated on the record date for determination of holders entitled to receive such dividend. The board of directors has not declared any dividends to-date.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13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Each share of Convertible Preferred Stock is convertible at the option of the holder, at any time after the date of issuance, into a fully paid and non-assessable share of common stock. Each share of Convertible Preferred Stock is convertible into that number of common shares as is determined by dividing the applicable original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Convertible Preferred Stock as of December 31, 2020 is 1:1.</w:t>
      </w:r>
    </w:p>
    <w:p>
      <w:pPr>
        <w:spacing w:after="0" w:line="9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All shares of the Convertible Preferred Stock automatically convert upon (i) the closing of a firm commitment underwritten initial public offering of common stock, in which the price per share is at least $3.00 per share, subject to adjustment in the event of stock dividend, stock split, combination or other similar recapitalization with respect to the common stock, resulting in gross proceeds of at least $50.0 million, or the IPO; or</w:t>
      </w:r>
    </w:p>
    <w:p>
      <w:pPr>
        <w:spacing w:after="0" w:line="1" w:lineRule="exact"/>
        <w:rPr>
          <w:sz w:val="20"/>
          <w:szCs w:val="20"/>
          <w:color w:val="auto"/>
        </w:rPr>
      </w:pPr>
    </w:p>
    <w:p>
      <w:pPr>
        <w:ind w:right="200" w:firstLine="7"/>
        <w:spacing w:after="0" w:line="263" w:lineRule="auto"/>
        <w:tabs>
          <w:tab w:leader="none" w:pos="24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as specified by vote or written consent of a majority of the outstanding shares of Series B Preferred and at least a majority of the outstanding shares of Convertible Preferred Stock.</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1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 xml:space="preserve">With first priority to the holders of Series B Preferred and second priority to the holders Series A-2 and Series A,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before any payment shall be made to the holders of common stock 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456"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reason of their ownership thereof, the holders of Convertible Preferred Stock then outstanding shall be entitled to be paid (i) in the event of any voluntary or involuntary liquidation, dissolution or winding up of the Company, out of the assets of the Company available for distribution to its stockholders, or (ii) in the event of a merger or consolidation involving the Company or a subsidiary or on the sale, lease, transfer, exclusive license or other disposition by the Company or a subsidiary of all or substantially all assets of the Company not elected otherwise by holders of 70% of the outstanding shares of Convertible Preferred Stock, voting together as a single class on an as-if converted basis, or a Deemed Liquidation Event, out of the consideration available for distribution to stockholders from the consideration received by the Company for such Deemed Liquidation Event, net of any retained liabilities associated with the assets sold or technology licensed, as determined in good faith by the board of directors, together with any other assets of the Company available for distribution.</w:t>
      </w:r>
    </w:p>
    <w:p>
      <w:pPr>
        <w:spacing w:after="0" w:line="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The amount payable per share to the holders of Series B Preferred shall be equal to the greater of (i) the Series B Preferred Original Issue Price, plus any dividends declared but unpaid thereon, or (ii) such amount per share as would have been payable had the shares of Series B Preferred been converted into common stock immediately prior to such event. The amount payable per share to the holders of Series A-2 Preferred and Series A,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shall be equal to the greater of (i) the Original Issue Price of each respective Series A-2 Preferred and Series A Preferred, plus any dividends declared but unpaid thereon, or (ii) such amount per share as would have been payable had the shares of respective Series A-2 Preferred and Series A Preferred converted into common stock immediately prior to such event.</w:t>
      </w:r>
    </w:p>
    <w:p>
      <w:pPr>
        <w:spacing w:after="0" w:line="9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If upon any such event, the assets of the Company available for distribution to its stockholders shall be insufficient to pay the holders of the outstanding shares of Series B Preferred the full amount to which they shall be entitled, the holders of shares of Series B Preferred shall share ratably,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 If the remaining assets of the Company available for distribution to its remaining stockholders shall be insufficient to pay the holders of the outstanding shares of Series A-2 Preferred and Series A Preferred,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full amount to which they shall be entitled, the holders of shares of Series A-2 Preferred and Series A shall share ratably,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any distribution of the remaining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3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Each share of Convertible Preferred has voting rights equal to the number of shares of common stock into which the Convertible Preferred Stock can be converted.</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holders of Series B Preferred are entitled to elect two directors of the Company; the holders of Series A-2 Preferred are entitled to elect one director of the Company; and the holders of Series A Preferred, are entitled to elect two directors; altogether the Preferred Directors. The Company’s board of directors is further comprised of one director elected by the holders of common stock, one director who is mutually acceptable to a Series B Preferred investor and Company management, and one director who is not an affiliate of the Company or of any investor who shall be approved by the board, including a majority of the Preferred Directors.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rights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Shares of Convertible Preferred Stock are not redeemable except in the case of a Deemed Liquidation Event.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20"/>
          </w:cols>
          <w:pgMar w:left="320" w:top="456" w:right="3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Common stock</w:t>
      </w:r>
    </w:p>
    <w:p>
      <w:pPr>
        <w:spacing w:after="0" w:line="142" w:lineRule="exact"/>
        <w:rPr>
          <w:sz w:val="20"/>
          <w:szCs w:val="20"/>
          <w:color w:val="auto"/>
        </w:rPr>
      </w:pPr>
    </w:p>
    <w:p>
      <w:pPr>
        <w:ind w:right="840"/>
        <w:spacing w:after="0" w:line="263" w:lineRule="auto"/>
        <w:rPr>
          <w:sz w:val="20"/>
          <w:szCs w:val="20"/>
          <w:color w:val="auto"/>
        </w:rPr>
      </w:pPr>
      <w:r>
        <w:rPr>
          <w:rFonts w:ascii="Arial" w:cs="Arial" w:eastAsia="Arial" w:hAnsi="Arial"/>
          <w:sz w:val="17"/>
          <w:szCs w:val="17"/>
          <w:color w:val="auto"/>
        </w:rPr>
        <w:t>The Company had 97,500,000 shares of common stock authorized, of which 7,699,359 were issued and 5,950,779 were outstanding at December 31, 2020.</w:t>
      </w:r>
    </w:p>
    <w:p>
      <w:pPr>
        <w:spacing w:after="0" w:line="80" w:lineRule="exact"/>
        <w:rPr>
          <w:sz w:val="20"/>
          <w:szCs w:val="20"/>
          <w:color w:val="auto"/>
        </w:rPr>
      </w:pPr>
    </w:p>
    <w:p>
      <w:pPr>
        <w:jc w:val="both"/>
        <w:ind w:right="380"/>
        <w:spacing w:after="0" w:line="254" w:lineRule="auto"/>
        <w:rPr>
          <w:sz w:val="20"/>
          <w:szCs w:val="20"/>
          <w:color w:val="auto"/>
        </w:rPr>
      </w:pPr>
      <w:r>
        <w:rPr>
          <w:rFonts w:ascii="Arial" w:cs="Arial" w:eastAsia="Arial" w:hAnsi="Arial"/>
          <w:sz w:val="17"/>
          <w:szCs w:val="17"/>
          <w:color w:val="auto"/>
        </w:rPr>
        <w:t>The holders of common stock are entitled to dividends when and if declared by the board of directors, subject to the preferences applicable to outstanding shares of Convertible Preferred Stock. The board of directors has not declared any dividends and the Company has not paid any dividends.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common stock are entitled to one vote per share on all matters to be voted upon by the stockholders.</w:t>
      </w:r>
    </w:p>
    <w:p>
      <w:pPr>
        <w:spacing w:after="0" w:line="112"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The Company has issued restricted stock to founders, employees and consultants, and expense for this restricted stock is recognized on a straight-line basis (see Note 10). The restricted stock generally vests monthly over 4 years.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the Company has reserved the following shares of common stock for potential conversion of outstanding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the vesting of restricted stock and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tcPr>
          <w:p>
            <w:pPr>
              <w:spacing w:after="0"/>
              <w:rPr>
                <w:sz w:val="19"/>
                <w:szCs w:val="19"/>
                <w:color w:val="auto"/>
              </w:rPr>
            </w:pPr>
          </w:p>
        </w:tc>
        <w:tc>
          <w:tcPr>
            <w:tcW w:w="2600" w:type="dxa"/>
            <w:vAlign w:val="bottom"/>
            <w:gridSpan w:val="3"/>
          </w:tcPr>
          <w:p>
            <w:pPr>
              <w:ind w:left="420"/>
              <w:spacing w:after="0"/>
              <w:rPr>
                <w:sz w:val="20"/>
                <w:szCs w:val="20"/>
                <w:color w:val="auto"/>
              </w:rPr>
            </w:pPr>
            <w:r>
              <w:rPr>
                <w:rFonts w:ascii="Arial" w:cs="Arial" w:eastAsia="Arial" w:hAnsi="Arial"/>
                <w:sz w:val="17"/>
                <w:szCs w:val="17"/>
                <w:b w:val="1"/>
                <w:bCs w:val="1"/>
                <w:color w:val="auto"/>
              </w:rPr>
              <w:t>Year ended December 31,</w:t>
            </w:r>
          </w:p>
        </w:tc>
      </w:tr>
      <w:tr>
        <w:trPr>
          <w:trHeight w:val="221"/>
        </w:trPr>
        <w:tc>
          <w:tcPr>
            <w:tcW w:w="864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4"/>
        </w:trPr>
        <w:tc>
          <w:tcPr>
            <w:tcW w:w="8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Convertible preferred stock</w:t>
            </w:r>
          </w:p>
        </w:tc>
        <w:tc>
          <w:tcPr>
            <w:tcW w:w="142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53,631,514</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60" w:type="dxa"/>
            <w:vAlign w:val="bottom"/>
            <w:shd w:val="clear" w:color="auto" w:fill="CCEEFF"/>
          </w:tcPr>
          <w:p>
            <w:pPr>
              <w:spacing w:after="0"/>
              <w:rPr>
                <w:sz w:val="16"/>
                <w:szCs w:val="16"/>
                <w:color w:val="auto"/>
              </w:rPr>
            </w:pPr>
          </w:p>
        </w:tc>
      </w:tr>
      <w:tr>
        <w:trPr>
          <w:trHeight w:val="201"/>
        </w:trPr>
        <w:tc>
          <w:tcPr>
            <w:tcW w:w="864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1420" w:type="dxa"/>
            <w:vAlign w:val="bottom"/>
          </w:tcPr>
          <w:p>
            <w:pPr>
              <w:jc w:val="right"/>
              <w:ind w:right="153"/>
              <w:spacing w:after="0"/>
              <w:rPr>
                <w:sz w:val="20"/>
                <w:szCs w:val="20"/>
                <w:color w:val="auto"/>
              </w:rPr>
            </w:pPr>
            <w:r>
              <w:rPr>
                <w:rFonts w:ascii="Arial" w:cs="Arial" w:eastAsia="Arial" w:hAnsi="Arial"/>
                <w:sz w:val="17"/>
                <w:szCs w:val="17"/>
                <w:color w:val="auto"/>
              </w:rPr>
              <w:t>7,786,146</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common stock</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1,748,580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864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63,166,240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19,250,000</w:t>
            </w:r>
          </w:p>
        </w:tc>
        <w:tc>
          <w:tcPr>
            <w:tcW w:w="60" w:type="dxa"/>
            <w:vAlign w:val="bottom"/>
          </w:tcPr>
          <w:p>
            <w:pPr>
              <w:spacing w:after="0"/>
              <w:rPr>
                <w:sz w:val="19"/>
                <w:szCs w:val="19"/>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Stock-based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plan</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April 2020, the Company adopted the 2020 Stock Option and Grant Plan, or Plan. Under the terms of the Plan, the Company may issue stock options, restricted stock and other stock awards, to employees, non-employee directors, and consultants. As of December 31, 2020, there were 5,396,349 shares of common stock reserved for future issuance under the Plan. Awards granted under the Plan expire no later than 10 years from the date of grant. For incentive stock options and non-statutory stock options, the option exercise price will not be less than 100% of the estimated fair value on the date of grant. Options and restricted stock granted to employees typically vest over a four-year period but may be granted with different vesting terms.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ind w:right="193"/>
              <w:spacing w:after="0"/>
              <w:rPr>
                <w:sz w:val="20"/>
                <w:szCs w:val="20"/>
                <w:color w:val="auto"/>
              </w:rPr>
            </w:pPr>
            <w:r>
              <w:rPr>
                <w:rFonts w:ascii="Arial" w:cs="Arial" w:eastAsia="Arial" w:hAnsi="Arial"/>
                <w:sz w:val="17"/>
                <w:szCs w:val="17"/>
                <w:b w:val="1"/>
                <w:bCs w:val="1"/>
                <w:color w:val="auto"/>
              </w:rPr>
              <w:t>Weighted</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ind w:right="193"/>
              <w:spacing w:after="0"/>
              <w:rPr>
                <w:sz w:val="20"/>
                <w:szCs w:val="20"/>
                <w:color w:val="auto"/>
              </w:rPr>
            </w:pPr>
            <w:r>
              <w:rPr>
                <w:rFonts w:ascii="Arial" w:cs="Arial" w:eastAsia="Arial" w:hAnsi="Arial"/>
                <w:sz w:val="17"/>
                <w:szCs w:val="17"/>
                <w:b w:val="1"/>
                <w:bCs w:val="1"/>
                <w:color w:val="auto"/>
              </w:rPr>
              <w:t>average</w:t>
            </w:r>
          </w:p>
        </w:tc>
        <w:tc>
          <w:tcPr>
            <w:tcW w:w="52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300"/>
              <w:spacing w:after="0" w:line="187" w:lineRule="exact"/>
              <w:rPr>
                <w:sz w:val="20"/>
                <w:szCs w:val="20"/>
                <w:color w:val="auto"/>
              </w:rPr>
            </w:pPr>
            <w:r>
              <w:rPr>
                <w:rFonts w:ascii="Arial" w:cs="Arial" w:eastAsia="Arial" w:hAnsi="Arial"/>
                <w:sz w:val="17"/>
                <w:szCs w:val="17"/>
                <w:b w:val="1"/>
                <w:bCs w:val="1"/>
                <w:color w:val="auto"/>
              </w:rPr>
              <w:t>Weighted</w:t>
            </w:r>
          </w:p>
        </w:tc>
        <w:tc>
          <w:tcPr>
            <w:tcW w:w="1520" w:type="dxa"/>
            <w:vAlign w:val="bottom"/>
          </w:tcPr>
          <w:p>
            <w:pPr>
              <w:jc w:val="right"/>
              <w:ind w:right="193"/>
              <w:spacing w:after="0" w:line="187" w:lineRule="exact"/>
              <w:rPr>
                <w:sz w:val="20"/>
                <w:szCs w:val="20"/>
                <w:color w:val="auto"/>
              </w:rPr>
            </w:pPr>
            <w:r>
              <w:rPr>
                <w:rFonts w:ascii="Arial" w:cs="Arial" w:eastAsia="Arial" w:hAnsi="Arial"/>
                <w:sz w:val="17"/>
                <w:szCs w:val="17"/>
                <w:b w:val="1"/>
                <w:bCs w:val="1"/>
                <w:color w:val="auto"/>
              </w:rPr>
              <w:t>remaining</w:t>
            </w:r>
          </w:p>
        </w:tc>
        <w:tc>
          <w:tcPr>
            <w:tcW w:w="5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Number</w:t>
            </w:r>
          </w:p>
        </w:tc>
        <w:tc>
          <w:tcPr>
            <w:tcW w:w="400" w:type="dxa"/>
            <w:vAlign w:val="bottom"/>
          </w:tcPr>
          <w:p>
            <w:pPr>
              <w:spacing w:after="0"/>
              <w:rPr>
                <w:sz w:val="17"/>
                <w:szCs w:val="17"/>
                <w:color w:val="auto"/>
              </w:rPr>
            </w:pPr>
          </w:p>
        </w:tc>
        <w:tc>
          <w:tcPr>
            <w:tcW w:w="980" w:type="dxa"/>
            <w:vAlign w:val="bottom"/>
          </w:tcPr>
          <w:p>
            <w:pPr>
              <w:jc w:val="right"/>
              <w:ind w:right="213"/>
              <w:spacing w:after="0"/>
              <w:rPr>
                <w:sz w:val="20"/>
                <w:szCs w:val="20"/>
                <w:color w:val="auto"/>
              </w:rPr>
            </w:pPr>
            <w:r>
              <w:rPr>
                <w:rFonts w:ascii="Arial" w:cs="Arial" w:eastAsia="Arial" w:hAnsi="Arial"/>
                <w:sz w:val="17"/>
                <w:szCs w:val="17"/>
                <w:b w:val="1"/>
                <w:bCs w:val="1"/>
                <w:color w:val="auto"/>
              </w:rPr>
              <w:t>average</w:t>
            </w:r>
          </w:p>
        </w:tc>
        <w:tc>
          <w:tcPr>
            <w:tcW w:w="1520" w:type="dxa"/>
            <w:vAlign w:val="bottom"/>
          </w:tcPr>
          <w:p>
            <w:pPr>
              <w:jc w:val="right"/>
              <w:ind w:right="193"/>
              <w:spacing w:after="0"/>
              <w:rPr>
                <w:sz w:val="20"/>
                <w:szCs w:val="20"/>
                <w:color w:val="auto"/>
              </w:rPr>
            </w:pPr>
            <w:r>
              <w:rPr>
                <w:rFonts w:ascii="Arial" w:cs="Arial" w:eastAsia="Arial" w:hAnsi="Arial"/>
                <w:sz w:val="17"/>
                <w:szCs w:val="17"/>
                <w:b w:val="1"/>
                <w:bCs w:val="1"/>
                <w:color w:val="auto"/>
              </w:rPr>
              <w:t>contractual</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intrinsic</w:t>
            </w: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of</w:t>
            </w:r>
          </w:p>
        </w:tc>
        <w:tc>
          <w:tcPr>
            <w:tcW w:w="138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exercise</w:t>
            </w:r>
          </w:p>
        </w:tc>
        <w:tc>
          <w:tcPr>
            <w:tcW w:w="1520" w:type="dxa"/>
            <w:vAlign w:val="bottom"/>
          </w:tcPr>
          <w:p>
            <w:pPr>
              <w:jc w:val="right"/>
              <w:ind w:right="193"/>
              <w:spacing w:after="0"/>
              <w:rPr>
                <w:sz w:val="20"/>
                <w:szCs w:val="20"/>
                <w:color w:val="auto"/>
              </w:rPr>
            </w:pPr>
            <w:r>
              <w:rPr>
                <w:rFonts w:ascii="Arial" w:cs="Arial" w:eastAsia="Arial" w:hAnsi="Arial"/>
                <w:sz w:val="17"/>
                <w:szCs w:val="17"/>
                <w:b w:val="1"/>
                <w:bCs w:val="1"/>
                <w:color w:val="auto"/>
              </w:rPr>
              <w:t>term</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33"/>
        </w:trPr>
        <w:tc>
          <w:tcPr>
            <w:tcW w:w="4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options</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price</w:t>
            </w: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(years)</w:t>
            </w: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Outstanding—December 31, 2019</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13"/>
              <w:spacing w:after="0" w:line="194" w:lineRule="exact"/>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93"/>
              <w:spacing w:after="0" w:line="194" w:lineRule="exact"/>
              <w:rPr>
                <w:sz w:val="20"/>
                <w:szCs w:val="20"/>
                <w:color w:val="auto"/>
              </w:rPr>
            </w:pPr>
            <w:r>
              <w:rPr>
                <w:rFonts w:ascii="Arial" w:cs="Arial" w:eastAsia="Arial" w:hAnsi="Arial"/>
                <w:sz w:val="17"/>
                <w:szCs w:val="17"/>
                <w:color w:val="auto"/>
              </w:rPr>
              <w:t>0.0</w:t>
            </w:r>
          </w:p>
        </w:tc>
        <w:tc>
          <w:tcPr>
            <w:tcW w:w="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3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7,786,146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213"/>
              <w:spacing w:after="0"/>
              <w:rPr>
                <w:sz w:val="20"/>
                <w:szCs w:val="20"/>
                <w:color w:val="auto"/>
              </w:rPr>
            </w:pPr>
            <w:r>
              <w:rPr>
                <w:rFonts w:ascii="Arial" w:cs="Arial" w:eastAsia="Arial" w:hAnsi="Arial"/>
                <w:sz w:val="17"/>
                <w:szCs w:val="17"/>
                <w:color w:val="auto"/>
              </w:rPr>
              <w:t>0.58</w:t>
            </w:r>
          </w:p>
        </w:tc>
        <w:tc>
          <w:tcPr>
            <w:tcW w:w="1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Outstanding—December 31, 2020</w:t>
            </w:r>
          </w:p>
        </w:tc>
        <w:tc>
          <w:tcPr>
            <w:tcW w:w="13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7,786,146</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0.58</w:t>
            </w:r>
          </w:p>
        </w:tc>
        <w:tc>
          <w:tcPr>
            <w:tcW w:w="15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9.9</w:t>
            </w:r>
          </w:p>
        </w:tc>
        <w:tc>
          <w:tcPr>
            <w:tcW w:w="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spacing w:after="0"/>
              <w:rPr>
                <w:sz w:val="20"/>
                <w:szCs w:val="20"/>
                <w:color w:val="auto"/>
              </w:rPr>
            </w:pPr>
            <w:r>
              <w:rPr>
                <w:rFonts w:ascii="Arial" w:cs="Arial" w:eastAsia="Arial" w:hAnsi="Arial"/>
                <w:sz w:val="17"/>
                <w:szCs w:val="17"/>
                <w:color w:val="auto"/>
              </w:rPr>
              <w:t>Options Exercisable—December 31, 2020</w:t>
            </w:r>
          </w:p>
        </w:tc>
        <w:tc>
          <w:tcPr>
            <w:tcW w:w="13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Pr>
          <w:p>
            <w:pPr>
              <w:ind w:left="28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93"/>
              <w:spacing w:after="0"/>
              <w:rPr>
                <w:sz w:val="20"/>
                <w:szCs w:val="20"/>
                <w:color w:val="auto"/>
              </w:rPr>
            </w:pPr>
            <w:r>
              <w:rPr>
                <w:rFonts w:ascii="Arial" w:cs="Arial" w:eastAsia="Arial" w:hAnsi="Arial"/>
                <w:sz w:val="17"/>
                <w:szCs w:val="17"/>
                <w:color w:val="auto"/>
              </w:rPr>
              <w:t>0.0</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54"/>
        </w:trPr>
        <w:tc>
          <w:tcPr>
            <w:tcW w:w="43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gridSpan w:val="3"/>
          </w:tcPr>
          <w:p>
            <w:pPr>
              <w:jc w:val="right"/>
              <w:ind w:right="980"/>
              <w:spacing w:after="0"/>
              <w:rPr>
                <w:sz w:val="20"/>
                <w:szCs w:val="20"/>
                <w:color w:val="auto"/>
              </w:rPr>
            </w:pPr>
            <w:r>
              <w:rPr>
                <w:rFonts w:ascii="Arial" w:cs="Arial" w:eastAsia="Arial" w:hAnsi="Arial"/>
                <w:sz w:val="17"/>
                <w:szCs w:val="17"/>
                <w:color w:val="auto"/>
              </w:rPr>
              <w:t>F-22</w:t>
            </w: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aggregate intrinsic value of options granted is calculated as the difference between the exercise price of the options and the estimated fair value of the Company’s common stock. No options were exercised during the years ended December 31, 2020 and 2019.</w:t>
      </w:r>
    </w:p>
    <w:p>
      <w:pPr>
        <w:spacing w:after="0" w:line="80"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weighted-average grant date fair value of options granted during the year ended December 31, 2020 was $0.38. No options were granted during the year ended December 31, 2019.</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stock option awards</w:t>
      </w:r>
    </w:p>
    <w:p>
      <w:pPr>
        <w:spacing w:after="0" w:line="13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Company estimates the fair value of stock option awards on the grant date using Black-Scholes. The fair value of each award is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100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9"/>
              </w:rPr>
              <w:t>December 31,</w:t>
            </w:r>
          </w:p>
        </w:tc>
      </w:tr>
      <w:tr>
        <w:trPr>
          <w:trHeight w:val="221"/>
        </w:trPr>
        <w:tc>
          <w:tcPr>
            <w:tcW w:w="1006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 w:type="dxa"/>
            <w:vAlign w:val="bottom"/>
            <w:tcBorders>
              <w:bottom w:val="single" w:sz="8" w:color="auto"/>
            </w:tcBorders>
          </w:tcPr>
          <w:p>
            <w:pPr>
              <w:spacing w:after="0"/>
              <w:rPr>
                <w:sz w:val="19"/>
                <w:szCs w:val="19"/>
                <w:color w:val="auto"/>
              </w:rPr>
            </w:pPr>
          </w:p>
        </w:tc>
      </w:tr>
      <w:tr>
        <w:trPr>
          <w:trHeight w:val="194"/>
        </w:trPr>
        <w:tc>
          <w:tcPr>
            <w:tcW w:w="10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term (years)</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6"/>
                <w:szCs w:val="16"/>
                <w:color w:val="auto"/>
              </w:rPr>
            </w:pPr>
          </w:p>
        </w:tc>
      </w:tr>
      <w:tr>
        <w:trPr>
          <w:trHeight w:val="201"/>
        </w:trPr>
        <w:tc>
          <w:tcPr>
            <w:tcW w:w="10060" w:type="dxa"/>
            <w:vAlign w:val="bottom"/>
          </w:tcPr>
          <w:p>
            <w:pPr>
              <w:spacing w:after="0"/>
              <w:rPr>
                <w:sz w:val="20"/>
                <w:szCs w:val="20"/>
                <w:color w:val="auto"/>
              </w:rPr>
            </w:pPr>
            <w:r>
              <w:rPr>
                <w:rFonts w:ascii="Arial" w:cs="Arial" w:eastAsia="Arial" w:hAnsi="Arial"/>
                <w:sz w:val="17"/>
                <w:szCs w:val="17"/>
                <w:color w:val="auto"/>
              </w:rPr>
              <w:t>Expected volatility</w:t>
            </w:r>
          </w:p>
        </w:tc>
        <w:tc>
          <w:tcPr>
            <w:tcW w:w="1120" w:type="dxa"/>
            <w:vAlign w:val="bottom"/>
          </w:tcPr>
          <w:p>
            <w:pPr>
              <w:jc w:val="right"/>
              <w:spacing w:after="0"/>
              <w:rPr>
                <w:sz w:val="20"/>
                <w:szCs w:val="20"/>
                <w:color w:val="auto"/>
              </w:rPr>
            </w:pPr>
            <w:r>
              <w:rPr>
                <w:rFonts w:ascii="Arial" w:cs="Arial" w:eastAsia="Arial" w:hAnsi="Arial"/>
                <w:sz w:val="17"/>
                <w:szCs w:val="17"/>
                <w:color w:val="auto"/>
              </w:rPr>
              <w:t>75.9%</w:t>
            </w:r>
          </w:p>
        </w:tc>
        <w:tc>
          <w:tcPr>
            <w:tcW w:w="60" w:type="dxa"/>
            <w:vAlign w:val="bottom"/>
          </w:tcPr>
          <w:p>
            <w:pPr>
              <w:spacing w:after="0"/>
              <w:rPr>
                <w:sz w:val="17"/>
                <w:szCs w:val="17"/>
                <w:color w:val="auto"/>
              </w:rPr>
            </w:pPr>
          </w:p>
        </w:tc>
      </w:tr>
      <w:tr>
        <w:trPr>
          <w:trHeight w:val="201"/>
        </w:trPr>
        <w:tc>
          <w:tcPr>
            <w:tcW w:w="100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60" w:type="dxa"/>
            <w:vAlign w:val="bottom"/>
            <w:shd w:val="clear" w:color="auto" w:fill="CCEEFF"/>
          </w:tcPr>
          <w:p>
            <w:pPr>
              <w:spacing w:after="0"/>
              <w:rPr>
                <w:sz w:val="17"/>
                <w:szCs w:val="17"/>
                <w:color w:val="auto"/>
              </w:rPr>
            </w:pPr>
          </w:p>
        </w:tc>
      </w:tr>
      <w:tr>
        <w:trPr>
          <w:trHeight w:val="213"/>
        </w:trPr>
        <w:tc>
          <w:tcPr>
            <w:tcW w:w="100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100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Black-Scholes requires the use of subjective assumptions which determine the fair value of stock-based awards. These assumptions include:</w:t>
      </w:r>
    </w:p>
    <w:p>
      <w:pPr>
        <w:spacing w:after="0" w:line="9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Company’s expected term represents the period that options are expected to be outstanding and is determined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based on the mid-point between the vesting date and the end of the contractual term as the Company does not have sufficient historical data to use any other method to estimate expected term.</w:t>
      </w:r>
    </w:p>
    <w:p>
      <w:pPr>
        <w:spacing w:after="0" w:line="61"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Company is a private company without any trading history in its common stock.</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expected volatility the Company uses in Black-Scholes is estimated based on the average volatility for comparable publicly-traded biopharmaceutical companies over a period equal to the expected term of the stock option grants. The comparable companies are chosen based on their similarities to the Company, including life cycle stage, therapeutic focus and size.</w:t>
      </w:r>
    </w:p>
    <w:p>
      <w:pPr>
        <w:spacing w:after="0" w:line="70" w:lineRule="exact"/>
        <w:rPr>
          <w:sz w:val="20"/>
          <w:szCs w:val="20"/>
          <w:color w:val="auto"/>
        </w:rPr>
      </w:pPr>
    </w:p>
    <w:p>
      <w:pPr>
        <w:ind w:right="480"/>
        <w:spacing w:after="0" w:line="28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stock option grants.</w:t>
      </w:r>
    </w:p>
    <w:p>
      <w:pPr>
        <w:spacing w:after="0" w:line="44"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Company has never paid dividends on its common stock and has no plans to pay dividends on its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Therefore, the Company used an expected dividend yield of zero.</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 activity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restricted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Weighted</w:t>
            </w:r>
          </w:p>
        </w:tc>
      </w:tr>
      <w:tr>
        <w:trPr>
          <w:trHeight w:val="201"/>
        </w:trPr>
        <w:tc>
          <w:tcPr>
            <w:tcW w:w="41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Number</w:t>
            </w:r>
          </w:p>
        </w:tc>
        <w:tc>
          <w:tcPr>
            <w:tcW w:w="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average</w:t>
            </w:r>
          </w:p>
        </w:tc>
      </w:tr>
      <w:tr>
        <w:trPr>
          <w:trHeight w:val="201"/>
        </w:trPr>
        <w:tc>
          <w:tcPr>
            <w:tcW w:w="41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of</w:t>
            </w:r>
          </w:p>
        </w:tc>
        <w:tc>
          <w:tcPr>
            <w:tcW w:w="1080" w:type="dxa"/>
            <w:vAlign w:val="bottom"/>
            <w:gridSpan w:val="3"/>
          </w:tcPr>
          <w:p>
            <w:pPr>
              <w:ind w:left="180"/>
              <w:spacing w:after="0"/>
              <w:rPr>
                <w:sz w:val="20"/>
                <w:szCs w:val="20"/>
                <w:color w:val="auto"/>
              </w:rPr>
            </w:pPr>
            <w:r>
              <w:rPr>
                <w:rFonts w:ascii="Arial" w:cs="Arial" w:eastAsia="Arial" w:hAnsi="Arial"/>
                <w:sz w:val="17"/>
                <w:szCs w:val="17"/>
                <w:b w:val="1"/>
                <w:bCs w:val="1"/>
                <w:color w:val="auto"/>
              </w:rPr>
              <w:t>grant date</w:t>
            </w:r>
          </w:p>
        </w:tc>
      </w:tr>
      <w:tr>
        <w:trPr>
          <w:trHeight w:val="219"/>
        </w:trPr>
        <w:tc>
          <w:tcPr>
            <w:tcW w:w="410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shares</w:t>
            </w: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fair value</w:t>
            </w:r>
          </w:p>
        </w:tc>
      </w:tr>
      <w:tr>
        <w:trPr>
          <w:trHeight w:val="194"/>
        </w:trPr>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Unvested as of December 31, 2019</w:t>
            </w:r>
          </w:p>
        </w:tc>
        <w:tc>
          <w:tcPr>
            <w:tcW w:w="49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1"/>
        </w:trPr>
        <w:tc>
          <w:tcPr>
            <w:tcW w:w="4100" w:type="dxa"/>
            <w:vAlign w:val="bottom"/>
          </w:tcPr>
          <w:p>
            <w:pPr>
              <w:ind w:left="220"/>
              <w:spacing w:after="0"/>
              <w:rPr>
                <w:sz w:val="20"/>
                <w:szCs w:val="20"/>
                <w:color w:val="auto"/>
              </w:rPr>
            </w:pPr>
            <w:r>
              <w:rPr>
                <w:rFonts w:ascii="Arial" w:cs="Arial" w:eastAsia="Arial" w:hAnsi="Arial"/>
                <w:sz w:val="17"/>
                <w:szCs w:val="17"/>
                <w:color w:val="auto"/>
              </w:rPr>
              <w:t>Granted</w:t>
            </w:r>
          </w:p>
        </w:tc>
        <w:tc>
          <w:tcPr>
            <w:tcW w:w="5800" w:type="dxa"/>
            <w:vAlign w:val="bottom"/>
            <w:gridSpan w:val="2"/>
          </w:tcPr>
          <w:p>
            <w:pPr>
              <w:jc w:val="right"/>
              <w:spacing w:after="0"/>
              <w:rPr>
                <w:sz w:val="20"/>
                <w:szCs w:val="20"/>
                <w:color w:val="auto"/>
              </w:rPr>
            </w:pPr>
            <w:r>
              <w:rPr>
                <w:rFonts w:ascii="Arial" w:cs="Arial" w:eastAsia="Arial" w:hAnsi="Arial"/>
                <w:sz w:val="17"/>
                <w:szCs w:val="17"/>
                <w:color w:val="auto"/>
              </w:rPr>
              <w:t>2,721,034</w:t>
            </w:r>
          </w:p>
        </w:tc>
        <w:tc>
          <w:tcPr>
            <w:tcW w:w="260" w:type="dxa"/>
            <w:vAlign w:val="bottom"/>
          </w:tcPr>
          <w:p>
            <w:pPr>
              <w:spacing w:after="0"/>
              <w:rPr>
                <w:sz w:val="17"/>
                <w:szCs w:val="17"/>
                <w:color w:val="auto"/>
              </w:rPr>
            </w:pPr>
          </w:p>
        </w:tc>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0.28</w:t>
            </w:r>
          </w:p>
        </w:tc>
      </w:tr>
      <w:tr>
        <w:trPr>
          <w:trHeight w:val="201"/>
        </w:trPr>
        <w:tc>
          <w:tcPr>
            <w:tcW w:w="4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w:t>
            </w:r>
          </w:p>
        </w:tc>
        <w:tc>
          <w:tcPr>
            <w:tcW w:w="60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(950,779)</w:t>
            </w:r>
          </w:p>
        </w:tc>
        <w:tc>
          <w:tcPr>
            <w:tcW w:w="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0.25</w:t>
            </w:r>
          </w:p>
        </w:tc>
      </w:tr>
      <w:tr>
        <w:trPr>
          <w:trHeight w:val="207"/>
        </w:trPr>
        <w:tc>
          <w:tcPr>
            <w:tcW w:w="4100" w:type="dxa"/>
            <w:vAlign w:val="bottom"/>
          </w:tcPr>
          <w:p>
            <w:pPr>
              <w:ind w:left="220"/>
              <w:spacing w:after="0"/>
              <w:rPr>
                <w:sz w:val="20"/>
                <w:szCs w:val="20"/>
                <w:color w:val="auto"/>
              </w:rPr>
            </w:pPr>
            <w:r>
              <w:rPr>
                <w:rFonts w:ascii="Arial" w:cs="Arial" w:eastAsia="Arial" w:hAnsi="Arial"/>
                <w:sz w:val="17"/>
                <w:szCs w:val="17"/>
                <w:color w:val="auto"/>
              </w:rPr>
              <w:t>Forfeited</w:t>
            </w:r>
          </w:p>
        </w:tc>
        <w:tc>
          <w:tcPr>
            <w:tcW w:w="49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(21,675)</w:t>
            </w:r>
          </w:p>
        </w:tc>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0.45</w:t>
            </w: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Unvested as of December 31, 2020</w:t>
            </w:r>
          </w:p>
        </w:tc>
        <w:tc>
          <w:tcPr>
            <w:tcW w:w="49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1,748,580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0.29</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100" w:type="dxa"/>
            <w:vAlign w:val="bottom"/>
          </w:tcPr>
          <w:p>
            <w:pPr>
              <w:spacing w:after="0"/>
              <w:rPr>
                <w:sz w:val="24"/>
                <w:szCs w:val="24"/>
                <w:color w:val="auto"/>
              </w:rPr>
            </w:pPr>
          </w:p>
        </w:tc>
        <w:tc>
          <w:tcPr>
            <w:tcW w:w="6060" w:type="dxa"/>
            <w:vAlign w:val="bottom"/>
            <w:gridSpan w:val="3"/>
          </w:tcPr>
          <w:p>
            <w:pPr>
              <w:jc w:val="right"/>
              <w:ind w:right="4360"/>
              <w:spacing w:after="0"/>
              <w:rPr>
                <w:sz w:val="20"/>
                <w:szCs w:val="20"/>
                <w:color w:val="auto"/>
              </w:rPr>
            </w:pPr>
            <w:r>
              <w:rPr>
                <w:rFonts w:ascii="Arial" w:cs="Arial" w:eastAsia="Arial" w:hAnsi="Arial"/>
                <w:sz w:val="17"/>
                <w:szCs w:val="17"/>
                <w:color w:val="auto"/>
              </w:rPr>
              <w:t>F-23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aggregate fair value of restricted stock that vested during the year ended December 31, 2020 was $242,000. The weighted average grant date fair value of restricted stock that vested during the year ended December 31, 2020 was $0.25.</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classified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100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10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10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2020</w:t>
            </w:r>
          </w:p>
        </w:tc>
      </w:tr>
      <w:tr>
        <w:trPr>
          <w:trHeight w:val="194"/>
        </w:trPr>
        <w:tc>
          <w:tcPr>
            <w:tcW w:w="10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w:t>
            </w:r>
          </w:p>
        </w:tc>
        <w:tc>
          <w:tcPr>
            <w:tcW w:w="60" w:type="dxa"/>
            <w:vAlign w:val="bottom"/>
            <w:shd w:val="clear" w:color="auto" w:fill="CCEEFF"/>
          </w:tcPr>
          <w:p>
            <w:pPr>
              <w:spacing w:after="0"/>
              <w:rPr>
                <w:sz w:val="16"/>
                <w:szCs w:val="16"/>
                <w:color w:val="auto"/>
              </w:rPr>
            </w:pPr>
          </w:p>
        </w:tc>
      </w:tr>
      <w:tr>
        <w:trPr>
          <w:trHeight w:val="207"/>
        </w:trPr>
        <w:tc>
          <w:tcPr>
            <w:tcW w:w="100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60" w:type="dxa"/>
            <w:vAlign w:val="bottom"/>
          </w:tcPr>
          <w:p>
            <w:pPr>
              <w:spacing w:after="0"/>
              <w:rPr>
                <w:sz w:val="18"/>
                <w:szCs w:val="18"/>
                <w:color w:val="auto"/>
              </w:rPr>
            </w:pPr>
          </w:p>
        </w:tc>
      </w:tr>
      <w:tr>
        <w:trPr>
          <w:trHeight w:val="201"/>
        </w:trPr>
        <w:tc>
          <w:tcPr>
            <w:tcW w:w="10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60" w:type="dxa"/>
            <w:vAlign w:val="bottom"/>
            <w:shd w:val="clear" w:color="auto" w:fill="CCEEFF"/>
          </w:tcPr>
          <w:p>
            <w:pPr>
              <w:spacing w:after="0"/>
              <w:rPr>
                <w:sz w:val="17"/>
                <w:szCs w:val="17"/>
                <w:color w:val="auto"/>
              </w:rPr>
            </w:pPr>
          </w:p>
        </w:tc>
      </w:tr>
      <w:tr>
        <w:trPr>
          <w:trHeight w:val="20"/>
        </w:trPr>
        <w:tc>
          <w:tcPr>
            <w:tcW w:w="10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As of December 31, 2020, total unrecognized stock–based compensation cost related to unvested stock options and restricted stock awards was $2.3 million and $0.5 million, respectively. The Company expects to recognize this remaining cost over a weighted average period of 3.7 and 2.8 years,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Income Taxes</w:t>
      </w:r>
    </w:p>
    <w:p>
      <w:pPr>
        <w:spacing w:after="0" w:line="14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Company has incurred net operating losses for all the periods presented. The Company has not reflected the benefit of any such net operating loss carryforwards in the accompanying combined and consolidated financial statements. Domestic and foreign components of net loss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p>
      <w:pPr>
        <w:ind w:left="10200"/>
        <w:spacing w:after="0"/>
        <w:rPr>
          <w:sz w:val="20"/>
          <w:szCs w:val="20"/>
          <w:color w:val="auto"/>
        </w:rPr>
      </w:pPr>
      <w:r>
        <w:rPr>
          <w:rFonts w:ascii="Arial" w:cs="Arial" w:eastAsia="Arial" w:hAnsi="Arial"/>
          <w:sz w:val="17"/>
          <w:szCs w:val="17"/>
          <w:b w:val="1"/>
          <w:bCs w:val="1"/>
          <w:color w:val="auto"/>
        </w:rPr>
        <w:t>Year ended</w:t>
      </w:r>
    </w:p>
    <w:p>
      <w:pPr>
        <w:spacing w:after="0" w:line="27" w:lineRule="exact"/>
        <w:rPr>
          <w:sz w:val="20"/>
          <w:szCs w:val="20"/>
          <w:color w:val="auto"/>
        </w:rPr>
      </w:pPr>
    </w:p>
    <w:p>
      <w:pPr>
        <w:ind w:left="1000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1270</wp:posOffset>
            </wp:positionV>
            <wp:extent cx="11125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4"/>
        </w:trPr>
        <w:tc>
          <w:tcPr>
            <w:tcW w:w="5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5120" w:type="dxa"/>
            <w:vAlign w:val="bottom"/>
            <w:gridSpan w:val="2"/>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 (10,107)</w:t>
            </w:r>
          </w:p>
        </w:tc>
        <w:tc>
          <w:tcPr>
            <w:tcW w:w="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(276)</w:t>
            </w:r>
          </w:p>
        </w:tc>
      </w:tr>
      <w:tr>
        <w:trPr>
          <w:trHeight w:val="201"/>
        </w:trPr>
        <w:tc>
          <w:tcPr>
            <w:tcW w:w="5220" w:type="dxa"/>
            <w:vAlign w:val="bottom"/>
          </w:tcPr>
          <w:p>
            <w:pPr>
              <w:spacing w:after="0"/>
              <w:rPr>
                <w:sz w:val="20"/>
                <w:szCs w:val="20"/>
                <w:color w:val="auto"/>
              </w:rPr>
            </w:pPr>
            <w:r>
              <w:rPr>
                <w:rFonts w:ascii="Arial" w:cs="Arial" w:eastAsia="Arial" w:hAnsi="Arial"/>
                <w:sz w:val="17"/>
                <w:szCs w:val="17"/>
                <w:color w:val="auto"/>
              </w:rPr>
              <w:t>Foreign</w:t>
            </w:r>
          </w:p>
        </w:tc>
        <w:tc>
          <w:tcPr>
            <w:tcW w:w="4160" w:type="dxa"/>
            <w:vAlign w:val="bottom"/>
          </w:tcPr>
          <w:p>
            <w:pPr>
              <w:spacing w:after="0"/>
              <w:rPr>
                <w:sz w:val="17"/>
                <w:szCs w:val="17"/>
                <w:color w:val="auto"/>
              </w:rPr>
            </w:pPr>
          </w:p>
        </w:tc>
        <w:tc>
          <w:tcPr>
            <w:tcW w:w="960" w:type="dxa"/>
            <w:vAlign w:val="bottom"/>
          </w:tcPr>
          <w:p>
            <w:pPr>
              <w:jc w:val="right"/>
              <w:ind w:right="113"/>
              <w:spacing w:after="0"/>
              <w:rPr>
                <w:sz w:val="20"/>
                <w:szCs w:val="20"/>
                <w:color w:val="auto"/>
              </w:rPr>
            </w:pPr>
            <w:r>
              <w:rPr>
                <w:rFonts w:ascii="Arial" w:cs="Arial" w:eastAsia="Arial" w:hAnsi="Arial"/>
                <w:sz w:val="17"/>
                <w:szCs w:val="17"/>
                <w:color w:val="auto"/>
              </w:rPr>
              <w:t>(25,772)</w:t>
            </w:r>
          </w:p>
        </w:tc>
        <w:tc>
          <w:tcPr>
            <w:tcW w:w="3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(7,464)</w:t>
            </w:r>
          </w:p>
        </w:tc>
      </w:tr>
      <w:tr>
        <w:trPr>
          <w:trHeight w:val="27"/>
        </w:trPr>
        <w:tc>
          <w:tcPr>
            <w:tcW w:w="5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95"/>
              </w:rPr>
              <w:t>$ (35,879)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(7,740)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The effective tax rate for the years ended December 31, 2020 and 2019 is different from the federal statutory rate primarily due to the valuation allowance against deferred tax assets as a result of insufficient sources of income. The reconciliation of the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p>
      <w:pPr>
        <w:ind w:left="10180"/>
        <w:spacing w:after="0"/>
        <w:rPr>
          <w:sz w:val="20"/>
          <w:szCs w:val="20"/>
          <w:color w:val="auto"/>
        </w:rPr>
      </w:pPr>
      <w:r>
        <w:rPr>
          <w:rFonts w:ascii="Arial" w:cs="Arial" w:eastAsia="Arial" w:hAnsi="Arial"/>
          <w:sz w:val="17"/>
          <w:szCs w:val="17"/>
          <w:b w:val="1"/>
          <w:bCs w:val="1"/>
          <w:color w:val="auto"/>
        </w:rPr>
        <w:t>Year ended</w:t>
      </w:r>
    </w:p>
    <w:p>
      <w:pPr>
        <w:spacing w:after="0" w:line="27"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1270</wp:posOffset>
            </wp:positionV>
            <wp:extent cx="9937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2020</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b w:val="1"/>
                <w:bCs w:val="1"/>
                <w:color w:val="auto"/>
              </w:rPr>
              <w:t>2019</w:t>
            </w:r>
          </w:p>
        </w:tc>
      </w:tr>
      <w:tr>
        <w:trPr>
          <w:trHeight w:val="194"/>
        </w:trPr>
        <w:tc>
          <w:tcPr>
            <w:tcW w:w="4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tax benefit at the federal statutory rate</w:t>
            </w:r>
          </w:p>
        </w:tc>
        <w:tc>
          <w:tcPr>
            <w:tcW w:w="5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21.0%</w:t>
            </w:r>
          </w:p>
        </w:tc>
        <w:tc>
          <w:tcPr>
            <w:tcW w:w="140" w:type="dxa"/>
            <w:vAlign w:val="bottom"/>
            <w:shd w:val="clear" w:color="auto" w:fill="CCEEFF"/>
          </w:tcPr>
          <w:p>
            <w:pPr>
              <w:spacing w:after="0"/>
              <w:rPr>
                <w:sz w:val="16"/>
                <w:szCs w:val="16"/>
                <w:color w:val="auto"/>
              </w:rPr>
            </w:pPr>
          </w:p>
        </w:tc>
      </w:tr>
      <w:tr>
        <w:trPr>
          <w:trHeight w:val="201"/>
        </w:trPr>
        <w:tc>
          <w:tcPr>
            <w:tcW w:w="494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528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7"/>
                <w:szCs w:val="17"/>
                <w:color w:val="auto"/>
              </w:rPr>
            </w:pPr>
          </w:p>
        </w:tc>
      </w:tr>
      <w:tr>
        <w:trPr>
          <w:trHeight w:val="20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7"/>
                <w:szCs w:val="17"/>
                <w:color w:val="auto"/>
              </w:rPr>
            </w:pPr>
          </w:p>
        </w:tc>
      </w:tr>
      <w:tr>
        <w:trPr>
          <w:trHeight w:val="201"/>
        </w:trPr>
        <w:tc>
          <w:tcPr>
            <w:tcW w:w="4940" w:type="dxa"/>
            <w:vAlign w:val="bottom"/>
          </w:tcPr>
          <w:p>
            <w:pPr>
              <w:spacing w:after="0"/>
              <w:rPr>
                <w:sz w:val="20"/>
                <w:szCs w:val="20"/>
                <w:color w:val="auto"/>
              </w:rPr>
            </w:pPr>
            <w:r>
              <w:rPr>
                <w:rFonts w:ascii="Arial" w:cs="Arial" w:eastAsia="Arial" w:hAnsi="Arial"/>
                <w:sz w:val="17"/>
                <w:szCs w:val="17"/>
                <w:color w:val="auto"/>
              </w:rPr>
              <w:t>Foreign rate differential</w:t>
            </w:r>
          </w:p>
        </w:tc>
        <w:tc>
          <w:tcPr>
            <w:tcW w:w="548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(7.7%)</w:t>
            </w:r>
          </w:p>
        </w:tc>
      </w:tr>
      <w:tr>
        <w:trPr>
          <w:trHeight w:val="20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Adjustment related to Preferred Stock Tranche Obligation</w:t>
            </w:r>
          </w:p>
        </w:tc>
        <w:tc>
          <w:tcPr>
            <w:tcW w:w="5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7"/>
                <w:szCs w:val="17"/>
                <w:color w:val="auto"/>
              </w:rPr>
            </w:pPr>
          </w:p>
        </w:tc>
      </w:tr>
      <w:tr>
        <w:trPr>
          <w:trHeight w:val="201"/>
        </w:trPr>
        <w:tc>
          <w:tcPr>
            <w:tcW w:w="4940" w:type="dxa"/>
            <w:vAlign w:val="bottom"/>
          </w:tcPr>
          <w:p>
            <w:pPr>
              <w:spacing w:after="0"/>
              <w:rPr>
                <w:sz w:val="20"/>
                <w:szCs w:val="20"/>
                <w:color w:val="auto"/>
              </w:rPr>
            </w:pPr>
            <w:r>
              <w:rPr>
                <w:rFonts w:ascii="Arial" w:cs="Arial" w:eastAsia="Arial" w:hAnsi="Arial"/>
                <w:sz w:val="17"/>
                <w:szCs w:val="17"/>
                <w:color w:val="auto"/>
              </w:rPr>
              <w:t>Other</w:t>
            </w:r>
          </w:p>
        </w:tc>
        <w:tc>
          <w:tcPr>
            <w:tcW w:w="5480" w:type="dxa"/>
            <w:vAlign w:val="bottom"/>
            <w:gridSpan w:val="3"/>
          </w:tcPr>
          <w:p>
            <w:pPr>
              <w:jc w:val="right"/>
              <w:ind w:right="160"/>
              <w:spacing w:after="0"/>
              <w:rPr>
                <w:sz w:val="20"/>
                <w:szCs w:val="20"/>
                <w:color w:val="auto"/>
              </w:rPr>
            </w:pPr>
            <w:r>
              <w:rPr>
                <w:rFonts w:ascii="Arial" w:cs="Arial" w:eastAsia="Arial" w:hAnsi="Arial"/>
                <w:sz w:val="17"/>
                <w:szCs w:val="17"/>
                <w:color w:val="auto"/>
              </w:rPr>
              <w:t>(0.1%)</w:t>
            </w: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40" w:type="dxa"/>
            <w:vAlign w:val="bottom"/>
          </w:tcPr>
          <w:p>
            <w:pPr>
              <w:spacing w:after="0"/>
              <w:rPr>
                <w:sz w:val="17"/>
                <w:szCs w:val="17"/>
                <w:color w:val="auto"/>
              </w:rPr>
            </w:pPr>
          </w:p>
        </w:tc>
      </w:tr>
      <w:tr>
        <w:trPr>
          <w:trHeight w:val="20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46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w:t>
            </w:r>
          </w:p>
        </w:tc>
      </w:tr>
      <w:tr>
        <w:trPr>
          <w:trHeight w:val="220"/>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60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40" w:type="dxa"/>
            <w:vAlign w:val="bottom"/>
          </w:tcPr>
          <w:p>
            <w:pPr>
              <w:spacing w:after="0"/>
              <w:rPr>
                <w:sz w:val="19"/>
                <w:szCs w:val="19"/>
                <w:color w:val="auto"/>
              </w:rPr>
            </w:pPr>
          </w:p>
        </w:tc>
      </w:tr>
      <w:tr>
        <w:trPr>
          <w:trHeight w:val="354"/>
        </w:trPr>
        <w:tc>
          <w:tcPr>
            <w:tcW w:w="4940" w:type="dxa"/>
            <w:vAlign w:val="bottom"/>
          </w:tcPr>
          <w:p>
            <w:pPr>
              <w:spacing w:after="0"/>
              <w:rPr>
                <w:sz w:val="24"/>
                <w:szCs w:val="24"/>
                <w:color w:val="auto"/>
              </w:rPr>
            </w:pPr>
          </w:p>
        </w:tc>
        <w:tc>
          <w:tcPr>
            <w:tcW w:w="5480" w:type="dxa"/>
            <w:vAlign w:val="bottom"/>
            <w:gridSpan w:val="3"/>
          </w:tcPr>
          <w:p>
            <w:pPr>
              <w:jc w:val="right"/>
              <w:ind w:right="4620"/>
              <w:spacing w:after="0"/>
              <w:rPr>
                <w:sz w:val="20"/>
                <w:szCs w:val="20"/>
                <w:color w:val="auto"/>
              </w:rPr>
            </w:pPr>
            <w:r>
              <w:rPr>
                <w:rFonts w:ascii="Arial" w:cs="Arial" w:eastAsia="Arial" w:hAnsi="Arial"/>
                <w:sz w:val="17"/>
                <w:szCs w:val="17"/>
                <w:color w:val="auto"/>
              </w:rPr>
              <w:t>F-24</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4"/>
          </w:tcPr>
          <w:p>
            <w:pPr>
              <w:jc w:val="center"/>
              <w:ind w:left="213"/>
              <w:spacing w:after="0"/>
              <w:rPr>
                <w:sz w:val="20"/>
                <w:szCs w:val="20"/>
                <w:color w:val="auto"/>
              </w:rPr>
            </w:pPr>
            <w:r>
              <w:rPr>
                <w:rFonts w:ascii="Arial" w:cs="Arial" w:eastAsia="Arial" w:hAnsi="Arial"/>
                <w:sz w:val="17"/>
                <w:szCs w:val="17"/>
                <w:b w:val="1"/>
                <w:bCs w:val="1"/>
                <w:color w:val="auto"/>
              </w:rPr>
              <w:t>December 31,</w:t>
            </w:r>
          </w:p>
        </w:tc>
      </w:tr>
      <w:tr>
        <w:trPr>
          <w:trHeight w:val="221"/>
        </w:trPr>
        <w:tc>
          <w:tcPr>
            <w:tcW w:w="68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47"/>
        </w:trPr>
        <w:tc>
          <w:tcPr>
            <w:tcW w:w="68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Federal and state net operating loss carryforwards</w:t>
            </w:r>
          </w:p>
        </w:tc>
        <w:tc>
          <w:tcPr>
            <w:tcW w:w="2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3"/>
              <w:spacing w:after="0"/>
              <w:rPr>
                <w:sz w:val="20"/>
                <w:szCs w:val="20"/>
                <w:color w:val="auto"/>
              </w:rPr>
            </w:pPr>
            <w:r>
              <w:rPr>
                <w:rFonts w:ascii="Arial" w:cs="Arial" w:eastAsia="Arial" w:hAnsi="Arial"/>
                <w:sz w:val="17"/>
                <w:szCs w:val="17"/>
                <w:color w:val="auto"/>
              </w:rPr>
              <w:t>5,810</w:t>
            </w:r>
          </w:p>
        </w:tc>
        <w:tc>
          <w:tcPr>
            <w:tcW w:w="300" w:type="dxa"/>
            <w:vAlign w:val="bottom"/>
          </w:tcPr>
          <w:p>
            <w:pPr>
              <w:jc w:val="center"/>
              <w:ind w:left="93"/>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1,683</w:t>
            </w:r>
          </w:p>
        </w:tc>
        <w:tc>
          <w:tcPr>
            <w:tcW w:w="100" w:type="dxa"/>
            <w:vAlign w:val="bottom"/>
          </w:tcPr>
          <w:p>
            <w:pPr>
              <w:spacing w:after="0"/>
              <w:rPr>
                <w:sz w:val="17"/>
                <w:szCs w:val="17"/>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Research and development tax credits</w:t>
            </w: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413</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00" w:type="dxa"/>
            <w:vAlign w:val="bottom"/>
          </w:tcPr>
          <w:p>
            <w:pPr>
              <w:ind w:left="440"/>
              <w:spacing w:after="0"/>
              <w:rPr>
                <w:sz w:val="20"/>
                <w:szCs w:val="20"/>
                <w:color w:val="auto"/>
              </w:rPr>
            </w:pPr>
            <w:r>
              <w:rPr>
                <w:rFonts w:ascii="Arial" w:cs="Arial" w:eastAsia="Arial" w:hAnsi="Arial"/>
                <w:sz w:val="17"/>
                <w:szCs w:val="17"/>
                <w:color w:val="auto"/>
              </w:rPr>
              <w:t>Other</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7"/>
                <w:szCs w:val="17"/>
                <w:color w:val="auto"/>
              </w:rPr>
              <w:t>52</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6,275</w:t>
            </w: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shd w:val="clear" w:color="auto" w:fill="CCEEFF"/>
          </w:tcPr>
          <w:p>
            <w:pPr>
              <w:spacing w:after="0"/>
              <w:rPr>
                <w:sz w:val="17"/>
                <w:szCs w:val="17"/>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7"/>
                <w:szCs w:val="17"/>
                <w:color w:val="auto"/>
                <w:w w:val="96"/>
              </w:rPr>
              <w:t>(6,040)</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(1,683)</w:t>
            </w: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Total net deferred tax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235</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74"/>
        </w:trPr>
        <w:tc>
          <w:tcPr>
            <w:tcW w:w="68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Defined benefit plan adjustment</w:t>
            </w: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(137)</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00" w:type="dxa"/>
            <w:vAlign w:val="bottom"/>
          </w:tcPr>
          <w:p>
            <w:pPr>
              <w:spacing w:after="0"/>
              <w:rPr>
                <w:sz w:val="20"/>
                <w:szCs w:val="20"/>
                <w:color w:val="auto"/>
              </w:rPr>
            </w:pPr>
            <w:r>
              <w:rPr>
                <w:rFonts w:ascii="Arial" w:cs="Arial" w:eastAsia="Arial" w:hAnsi="Arial"/>
                <w:sz w:val="17"/>
                <w:szCs w:val="17"/>
                <w:color w:val="auto"/>
              </w:rPr>
              <w:t>Depreciation</w:t>
            </w:r>
          </w:p>
        </w:tc>
        <w:tc>
          <w:tcPr>
            <w:tcW w:w="2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(98)</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2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(235)</w:t>
            </w:r>
          </w:p>
        </w:tc>
        <w:tc>
          <w:tcPr>
            <w:tcW w:w="3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20"/>
        </w:trPr>
        <w:tc>
          <w:tcPr>
            <w:tcW w:w="6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deferred tax assets</w:t>
            </w:r>
          </w:p>
        </w:tc>
        <w:tc>
          <w:tcPr>
            <w:tcW w:w="2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center"/>
              <w:ind w:left="9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bl>
    <w:p>
      <w:pPr>
        <w:spacing w:after="0" w:line="110"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The Company has incurred annual net operating losses in each year since inception. The Company has not reflected the benefit of any such net operating loss carryforwards in the financial statements. Due to the Company’s history of losses, and lack of other positive evidence, the Company has determined that it is more likely than not that its net deferred tax assets will not be realized, and therefore, the net deferred tax assets are fully offset by a valuation allowance at December 31, 2020 and 2019. The Company increased its valuation allowance by $4.4 million for the year ended December 31, 2020 in order to maintain a full valuation allowance against its deferred tax assets.</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As of December 31, 2020, the Company had federal net operating loss carryforwards, or NOLs, of $2.8 million and federal tax credits of $286,000 available to offset tax liabilities. The Company’s federal NOLs have an indefinite life and federal tax credit carryforwards begin to expire in 2039. The Company also had gross foreign NOLs of $38.5 million that expire in 2026. The Company also had gross state NOLs of $2.8 million and state tax credits of $128,000 which are available to offset state tax liabilities. The state NOLs begin to expire in 2039 and the state tax credit carryforwards begin to expire in 2034. Federal and state NOLs and tax credit carryforwards are also subject to annual limitations in the event that cumulative changes in the ownership interests of significant stockholders exceed 50% over a three-year period, as defined under Sections 382 and 383 of the Internal Revenue Code of 1986. The Company has not completed an analysis to determine if the NOLs and tax credits are limited due to a change in ownership. Should there be ownership changes that occurred, the Company’s ability to utilize existing carryforwards could be substantially restricted.</w:t>
      </w:r>
    </w:p>
    <w:p>
      <w:pPr>
        <w:spacing w:after="0" w:line="29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Company determines its uncertain tax positions based on whether and how much of a tax benefit taken by the Company in its tax filings is more likely than not to be sustained upon examination by the relevant income tax authorities.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unrecognized tax benefits recorded as of December 31, 2020 and 2019.</w:t>
      </w:r>
    </w:p>
    <w:p>
      <w:pPr>
        <w:spacing w:after="0" w:line="112"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The Company files income tax returns in the U.S., Switzerland and Massachusetts. The Company is not currently under examination by any taxing authority for any open tax year. Due to net operating loss carryforwards, all years remain open for income tax examination. To the extent the Company has tax attribute carryforwards,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456"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tax years in which the attribute was generated may still be adjusted upon examination by the Internal Revenue Service, or IRS, foreign, or state tax authorities to the extent utilized in a future period. No federal, foreign, or state tax audits are currently in process.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Defined benefit plan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in compliance with Swiss Law, is contracted with the Swiss Life Collective BVG Foundation for the provision of pension benefits.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All benefits are reinsured in their entirety with Swiss Life Ltd within the framework of the contract.</w:t>
      </w:r>
    </w:p>
    <w:p>
      <w:pPr>
        <w:spacing w:after="0" w:line="11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technical administration and management of the savings account are guaranteed by Swiss Life on behalf of the collective foundation. Insurance benefits due are paid directly to the entitled persons by Swiss Life in the name of and for the account of the collective foundation. The pension plan is financed by contributions of both employees and employer.</w:t>
      </w:r>
    </w:p>
    <w:p>
      <w:pPr>
        <w:spacing w:after="0" w:line="88"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contract between the Company and the collective foundation can be terminated by either side. In the event of a termination, the Company would have an obligation to find alternative pension arrangements for its employees. Because there is no guarantee that the employee pension arrangements would be continued under the same conditions, there is a risk, albeit remote, that a pension obligation may fall on the Company.</w:t>
      </w:r>
    </w:p>
    <w:p>
      <w:pPr>
        <w:spacing w:after="0" w:line="8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pension assets are pooled for all affiliated companies; the investment of assets is done by the governing bodies of the collective foundation or by mandated parties. The risks of disability, death and longevity are reinsured in their entirety with Swiss Life Ltd.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defined benefit plan in 2019 as there were no full-time employees in Switzerland.</w:t>
      </w:r>
    </w:p>
    <w:p>
      <w:pPr>
        <w:spacing w:after="0" w:line="112" w:lineRule="exact"/>
        <w:rPr>
          <w:sz w:val="20"/>
          <w:szCs w:val="20"/>
          <w:color w:val="auto"/>
        </w:rPr>
      </w:pPr>
    </w:p>
    <w:p>
      <w:pPr>
        <w:ind w:right="900"/>
        <w:spacing w:after="0" w:line="263" w:lineRule="auto"/>
        <w:rPr>
          <w:sz w:val="20"/>
          <w:szCs w:val="20"/>
          <w:color w:val="auto"/>
        </w:rPr>
      </w:pPr>
      <w:r>
        <w:rPr>
          <w:rFonts w:ascii="Arial" w:cs="Arial" w:eastAsia="Arial" w:hAnsi="Arial"/>
          <w:sz w:val="17"/>
          <w:szCs w:val="17"/>
          <w:color w:val="auto"/>
        </w:rPr>
        <w:t>The following table represents the changes in benefit obligations and plan assets and the net amount recognized on the combined and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46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r>
      <w:tr>
        <w:trPr>
          <w:trHeight w:val="221"/>
        </w:trPr>
        <w:tc>
          <w:tcPr>
            <w:tcW w:w="460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r>
      <w:tr>
        <w:trPr>
          <w:trHeight w:val="47"/>
        </w:trPr>
        <w:tc>
          <w:tcPr>
            <w:tcW w:w="460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Change in benefit obligation:</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Benefit obligation—beginning of period</w:t>
            </w:r>
          </w:p>
        </w:tc>
        <w:tc>
          <w:tcPr>
            <w:tcW w:w="5560" w:type="dxa"/>
            <w:vAlign w:val="bottom"/>
            <w:gridSpan w:val="2"/>
          </w:tcPr>
          <w:p>
            <w:pPr>
              <w:ind w:left="5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 cost employer</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7"/>
                <w:szCs w:val="17"/>
                <w:color w:val="auto"/>
              </w:rPr>
            </w:pP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Contributions paid by employees</w:t>
            </w: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paid by plan participants</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w:t>
            </w:r>
          </w:p>
        </w:tc>
        <w:tc>
          <w:tcPr>
            <w:tcW w:w="100" w:type="dxa"/>
            <w:vAlign w:val="bottom"/>
            <w:shd w:val="clear" w:color="auto" w:fill="CCEEFF"/>
          </w:tcPr>
          <w:p>
            <w:pPr>
              <w:spacing w:after="0"/>
              <w:rPr>
                <w:sz w:val="17"/>
                <w:szCs w:val="17"/>
                <w:color w:val="auto"/>
              </w:rPr>
            </w:pP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Benefits paid</w:t>
            </w: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Actuarial loss</w:t>
            </w:r>
          </w:p>
        </w:tc>
        <w:tc>
          <w:tcPr>
            <w:tcW w:w="5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CCEEFF"/>
          </w:tcPr>
          <w:p>
            <w:pPr>
              <w:spacing w:after="0"/>
              <w:rPr>
                <w:sz w:val="17"/>
                <w:szCs w:val="17"/>
                <w:color w:val="auto"/>
              </w:rPr>
            </w:pPr>
          </w:p>
        </w:tc>
      </w:tr>
      <w:tr>
        <w:trPr>
          <w:trHeight w:val="207"/>
        </w:trPr>
        <w:tc>
          <w:tcPr>
            <w:tcW w:w="4600" w:type="dxa"/>
            <w:vAlign w:val="bottom"/>
          </w:tcPr>
          <w:p>
            <w:pPr>
              <w:ind w:left="440"/>
              <w:spacing w:after="0"/>
              <w:rPr>
                <w:sz w:val="20"/>
                <w:szCs w:val="20"/>
                <w:color w:val="auto"/>
              </w:rPr>
            </w:pPr>
            <w:r>
              <w:rPr>
                <w:rFonts w:ascii="Arial" w:cs="Arial" w:eastAsia="Arial" w:hAnsi="Arial"/>
                <w:sz w:val="17"/>
                <w:szCs w:val="17"/>
                <w:color w:val="auto"/>
              </w:rPr>
              <w:t>Benefit obligation—end of period</w:t>
            </w:r>
          </w:p>
        </w:tc>
        <w:tc>
          <w:tcPr>
            <w:tcW w:w="5560" w:type="dxa"/>
            <w:vAlign w:val="bottom"/>
            <w:gridSpan w:val="2"/>
          </w:tcPr>
          <w:p>
            <w:pPr>
              <w:ind w:left="5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2,284</w:t>
            </w:r>
          </w:p>
        </w:tc>
        <w:tc>
          <w:tcPr>
            <w:tcW w:w="100" w:type="dxa"/>
            <w:vAlign w:val="bottom"/>
          </w:tcPr>
          <w:p>
            <w:pPr>
              <w:spacing w:after="0"/>
              <w:rPr>
                <w:sz w:val="18"/>
                <w:szCs w:val="18"/>
                <w:color w:val="auto"/>
              </w:rPr>
            </w:pPr>
          </w:p>
        </w:tc>
      </w:tr>
      <w:tr>
        <w:trPr>
          <w:trHeight w:val="74"/>
        </w:trPr>
        <w:tc>
          <w:tcPr>
            <w:tcW w:w="4600" w:type="dxa"/>
            <w:vAlign w:val="bottom"/>
          </w:tcPr>
          <w:p>
            <w:pPr>
              <w:spacing w:after="0"/>
              <w:rPr>
                <w:sz w:val="6"/>
                <w:szCs w:val="6"/>
                <w:color w:val="auto"/>
              </w:rPr>
            </w:pPr>
          </w:p>
        </w:tc>
        <w:tc>
          <w:tcPr>
            <w:tcW w:w="54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Change in plan assets:</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Fair value of plan assets—beginning of period</w:t>
            </w:r>
          </w:p>
        </w:tc>
        <w:tc>
          <w:tcPr>
            <w:tcW w:w="5560" w:type="dxa"/>
            <w:vAlign w:val="bottom"/>
            <w:gridSpan w:val="2"/>
          </w:tcPr>
          <w:p>
            <w:pPr>
              <w:ind w:left="5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Actual return on plan assets</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Contributions paid by employer</w:t>
            </w: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paid by employees</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r>
      <w:tr>
        <w:trPr>
          <w:trHeight w:val="201"/>
        </w:trPr>
        <w:tc>
          <w:tcPr>
            <w:tcW w:w="4600" w:type="dxa"/>
            <w:vAlign w:val="bottom"/>
          </w:tcPr>
          <w:p>
            <w:pPr>
              <w:ind w:left="220"/>
              <w:spacing w:after="0"/>
              <w:rPr>
                <w:sz w:val="20"/>
                <w:szCs w:val="20"/>
                <w:color w:val="auto"/>
              </w:rPr>
            </w:pPr>
            <w:r>
              <w:rPr>
                <w:rFonts w:ascii="Arial" w:cs="Arial" w:eastAsia="Arial" w:hAnsi="Arial"/>
                <w:sz w:val="17"/>
                <w:szCs w:val="17"/>
                <w:color w:val="auto"/>
              </w:rPr>
              <w:t>Contributions paid by plan participants</w:t>
            </w: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7"/>
                <w:szCs w:val="17"/>
                <w:color w:val="auto"/>
              </w:rPr>
            </w:pPr>
          </w:p>
        </w:tc>
      </w:tr>
      <w:tr>
        <w:trPr>
          <w:trHeight w:val="201"/>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Benefits paid</w:t>
            </w:r>
          </w:p>
        </w:tc>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14"/>
        </w:trPr>
        <w:tc>
          <w:tcPr>
            <w:tcW w:w="4600" w:type="dxa"/>
            <w:vAlign w:val="bottom"/>
          </w:tcPr>
          <w:p>
            <w:pPr>
              <w:ind w:left="440"/>
              <w:spacing w:after="0"/>
              <w:rPr>
                <w:sz w:val="20"/>
                <w:szCs w:val="20"/>
                <w:color w:val="auto"/>
              </w:rPr>
            </w:pPr>
            <w:r>
              <w:rPr>
                <w:rFonts w:ascii="Arial" w:cs="Arial" w:eastAsia="Arial" w:hAnsi="Arial"/>
                <w:sz w:val="17"/>
                <w:szCs w:val="17"/>
                <w:color w:val="auto"/>
              </w:rPr>
              <w:t>Fair value of plan assets—end of period</w:t>
            </w:r>
          </w:p>
        </w:tc>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Defined benefit plan liability</w:t>
            </w:r>
          </w:p>
        </w:tc>
        <w:tc>
          <w:tcPr>
            <w:tcW w:w="5560" w:type="dxa"/>
            <w:vAlign w:val="bottom"/>
            <w:gridSpan w:val="2"/>
            <w:shd w:val="clear" w:color="auto" w:fill="CCEEFF"/>
          </w:tcPr>
          <w:p>
            <w:pPr>
              <w:ind w:left="5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7"/>
                <w:szCs w:val="17"/>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600" w:type="dxa"/>
            <w:vAlign w:val="bottom"/>
          </w:tcPr>
          <w:p>
            <w:pPr>
              <w:spacing w:after="0"/>
              <w:rPr>
                <w:sz w:val="24"/>
                <w:szCs w:val="24"/>
                <w:color w:val="auto"/>
              </w:rPr>
            </w:pPr>
          </w:p>
        </w:tc>
        <w:tc>
          <w:tcPr>
            <w:tcW w:w="5560" w:type="dxa"/>
            <w:vAlign w:val="bottom"/>
            <w:gridSpan w:val="2"/>
          </w:tcPr>
          <w:p>
            <w:pPr>
              <w:ind w:left="840"/>
              <w:spacing w:after="0"/>
              <w:rPr>
                <w:sz w:val="20"/>
                <w:szCs w:val="20"/>
                <w:color w:val="auto"/>
              </w:rPr>
            </w:pPr>
            <w:r>
              <w:rPr>
                <w:rFonts w:ascii="Arial" w:cs="Arial" w:eastAsia="Arial" w:hAnsi="Arial"/>
                <w:sz w:val="17"/>
                <w:szCs w:val="17"/>
                <w:color w:val="auto"/>
              </w:rPr>
              <w:t>F-26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 net pension costs for the year ended December 31, 2020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100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r>
      <w:tr>
        <w:trPr>
          <w:trHeight w:val="221"/>
        </w:trPr>
        <w:tc>
          <w:tcPr>
            <w:tcW w:w="100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 w:type="dxa"/>
            <w:vAlign w:val="bottom"/>
            <w:tcBorders>
              <w:bottom w:val="single" w:sz="8" w:color="auto"/>
            </w:tcBorders>
          </w:tcPr>
          <w:p>
            <w:pPr>
              <w:spacing w:after="0"/>
              <w:rPr>
                <w:sz w:val="19"/>
                <w:szCs w:val="19"/>
                <w:color w:val="auto"/>
              </w:rPr>
            </w:pPr>
          </w:p>
        </w:tc>
      </w:tr>
      <w:tr>
        <w:trPr>
          <w:trHeight w:val="194"/>
        </w:trPr>
        <w:tc>
          <w:tcPr>
            <w:tcW w:w="10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Service cost</w:t>
            </w:r>
          </w:p>
        </w:tc>
        <w:tc>
          <w:tcPr>
            <w:tcW w:w="14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16"/>
                <w:szCs w:val="16"/>
                <w:color w:val="auto"/>
              </w:rPr>
            </w:pPr>
          </w:p>
        </w:tc>
      </w:tr>
      <w:tr>
        <w:trPr>
          <w:trHeight w:val="220"/>
        </w:trPr>
        <w:tc>
          <w:tcPr>
            <w:tcW w:w="10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pension cost</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60" w:type="dxa"/>
            <w:vAlign w:val="bottom"/>
          </w:tcPr>
          <w:p>
            <w:pPr>
              <w:spacing w:after="0"/>
              <w:rPr>
                <w:sz w:val="19"/>
                <w:szCs w:val="19"/>
                <w:color w:val="auto"/>
              </w:rPr>
            </w:pPr>
          </w:p>
        </w:tc>
      </w:tr>
    </w:tbl>
    <w:p>
      <w:pPr>
        <w:spacing w:after="0" w:line="110"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provision for pension benefit obligation recognized in other comprehensive loss for the year ended December 31, 2020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8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9"/>
              </w:rPr>
              <w:t>December 31,</w:t>
            </w:r>
          </w:p>
        </w:tc>
      </w:tr>
      <w:tr>
        <w:trPr>
          <w:trHeight w:val="20"/>
        </w:trPr>
        <w:tc>
          <w:tcPr>
            <w:tcW w:w="8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8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2020</w:t>
            </w:r>
          </w:p>
        </w:tc>
      </w:tr>
      <w:tr>
        <w:trPr>
          <w:trHeight w:val="194"/>
        </w:trPr>
        <w:tc>
          <w:tcPr>
            <w:tcW w:w="9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Actuarial loss arising from experience adjustments</w:t>
            </w:r>
          </w:p>
        </w:tc>
        <w:tc>
          <w:tcPr>
            <w:tcW w:w="1220" w:type="dxa"/>
            <w:vAlign w:val="bottom"/>
            <w:gridSpan w:val="2"/>
            <w:shd w:val="clear" w:color="auto" w:fill="CCEEFF"/>
          </w:tcPr>
          <w:p>
            <w:pPr>
              <w:jc w:val="center"/>
              <w:ind w:left="85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1,056</w:t>
            </w:r>
          </w:p>
        </w:tc>
        <w:tc>
          <w:tcPr>
            <w:tcW w:w="60" w:type="dxa"/>
            <w:vAlign w:val="bottom"/>
            <w:shd w:val="clear" w:color="auto" w:fill="CCEEFF"/>
          </w:tcPr>
          <w:p>
            <w:pPr>
              <w:spacing w:after="0"/>
              <w:rPr>
                <w:sz w:val="16"/>
                <w:szCs w:val="16"/>
                <w:color w:val="auto"/>
              </w:rPr>
            </w:pPr>
          </w:p>
        </w:tc>
      </w:tr>
      <w:tr>
        <w:trPr>
          <w:trHeight w:val="20"/>
        </w:trPr>
        <w:tc>
          <w:tcPr>
            <w:tcW w:w="8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9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Defined benefit cost for the year recognized in other comprehensive loss</w:t>
            </w:r>
          </w:p>
        </w:tc>
        <w:tc>
          <w:tcPr>
            <w:tcW w:w="1220" w:type="dxa"/>
            <w:vAlign w:val="bottom"/>
            <w:tcBorders>
              <w:bottom w:val="single" w:sz="8" w:color="auto"/>
            </w:tcBorders>
            <w:gridSpan w:val="2"/>
          </w:tcPr>
          <w:p>
            <w:pPr>
              <w:jc w:val="center"/>
              <w:ind w:left="85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60" w:type="dxa"/>
            <w:vAlign w:val="bottom"/>
          </w:tcPr>
          <w:p>
            <w:pPr>
              <w:spacing w:after="0"/>
              <w:rPr>
                <w:sz w:val="19"/>
                <w:szCs w:val="19"/>
                <w:color w:val="auto"/>
              </w:rPr>
            </w:pPr>
          </w:p>
        </w:tc>
      </w:tr>
      <w:tr>
        <w:trPr>
          <w:trHeight w:val="314"/>
        </w:trPr>
        <w:tc>
          <w:tcPr>
            <w:tcW w:w="9020" w:type="dxa"/>
            <w:vAlign w:val="bottom"/>
            <w:gridSpan w:val="2"/>
          </w:tcPr>
          <w:p>
            <w:pPr>
              <w:spacing w:after="0"/>
              <w:rPr>
                <w:sz w:val="20"/>
                <w:szCs w:val="20"/>
                <w:color w:val="auto"/>
              </w:rPr>
            </w:pPr>
            <w:r>
              <w:rPr>
                <w:rFonts w:ascii="Arial" w:cs="Arial" w:eastAsia="Arial" w:hAnsi="Arial"/>
                <w:sz w:val="17"/>
                <w:szCs w:val="17"/>
                <w:color w:val="auto"/>
              </w:rPr>
              <w:t>The assumptions used to measure the projected benefit obligation and net pension costs were as follows: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6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tcPr>
          <w:p>
            <w:pPr>
              <w:spacing w:after="0"/>
              <w:rPr>
                <w:sz w:val="10"/>
                <w:szCs w:val="10"/>
                <w:color w:val="auto"/>
              </w:rPr>
            </w:pPr>
          </w:p>
        </w:tc>
      </w:tr>
      <w:tr>
        <w:trPr>
          <w:trHeight w:val="241"/>
        </w:trPr>
        <w:tc>
          <w:tcPr>
            <w:tcW w:w="8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rPr>
              <w:t>Year ended December 31,</w:t>
            </w:r>
          </w:p>
        </w:tc>
      </w:tr>
      <w:tr>
        <w:trPr>
          <w:trHeight w:val="221"/>
        </w:trPr>
        <w:tc>
          <w:tcPr>
            <w:tcW w:w="86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 w:type="dxa"/>
            <w:vAlign w:val="bottom"/>
            <w:tcBorders>
              <w:bottom w:val="single" w:sz="8" w:color="auto"/>
            </w:tcBorders>
          </w:tcPr>
          <w:p>
            <w:pPr>
              <w:spacing w:after="0"/>
              <w:rPr>
                <w:sz w:val="19"/>
                <w:szCs w:val="19"/>
                <w:color w:val="auto"/>
              </w:rPr>
            </w:pPr>
          </w:p>
        </w:tc>
      </w:tr>
      <w:tr>
        <w:trPr>
          <w:trHeight w:val="194"/>
        </w:trPr>
        <w:tc>
          <w:tcPr>
            <w:tcW w:w="9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Inflation rate</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0.50%</w:t>
            </w:r>
          </w:p>
        </w:tc>
        <w:tc>
          <w:tcPr>
            <w:tcW w:w="60" w:type="dxa"/>
            <w:vAlign w:val="bottom"/>
            <w:shd w:val="clear" w:color="auto" w:fill="CCEEFF"/>
          </w:tcPr>
          <w:p>
            <w:pPr>
              <w:spacing w:after="0"/>
              <w:rPr>
                <w:sz w:val="16"/>
                <w:szCs w:val="16"/>
                <w:color w:val="auto"/>
              </w:rPr>
            </w:pPr>
          </w:p>
        </w:tc>
      </w:tr>
      <w:tr>
        <w:trPr>
          <w:trHeight w:val="201"/>
        </w:trPr>
        <w:tc>
          <w:tcPr>
            <w:tcW w:w="9020" w:type="dxa"/>
            <w:vAlign w:val="bottom"/>
            <w:gridSpan w:val="2"/>
          </w:tcPr>
          <w:p>
            <w:pPr>
              <w:spacing w:after="0"/>
              <w:rPr>
                <w:sz w:val="20"/>
                <w:szCs w:val="20"/>
                <w:color w:val="auto"/>
              </w:rPr>
            </w:pPr>
            <w:r>
              <w:rPr>
                <w:rFonts w:ascii="Arial" w:cs="Arial" w:eastAsia="Arial" w:hAnsi="Arial"/>
                <w:sz w:val="17"/>
                <w:szCs w:val="17"/>
                <w:color w:val="auto"/>
              </w:rPr>
              <w:t>Discount rate</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0.20%</w:t>
            </w:r>
          </w:p>
        </w:tc>
        <w:tc>
          <w:tcPr>
            <w:tcW w:w="60" w:type="dxa"/>
            <w:vAlign w:val="bottom"/>
          </w:tcPr>
          <w:p>
            <w:pPr>
              <w:spacing w:after="0"/>
              <w:rPr>
                <w:sz w:val="17"/>
                <w:szCs w:val="17"/>
                <w:color w:val="auto"/>
              </w:rPr>
            </w:pPr>
          </w:p>
        </w:tc>
      </w:tr>
      <w:tr>
        <w:trPr>
          <w:trHeight w:val="201"/>
        </w:trPr>
        <w:tc>
          <w:tcPr>
            <w:tcW w:w="9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on savings accounts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60" w:type="dxa"/>
            <w:vAlign w:val="bottom"/>
            <w:shd w:val="clear" w:color="auto" w:fill="CCEEFF"/>
          </w:tcPr>
          <w:p>
            <w:pPr>
              <w:spacing w:after="0"/>
              <w:rPr>
                <w:sz w:val="17"/>
                <w:szCs w:val="17"/>
                <w:color w:val="auto"/>
              </w:rPr>
            </w:pPr>
          </w:p>
        </w:tc>
      </w:tr>
      <w:tr>
        <w:trPr>
          <w:trHeight w:val="201"/>
        </w:trPr>
        <w:tc>
          <w:tcPr>
            <w:tcW w:w="9020" w:type="dxa"/>
            <w:vAlign w:val="bottom"/>
            <w:gridSpan w:val="2"/>
          </w:tcPr>
          <w:p>
            <w:pPr>
              <w:spacing w:after="0"/>
              <w:rPr>
                <w:sz w:val="20"/>
                <w:szCs w:val="20"/>
                <w:color w:val="auto"/>
              </w:rPr>
            </w:pPr>
            <w:r>
              <w:rPr>
                <w:rFonts w:ascii="Arial" w:cs="Arial" w:eastAsia="Arial" w:hAnsi="Arial"/>
                <w:sz w:val="17"/>
                <w:szCs w:val="17"/>
                <w:color w:val="auto"/>
              </w:rPr>
              <w:t>Expected rate of return on assets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0.45%</w:t>
            </w:r>
          </w:p>
        </w:tc>
        <w:tc>
          <w:tcPr>
            <w:tcW w:w="60" w:type="dxa"/>
            <w:vAlign w:val="bottom"/>
          </w:tcPr>
          <w:p>
            <w:pPr>
              <w:spacing w:after="0"/>
              <w:rPr>
                <w:sz w:val="17"/>
                <w:szCs w:val="17"/>
                <w:color w:val="auto"/>
              </w:rPr>
            </w:pPr>
          </w:p>
        </w:tc>
      </w:tr>
      <w:tr>
        <w:trPr>
          <w:trHeight w:val="201"/>
        </w:trPr>
        <w:tc>
          <w:tcPr>
            <w:tcW w:w="9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Salary increase</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7"/>
                <w:szCs w:val="17"/>
                <w:color w:val="auto"/>
              </w:rPr>
            </w:pPr>
          </w:p>
        </w:tc>
      </w:tr>
      <w:tr>
        <w:trPr>
          <w:trHeight w:val="201"/>
        </w:trPr>
        <w:tc>
          <w:tcPr>
            <w:tcW w:w="9020" w:type="dxa"/>
            <w:vAlign w:val="bottom"/>
            <w:gridSpan w:val="2"/>
          </w:tcPr>
          <w:p>
            <w:pPr>
              <w:spacing w:after="0"/>
              <w:rPr>
                <w:sz w:val="20"/>
                <w:szCs w:val="20"/>
                <w:color w:val="auto"/>
              </w:rPr>
            </w:pPr>
            <w:r>
              <w:rPr>
                <w:rFonts w:ascii="Arial" w:cs="Arial" w:eastAsia="Arial" w:hAnsi="Arial"/>
                <w:sz w:val="17"/>
                <w:szCs w:val="17"/>
                <w:color w:val="auto"/>
              </w:rPr>
              <w:t>Social Security increase</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0.50%</w:t>
            </w:r>
          </w:p>
        </w:tc>
        <w:tc>
          <w:tcPr>
            <w:tcW w:w="60" w:type="dxa"/>
            <w:vAlign w:val="bottom"/>
          </w:tcPr>
          <w:p>
            <w:pPr>
              <w:spacing w:after="0"/>
              <w:rPr>
                <w:sz w:val="17"/>
                <w:szCs w:val="17"/>
                <w:color w:val="auto"/>
              </w:rPr>
            </w:pPr>
          </w:p>
        </w:tc>
      </w:tr>
      <w:tr>
        <w:trPr>
          <w:trHeight w:val="201"/>
        </w:trPr>
        <w:tc>
          <w:tcPr>
            <w:tcW w:w="9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Pension increase</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60" w:type="dxa"/>
            <w:vAlign w:val="bottom"/>
            <w:shd w:val="clear" w:color="auto" w:fill="CCEEFF"/>
          </w:tcPr>
          <w:p>
            <w:pPr>
              <w:spacing w:after="0"/>
              <w:rPr>
                <w:sz w:val="17"/>
                <w:szCs w:val="17"/>
                <w:color w:val="auto"/>
              </w:rPr>
            </w:pPr>
          </w:p>
        </w:tc>
      </w:tr>
      <w:tr>
        <w:trPr>
          <w:trHeight w:val="201"/>
        </w:trPr>
        <w:tc>
          <w:tcPr>
            <w:tcW w:w="9020" w:type="dxa"/>
            <w:vAlign w:val="bottom"/>
            <w:gridSpan w:val="2"/>
          </w:tcPr>
          <w:p>
            <w:pPr>
              <w:spacing w:after="0"/>
              <w:rPr>
                <w:sz w:val="20"/>
                <w:szCs w:val="20"/>
                <w:color w:val="auto"/>
              </w:rPr>
            </w:pPr>
            <w:r>
              <w:rPr>
                <w:rFonts w:ascii="Arial" w:cs="Arial" w:eastAsia="Arial" w:hAnsi="Arial"/>
                <w:sz w:val="17"/>
                <w:szCs w:val="17"/>
                <w:color w:val="auto"/>
              </w:rPr>
              <w:t>Retirement age</w:t>
            </w:r>
          </w:p>
        </w:tc>
        <w:tc>
          <w:tcPr>
            <w:tcW w:w="2220" w:type="dxa"/>
            <w:vAlign w:val="bottom"/>
            <w:gridSpan w:val="4"/>
          </w:tcPr>
          <w:p>
            <w:pPr>
              <w:jc w:val="right"/>
              <w:ind w:right="60"/>
              <w:spacing w:after="0"/>
              <w:rPr>
                <w:sz w:val="20"/>
                <w:szCs w:val="20"/>
                <w:color w:val="auto"/>
              </w:rPr>
            </w:pPr>
            <w:r>
              <w:rPr>
                <w:rFonts w:ascii="Arial" w:cs="Arial" w:eastAsia="Arial" w:hAnsi="Arial"/>
                <w:sz w:val="17"/>
                <w:szCs w:val="17"/>
                <w:color w:val="auto"/>
              </w:rPr>
              <w:t>100% Male 65 Female 64</w:t>
            </w:r>
          </w:p>
        </w:tc>
      </w:tr>
      <w:tr>
        <w:trPr>
          <w:trHeight w:val="201"/>
        </w:trPr>
        <w:tc>
          <w:tcPr>
            <w:tcW w:w="9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Mortality and disability rates</w:t>
            </w:r>
          </w:p>
        </w:tc>
        <w:tc>
          <w:tcPr>
            <w:tcW w:w="10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BVG 2015 GT</w:t>
            </w:r>
          </w:p>
        </w:tc>
      </w:tr>
      <w:tr>
        <w:trPr>
          <w:trHeight w:val="20"/>
        </w:trPr>
        <w:tc>
          <w:tcPr>
            <w:tcW w:w="8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9020" w:type="dxa"/>
            <w:vAlign w:val="bottom"/>
            <w:gridSpan w:val="2"/>
          </w:tcPr>
          <w:p>
            <w:pPr>
              <w:spacing w:after="0"/>
              <w:rPr>
                <w:sz w:val="20"/>
                <w:szCs w:val="20"/>
                <w:color w:val="auto"/>
              </w:rPr>
            </w:pPr>
            <w:r>
              <w:rPr>
                <w:rFonts w:ascii="Arial" w:cs="Arial" w:eastAsia="Arial" w:hAnsi="Arial"/>
                <w:sz w:val="17"/>
                <w:szCs w:val="17"/>
                <w:color w:val="auto"/>
              </w:rPr>
              <w:t>Estimated benefit payments, which reflect future expected service, are expected to be paid as follows (in thousands):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6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spacing w:after="0"/>
              <w:rPr>
                <w:sz w:val="10"/>
                <w:szCs w:val="10"/>
                <w:color w:val="auto"/>
              </w:rPr>
            </w:pPr>
          </w:p>
        </w:tc>
      </w:tr>
      <w:tr>
        <w:trPr>
          <w:trHeight w:val="281"/>
        </w:trPr>
        <w:tc>
          <w:tcPr>
            <w:tcW w:w="8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December 31</w:t>
            </w:r>
          </w:p>
        </w:tc>
      </w:tr>
      <w:tr>
        <w:trPr>
          <w:trHeight w:val="194"/>
        </w:trPr>
        <w:tc>
          <w:tcPr>
            <w:tcW w:w="8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2021</w:t>
            </w:r>
          </w:p>
        </w:tc>
        <w:tc>
          <w:tcPr>
            <w:tcW w:w="3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108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149</w:t>
            </w:r>
          </w:p>
        </w:tc>
        <w:tc>
          <w:tcPr>
            <w:tcW w:w="60" w:type="dxa"/>
            <w:vAlign w:val="bottom"/>
            <w:shd w:val="clear" w:color="auto" w:fill="CCEEFF"/>
          </w:tcPr>
          <w:p>
            <w:pPr>
              <w:spacing w:after="0"/>
              <w:rPr>
                <w:sz w:val="16"/>
                <w:szCs w:val="16"/>
                <w:color w:val="auto"/>
              </w:rPr>
            </w:pPr>
          </w:p>
        </w:tc>
      </w:tr>
      <w:tr>
        <w:trPr>
          <w:trHeight w:val="201"/>
        </w:trPr>
        <w:tc>
          <w:tcPr>
            <w:tcW w:w="8640" w:type="dxa"/>
            <w:vAlign w:val="bottom"/>
          </w:tcPr>
          <w:p>
            <w:pPr>
              <w:spacing w:after="0"/>
              <w:rPr>
                <w:sz w:val="20"/>
                <w:szCs w:val="20"/>
                <w:color w:val="auto"/>
              </w:rPr>
            </w:pPr>
            <w:r>
              <w:rPr>
                <w:rFonts w:ascii="Arial" w:cs="Arial" w:eastAsia="Arial" w:hAnsi="Arial"/>
                <w:sz w:val="17"/>
                <w:szCs w:val="17"/>
                <w:color w:val="auto"/>
              </w:rPr>
              <w:t>2022</w:t>
            </w:r>
          </w:p>
        </w:tc>
        <w:tc>
          <w:tcPr>
            <w:tcW w:w="380" w:type="dxa"/>
            <w:vAlign w:val="bottom"/>
          </w:tcPr>
          <w:p>
            <w:pPr>
              <w:spacing w:after="0"/>
              <w:rPr>
                <w:sz w:val="17"/>
                <w:szCs w:val="17"/>
                <w:color w:val="auto"/>
              </w:rPr>
            </w:pPr>
          </w:p>
        </w:tc>
        <w:tc>
          <w:tcPr>
            <w:tcW w:w="12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7"/>
                <w:szCs w:val="17"/>
                <w:color w:val="auto"/>
              </w:rPr>
            </w:pPr>
          </w:p>
        </w:tc>
      </w:tr>
      <w:tr>
        <w:trPr>
          <w:trHeight w:val="201"/>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0" w:type="dxa"/>
            <w:vAlign w:val="bottom"/>
            <w:shd w:val="clear" w:color="auto" w:fill="CCEEFF"/>
          </w:tcPr>
          <w:p>
            <w:pPr>
              <w:spacing w:after="0"/>
              <w:rPr>
                <w:sz w:val="17"/>
                <w:szCs w:val="17"/>
                <w:color w:val="auto"/>
              </w:rPr>
            </w:pPr>
          </w:p>
        </w:tc>
      </w:tr>
      <w:tr>
        <w:trPr>
          <w:trHeight w:val="201"/>
        </w:trPr>
        <w:tc>
          <w:tcPr>
            <w:tcW w:w="8640" w:type="dxa"/>
            <w:vAlign w:val="bottom"/>
          </w:tcPr>
          <w:p>
            <w:pPr>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7"/>
                <w:szCs w:val="17"/>
                <w:color w:val="auto"/>
              </w:rPr>
            </w:pPr>
          </w:p>
        </w:tc>
        <w:tc>
          <w:tcPr>
            <w:tcW w:w="12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128</w:t>
            </w:r>
          </w:p>
        </w:tc>
        <w:tc>
          <w:tcPr>
            <w:tcW w:w="60" w:type="dxa"/>
            <w:vAlign w:val="bottom"/>
          </w:tcPr>
          <w:p>
            <w:pPr>
              <w:spacing w:after="0"/>
              <w:rPr>
                <w:sz w:val="17"/>
                <w:szCs w:val="17"/>
                <w:color w:val="auto"/>
              </w:rPr>
            </w:pPr>
          </w:p>
        </w:tc>
      </w:tr>
      <w:tr>
        <w:trPr>
          <w:trHeight w:val="201"/>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60" w:type="dxa"/>
            <w:vAlign w:val="bottom"/>
            <w:shd w:val="clear" w:color="auto" w:fill="CCEEFF"/>
          </w:tcPr>
          <w:p>
            <w:pPr>
              <w:spacing w:after="0"/>
              <w:rPr>
                <w:sz w:val="17"/>
                <w:szCs w:val="17"/>
                <w:color w:val="auto"/>
              </w:rPr>
            </w:pPr>
          </w:p>
        </w:tc>
      </w:tr>
      <w:tr>
        <w:trPr>
          <w:trHeight w:val="213"/>
        </w:trPr>
        <w:tc>
          <w:tcPr>
            <w:tcW w:w="8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2026-2030</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0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w:t>
            </w:r>
          </w:p>
        </w:tc>
        <w:tc>
          <w:tcPr>
            <w:tcW w:w="60" w:type="dxa"/>
            <w:vAlign w:val="bottom"/>
          </w:tcPr>
          <w:p>
            <w:pPr>
              <w:spacing w:after="0"/>
              <w:rPr>
                <w:sz w:val="18"/>
                <w:szCs w:val="18"/>
                <w:color w:val="auto"/>
              </w:rPr>
            </w:pPr>
          </w:p>
        </w:tc>
      </w:tr>
      <w:tr>
        <w:trPr>
          <w:trHeight w:val="354"/>
        </w:trPr>
        <w:tc>
          <w:tcPr>
            <w:tcW w:w="9020" w:type="dxa"/>
            <w:vAlign w:val="bottom"/>
            <w:gridSpan w:val="2"/>
          </w:tcPr>
          <w:p>
            <w:pPr>
              <w:ind w:left="5440"/>
              <w:spacing w:after="0"/>
              <w:rPr>
                <w:sz w:val="20"/>
                <w:szCs w:val="20"/>
                <w:color w:val="auto"/>
              </w:rPr>
            </w:pPr>
            <w:r>
              <w:rPr>
                <w:rFonts w:ascii="Arial" w:cs="Arial" w:eastAsia="Arial" w:hAnsi="Arial"/>
                <w:sz w:val="17"/>
                <w:szCs w:val="17"/>
                <w:color w:val="auto"/>
              </w:rPr>
              <w:t>F-27</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Net loss per common share</w:t>
      </w:r>
    </w:p>
    <w:p>
      <w:pPr>
        <w:spacing w:after="0" w:line="142"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Basic and diluted net loss per share attributable to common stockholders is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r>
      <w:tr>
        <w:trPr>
          <w:trHeight w:val="221"/>
        </w:trPr>
        <w:tc>
          <w:tcPr>
            <w:tcW w:w="87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4"/>
        </w:trPr>
        <w:tc>
          <w:tcPr>
            <w:tcW w:w="87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13"/>
              <w:spacing w:after="0" w:line="194" w:lineRule="exact"/>
              <w:rPr>
                <w:sz w:val="20"/>
                <w:szCs w:val="20"/>
                <w:color w:val="auto"/>
              </w:rPr>
            </w:pPr>
            <w:r>
              <w:rPr>
                <w:rFonts w:ascii="Arial" w:cs="Arial" w:eastAsia="Arial" w:hAnsi="Arial"/>
                <w:sz w:val="17"/>
                <w:szCs w:val="17"/>
                <w:color w:val="auto"/>
              </w:rPr>
              <w:t>(35,879)</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(7,740)</w:t>
            </w:r>
          </w:p>
        </w:tc>
      </w:tr>
      <w:tr>
        <w:trPr>
          <w:trHeight w:val="20"/>
        </w:trPr>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872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213"/>
              <w:spacing w:after="0"/>
              <w:rPr>
                <w:sz w:val="20"/>
                <w:szCs w:val="20"/>
                <w:color w:val="auto"/>
              </w:rPr>
            </w:pPr>
            <w:r>
              <w:rPr>
                <w:rFonts w:ascii="Arial" w:cs="Arial" w:eastAsia="Arial" w:hAnsi="Arial"/>
                <w:sz w:val="17"/>
                <w:szCs w:val="17"/>
                <w:color w:val="auto"/>
              </w:rPr>
              <w:t>(6.70)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(1.55)</w:t>
            </w: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common shares used in computing net loss per share—basic and diluted</w:t>
            </w: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5,355,459</w:t>
            </w: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00" w:type="dxa"/>
            <w:vAlign w:val="bottom"/>
            <w:shd w:val="clear" w:color="auto" w:fill="CCEEFF"/>
          </w:tcPr>
          <w:p>
            <w:pPr>
              <w:spacing w:after="0"/>
              <w:rPr>
                <w:sz w:val="17"/>
                <w:szCs w:val="17"/>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following outstanding potentially dilutive securities have been excluded from the calculation of diluted net loss per common share, as their effect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8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8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2019</w:t>
            </w:r>
          </w:p>
        </w:tc>
      </w:tr>
      <w:tr>
        <w:trPr>
          <w:trHeight w:val="194"/>
        </w:trPr>
        <w:tc>
          <w:tcPr>
            <w:tcW w:w="8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Convertible Preferred Stock</w:t>
            </w:r>
          </w:p>
        </w:tc>
        <w:tc>
          <w:tcPr>
            <w:tcW w:w="128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53,631,514</w:t>
            </w: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80" w:type="dxa"/>
            <w:vAlign w:val="bottom"/>
            <w:shd w:val="clear" w:color="auto" w:fill="CCEEFF"/>
          </w:tcPr>
          <w:p>
            <w:pPr>
              <w:spacing w:after="0"/>
              <w:rPr>
                <w:sz w:val="16"/>
                <w:szCs w:val="16"/>
                <w:color w:val="auto"/>
              </w:rPr>
            </w:pPr>
          </w:p>
        </w:tc>
      </w:tr>
      <w:tr>
        <w:trPr>
          <w:trHeight w:val="201"/>
        </w:trPr>
        <w:tc>
          <w:tcPr>
            <w:tcW w:w="8640" w:type="dxa"/>
            <w:vAlign w:val="bottom"/>
          </w:tcPr>
          <w:p>
            <w:pPr>
              <w:spacing w:after="0"/>
              <w:rPr>
                <w:sz w:val="20"/>
                <w:szCs w:val="20"/>
                <w:color w:val="auto"/>
              </w:rPr>
            </w:pPr>
            <w:r>
              <w:rPr>
                <w:rFonts w:ascii="Arial" w:cs="Arial" w:eastAsia="Arial" w:hAnsi="Arial"/>
                <w:sz w:val="17"/>
                <w:szCs w:val="17"/>
                <w:color w:val="auto"/>
              </w:rPr>
              <w:t>Stock options to purchase common stock</w:t>
            </w:r>
          </w:p>
        </w:tc>
        <w:tc>
          <w:tcPr>
            <w:tcW w:w="1280" w:type="dxa"/>
            <w:vAlign w:val="bottom"/>
          </w:tcPr>
          <w:p>
            <w:pPr>
              <w:jc w:val="right"/>
              <w:ind w:right="13"/>
              <w:spacing w:after="0"/>
              <w:rPr>
                <w:sz w:val="20"/>
                <w:szCs w:val="20"/>
                <w:color w:val="auto"/>
              </w:rPr>
            </w:pPr>
            <w:r>
              <w:rPr>
                <w:rFonts w:ascii="Arial" w:cs="Arial" w:eastAsia="Arial" w:hAnsi="Arial"/>
                <w:sz w:val="17"/>
                <w:szCs w:val="17"/>
                <w:color w:val="auto"/>
              </w:rPr>
              <w:t>7,786,146</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Restricted common stock</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1,748,580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8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Under the Series B Financing, up to 24,000,000 shares of Convertible Preferred may be contingently issued as described in Note 8.</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Related parties</w:t>
      </w:r>
    </w:p>
    <w:p>
      <w:pPr>
        <w:spacing w:after="0" w:line="14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Versant Ventures has been a related party since inception of the Company as an investor and member of the board of directors. The Company has a service agreement with a Versant Ventures portfolio company, Ridgeline Therapeutics GmbH, or Ridgeline. Ridgeline provided management and administrative support to facilitate start-up of the Company and provided and continues to provide research and development services. Expenses attributable to Ridgeline were recognized primarily in research and development expenses in the Company’s combined and consolidated statements of operations and comprehensive loss. The Company paid $13.4 million and $4.0 million to Ridgeline during the years ended December 31, 2020 and 2019, respectively. As of December 31, 2020 and 2019, the Company had $4.8 million and $2.5 million, respectively, in accounts payable in the combined and consolidated balance sheets associated with Ridgeline.</w:t>
      </w:r>
    </w:p>
    <w:p>
      <w:pPr>
        <w:spacing w:after="0" w:line="9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also has a cost sharing agreement with Versant Ventures for the Company’s Chief Executive Officer. Amounts recognized as a result of this agreement are recognized in general and administrative expenses in the Company’s combined and consolidated statements of operations and comprehensive loss. The Company paid $0 and $55,000 to Versant Ventures during the years ended December 31, 2020 and 2019, respectively, related to this agreement. As of December 31, 2020, the Company had $79,000 in prepaid expenses and other current assets in the combined and consolidated balance sheets related to this agreement. As of December 31, 2019, the Company had $173,000 in accounts payable and $51,000 in prepaids and other current assets in the combined and consolidated balance sheets related to this agreement.</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ICR has been a related party since inception of the Company. The Company has a license, collaboration and investment agreement with the ICR (Note 6).</w:t>
      </w:r>
    </w:p>
    <w:p>
      <w:pPr>
        <w:spacing w:after="0" w:line="80"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During the year ended December 31, 2020, the Company reimbursed Aisling Capital Management LP, an affiliate of an investor, and New Enterprise Associates, an affiliate of an investor and member of the board of directors,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240"/>
          </w:cols>
          <w:pgMar w:left="320" w:top="456"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$92,000 and $22,000, respectively, for costs associated with investing in the Company. These amounts were recorded as issuance costs netted against convertible preferred stock in the combined and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Subsequent events</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has evaluated subsequent events through April 19, 2021, the date these financial statements were issued, and has determined that there have been no events that have occurred that would require adjustments to the Company’s disclosures in the combined and consolidated financial statements, except as referenced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February 2021, the Company issued 24,000,000 shares of Series B Preferred pursuant to the Preferred Stock Tranche Obligation for aggregate gross proceeds of $48.0 million.</w:t>
      </w:r>
    </w:p>
    <w:p>
      <w:pPr>
        <w:spacing w:after="0" w:line="8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In March 2021, the Company authorized the sale of up to 32,054,521 shares of its Series C convertible preferred stock at a price of $2.9637 per share, or Series C Preferred, and issued the authorized shares of Series C Preferred to several new and existing investors for aggregate gross proceeds of $95.0 million. The Series C Preferred carries first priority over the Series B Preferred and the Series A Preferred in liquidation, but otherwise maintains consistent rights, preferences and privileges of the Convertible Preferred Stock outstanding as of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retirement plan</w:t>
      </w:r>
    </w:p>
    <w:p>
      <w:pPr>
        <w:spacing w:after="0" w:line="1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February 2021, the Company adopted a defined contribution plan intended to qualify under Section 401(k) of the Internal Revenue Code covering all eligible U.S. based employees of the Company. All employees are eligible to become participants of the plan immediately upon hire. Each active employee may elect, voluntarily, to contribute a percentage of their compensation to the plan each year, subject to certain limitations. The Company reserves the right, but is not obligated, to make additional contributions to this plan.</w:t>
      </w:r>
    </w:p>
    <w:p>
      <w:pPr>
        <w:spacing w:after="0" w:line="306"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w:t>
      </w:r>
    </w:p>
    <w:p>
      <w:pPr>
        <w:spacing w:after="0" w:line="15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456"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5020"/>
        <w:spacing w:after="0" w:line="282" w:lineRule="auto"/>
        <w:rPr>
          <w:sz w:val="20"/>
          <w:szCs w:val="20"/>
          <w:color w:val="auto"/>
        </w:rPr>
      </w:pPr>
      <w:r>
        <w:rPr>
          <w:rFonts w:ascii="Arial" w:cs="Arial" w:eastAsia="Arial" w:hAnsi="Arial"/>
          <w:sz w:val="32"/>
          <w:szCs w:val="32"/>
          <w:b w:val="1"/>
          <w:bCs w:val="1"/>
          <w:color w:val="auto"/>
        </w:rPr>
        <w:t>Monte Rosa Therapeutics, Inc.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13359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20" w:type="dxa"/>
            <w:vAlign w:val="bottom"/>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24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March 31,</w:t>
            </w:r>
          </w:p>
        </w:tc>
        <w:tc>
          <w:tcPr>
            <w:tcW w:w="24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r>
      <w:tr>
        <w:trPr>
          <w:trHeight w:val="194"/>
        </w:trPr>
        <w:tc>
          <w:tcPr>
            <w:tcW w:w="84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(unaudited)</w:t>
            </w:r>
          </w:p>
        </w:tc>
        <w:tc>
          <w:tcPr>
            <w:tcW w:w="2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47"/>
        </w:trPr>
        <w:tc>
          <w:tcPr>
            <w:tcW w:w="8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168,436</w:t>
            </w: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41,699</w:t>
            </w:r>
          </w:p>
        </w:tc>
        <w:tc>
          <w:tcPr>
            <w:tcW w:w="100" w:type="dxa"/>
            <w:vAlign w:val="bottom"/>
            <w:shd w:val="clear" w:color="auto" w:fill="CCEEFF"/>
          </w:tcPr>
          <w:p>
            <w:pPr>
              <w:spacing w:after="0"/>
              <w:rPr>
                <w:sz w:val="17"/>
                <w:szCs w:val="17"/>
                <w:color w:val="auto"/>
              </w:rPr>
            </w:pPr>
          </w:p>
        </w:tc>
      </w:tr>
      <w:tr>
        <w:trPr>
          <w:trHeight w:val="207"/>
        </w:trPr>
        <w:tc>
          <w:tcPr>
            <w:tcW w:w="842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1,892</w:t>
            </w:r>
          </w:p>
        </w:tc>
        <w:tc>
          <w:tcPr>
            <w:tcW w:w="100" w:type="dxa"/>
            <w:vAlign w:val="bottom"/>
          </w:tcPr>
          <w:p>
            <w:pPr>
              <w:spacing w:after="0"/>
              <w:rPr>
                <w:sz w:val="18"/>
                <w:szCs w:val="18"/>
                <w:color w:val="auto"/>
              </w:rPr>
            </w:pPr>
          </w:p>
        </w:tc>
      </w:tr>
      <w:tr>
        <w:trPr>
          <w:trHeight w:val="201"/>
        </w:trPr>
        <w:tc>
          <w:tcPr>
            <w:tcW w:w="8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171,707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43,591</w:t>
            </w:r>
          </w:p>
        </w:tc>
        <w:tc>
          <w:tcPr>
            <w:tcW w:w="100" w:type="dxa"/>
            <w:vAlign w:val="bottom"/>
            <w:shd w:val="clear" w:color="auto" w:fill="CCEEFF"/>
          </w:tcPr>
          <w:p>
            <w:pPr>
              <w:spacing w:after="0"/>
              <w:rPr>
                <w:sz w:val="17"/>
                <w:szCs w:val="17"/>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7,732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4,623</w:t>
            </w:r>
          </w:p>
        </w:tc>
        <w:tc>
          <w:tcPr>
            <w:tcW w:w="100" w:type="dxa"/>
            <w:vAlign w:val="bottom"/>
          </w:tcPr>
          <w:p>
            <w:pPr>
              <w:spacing w:after="0"/>
              <w:rPr>
                <w:sz w:val="17"/>
                <w:szCs w:val="17"/>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CEEFF"/>
          </w:tcPr>
          <w:p>
            <w:pPr>
              <w:spacing w:after="0"/>
              <w:rPr>
                <w:sz w:val="17"/>
                <w:szCs w:val="17"/>
                <w:color w:val="auto"/>
              </w:rPr>
            </w:pPr>
          </w:p>
        </w:tc>
      </w:tr>
      <w:tr>
        <w:trPr>
          <w:trHeight w:val="207"/>
        </w:trPr>
        <w:tc>
          <w:tcPr>
            <w:tcW w:w="842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180,603</w:t>
            </w:r>
          </w:p>
        </w:tc>
        <w:tc>
          <w:tcPr>
            <w:tcW w:w="3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49,378</w:t>
            </w:r>
          </w:p>
        </w:tc>
        <w:tc>
          <w:tcPr>
            <w:tcW w:w="100" w:type="dxa"/>
            <w:vAlign w:val="bottom"/>
          </w:tcPr>
          <w:p>
            <w:pPr>
              <w:spacing w:after="0"/>
              <w:rPr>
                <w:sz w:val="18"/>
                <w:szCs w:val="18"/>
                <w:color w:val="auto"/>
              </w:rPr>
            </w:pPr>
          </w:p>
        </w:tc>
      </w:tr>
      <w:tr>
        <w:trPr>
          <w:trHeight w:val="74"/>
        </w:trPr>
        <w:tc>
          <w:tcPr>
            <w:tcW w:w="8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Liabilities, convertible preferred stock and stockholders’ deficit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7,326</w:t>
            </w: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7,066</w:t>
            </w:r>
          </w:p>
        </w:tc>
        <w:tc>
          <w:tcPr>
            <w:tcW w:w="100" w:type="dxa"/>
            <w:vAlign w:val="bottom"/>
            <w:shd w:val="clear" w:color="auto" w:fill="CCEEFF"/>
          </w:tcPr>
          <w:p>
            <w:pPr>
              <w:spacing w:after="0"/>
              <w:rPr>
                <w:sz w:val="17"/>
                <w:szCs w:val="17"/>
                <w:color w:val="auto"/>
              </w:rPr>
            </w:pPr>
          </w:p>
        </w:tc>
      </w:tr>
      <w:tr>
        <w:trPr>
          <w:trHeight w:val="201"/>
        </w:trPr>
        <w:tc>
          <w:tcPr>
            <w:tcW w:w="842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1,765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2,529</w:t>
            </w:r>
          </w:p>
        </w:tc>
        <w:tc>
          <w:tcPr>
            <w:tcW w:w="100" w:type="dxa"/>
            <w:vAlign w:val="bottom"/>
          </w:tcPr>
          <w:p>
            <w:pPr>
              <w:spacing w:after="0"/>
              <w:rPr>
                <w:sz w:val="17"/>
                <w:szCs w:val="17"/>
                <w:color w:val="auto"/>
              </w:rPr>
            </w:pPr>
          </w:p>
        </w:tc>
      </w:tr>
      <w:tr>
        <w:trPr>
          <w:trHeight w:val="201"/>
        </w:trPr>
        <w:tc>
          <w:tcPr>
            <w:tcW w:w="8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tranche obligations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19,680</w:t>
            </w:r>
          </w:p>
        </w:tc>
        <w:tc>
          <w:tcPr>
            <w:tcW w:w="100" w:type="dxa"/>
            <w:vAlign w:val="bottom"/>
            <w:shd w:val="clear" w:color="auto" w:fill="CCEEFF"/>
          </w:tcPr>
          <w:p>
            <w:pPr>
              <w:spacing w:after="0"/>
              <w:rPr>
                <w:sz w:val="17"/>
                <w:szCs w:val="17"/>
                <w:color w:val="auto"/>
              </w:rPr>
            </w:pPr>
          </w:p>
        </w:tc>
      </w:tr>
      <w:tr>
        <w:trPr>
          <w:trHeight w:val="207"/>
        </w:trPr>
        <w:tc>
          <w:tcPr>
            <w:tcW w:w="842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29,275</w:t>
            </w:r>
          </w:p>
        </w:tc>
        <w:tc>
          <w:tcPr>
            <w:tcW w:w="100" w:type="dxa"/>
            <w:vAlign w:val="bottom"/>
          </w:tcPr>
          <w:p>
            <w:pPr>
              <w:spacing w:after="0"/>
              <w:rPr>
                <w:sz w:val="18"/>
                <w:szCs w:val="18"/>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Defined benefit plan liability</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7"/>
                <w:szCs w:val="17"/>
                <w:color w:val="auto"/>
              </w:rPr>
            </w:pPr>
          </w:p>
        </w:tc>
      </w:tr>
      <w:tr>
        <w:trPr>
          <w:trHeight w:val="207"/>
        </w:trPr>
        <w:tc>
          <w:tcPr>
            <w:tcW w:w="8420" w:type="dxa"/>
            <w:vAlign w:val="bottom"/>
          </w:tcPr>
          <w:p>
            <w:pPr>
              <w:ind w:left="44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10,047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30,342</w:t>
            </w:r>
          </w:p>
        </w:tc>
        <w:tc>
          <w:tcPr>
            <w:tcW w:w="100" w:type="dxa"/>
            <w:vAlign w:val="bottom"/>
          </w:tcPr>
          <w:p>
            <w:pPr>
              <w:spacing w:after="0"/>
              <w:rPr>
                <w:sz w:val="18"/>
                <w:szCs w:val="18"/>
                <w:color w:val="auto"/>
              </w:rPr>
            </w:pPr>
          </w:p>
        </w:tc>
      </w:tr>
      <w:tr>
        <w:trPr>
          <w:trHeight w:val="74"/>
        </w:trPr>
        <w:tc>
          <w:tcPr>
            <w:tcW w:w="8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420" w:type="dxa"/>
            <w:vAlign w:val="bottom"/>
          </w:tcPr>
          <w:p>
            <w:pPr>
              <w:spacing w:after="0"/>
              <w:rPr>
                <w:sz w:val="20"/>
                <w:szCs w:val="20"/>
                <w:color w:val="auto"/>
              </w:rPr>
            </w:pPr>
            <w:r>
              <w:rPr>
                <w:rFonts w:ascii="Arial" w:cs="Arial" w:eastAsia="Arial" w:hAnsi="Arial"/>
                <w:sz w:val="17"/>
                <w:szCs w:val="17"/>
                <w:color w:val="auto"/>
              </w:rPr>
              <w:t>Convertible preferred stock, $0.0001 par value; 109,686,035 shares authorized, issued and outstanding as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420" w:type="dxa"/>
            <w:vAlign w:val="bottom"/>
          </w:tcPr>
          <w:p>
            <w:pPr>
              <w:ind w:left="220"/>
              <w:spacing w:after="0"/>
              <w:rPr>
                <w:sz w:val="20"/>
                <w:szCs w:val="20"/>
                <w:color w:val="auto"/>
              </w:rPr>
            </w:pPr>
            <w:r>
              <w:rPr>
                <w:rFonts w:ascii="Arial" w:cs="Arial" w:eastAsia="Arial" w:hAnsi="Arial"/>
                <w:sz w:val="17"/>
                <w:szCs w:val="17"/>
                <w:color w:val="auto"/>
              </w:rPr>
              <w:t>of March 31, 2021; and 77,631,514 shares authorized and 53,631,514 shares issued and outstanding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420" w:type="dxa"/>
            <w:vAlign w:val="bottom"/>
          </w:tcPr>
          <w:p>
            <w:pPr>
              <w:ind w:left="220"/>
              <w:spacing w:after="0"/>
              <w:rPr>
                <w:sz w:val="20"/>
                <w:szCs w:val="20"/>
                <w:color w:val="auto"/>
              </w:rPr>
            </w:pPr>
            <w:r>
              <w:rPr>
                <w:rFonts w:ascii="Arial" w:cs="Arial" w:eastAsia="Arial" w:hAnsi="Arial"/>
                <w:sz w:val="17"/>
                <w:szCs w:val="17"/>
                <w:color w:val="auto"/>
              </w:rPr>
              <w:t>as of December 31, 2020; aggregate liquidation value of $223.5 million as of March 31, 2021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231,172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67,764</w:t>
            </w:r>
          </w:p>
        </w:tc>
        <w:tc>
          <w:tcPr>
            <w:tcW w:w="100" w:type="dxa"/>
            <w:vAlign w:val="bottom"/>
          </w:tcPr>
          <w:p>
            <w:pPr>
              <w:spacing w:after="0"/>
              <w:rPr>
                <w:sz w:val="17"/>
                <w:szCs w:val="17"/>
                <w:color w:val="auto"/>
              </w:rPr>
            </w:pPr>
          </w:p>
        </w:tc>
      </w:tr>
      <w:tr>
        <w:trPr>
          <w:trHeight w:val="74"/>
        </w:trPr>
        <w:tc>
          <w:tcPr>
            <w:tcW w:w="8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420" w:type="dxa"/>
            <w:vAlign w:val="bottom"/>
          </w:tcPr>
          <w:p>
            <w:pPr>
              <w:spacing w:after="0"/>
              <w:rPr>
                <w:sz w:val="20"/>
                <w:szCs w:val="20"/>
                <w:color w:val="auto"/>
              </w:rPr>
            </w:pPr>
            <w:r>
              <w:rPr>
                <w:rFonts w:ascii="Arial" w:cs="Arial" w:eastAsia="Arial" w:hAnsi="Arial"/>
                <w:sz w:val="17"/>
                <w:szCs w:val="17"/>
                <w:color w:val="auto"/>
              </w:rPr>
              <w:t>Common stock, $0.0001 par value; 136,654,851 shares authorized, 7,699,359 shares issued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420" w:type="dxa"/>
            <w:vAlign w:val="bottom"/>
          </w:tcPr>
          <w:p>
            <w:pPr>
              <w:ind w:left="220"/>
              <w:spacing w:after="0"/>
              <w:rPr>
                <w:sz w:val="20"/>
                <w:szCs w:val="20"/>
                <w:color w:val="auto"/>
              </w:rPr>
            </w:pPr>
            <w:r>
              <w:rPr>
                <w:rFonts w:ascii="Arial" w:cs="Arial" w:eastAsia="Arial" w:hAnsi="Arial"/>
                <w:sz w:val="17"/>
                <w:szCs w:val="17"/>
                <w:color w:val="auto"/>
              </w:rPr>
              <w:t>6,079,905 shares outstanding as of March 31, 2021; and 97,500,000 shares authorized, 7,699,359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420" w:type="dxa"/>
            <w:vAlign w:val="bottom"/>
          </w:tcPr>
          <w:p>
            <w:pPr>
              <w:ind w:left="220"/>
              <w:spacing w:after="0"/>
              <w:rPr>
                <w:sz w:val="20"/>
                <w:szCs w:val="20"/>
                <w:color w:val="auto"/>
              </w:rPr>
            </w:pPr>
            <w:r>
              <w:rPr>
                <w:rFonts w:ascii="Arial" w:cs="Arial" w:eastAsia="Arial" w:hAnsi="Arial"/>
                <w:sz w:val="17"/>
                <w:szCs w:val="17"/>
                <w:color w:val="auto"/>
              </w:rPr>
              <w:t>shares issued and 5,950,779 shares outstanding as of December 31, 2020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17"/>
                <w:szCs w:val="17"/>
                <w:color w:val="auto"/>
              </w:rPr>
            </w:pPr>
          </w:p>
        </w:tc>
      </w:tr>
      <w:tr>
        <w:trPr>
          <w:trHeight w:val="201"/>
        </w:trPr>
        <w:tc>
          <w:tcPr>
            <w:tcW w:w="842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(1,056)</w:t>
            </w:r>
          </w:p>
        </w:tc>
      </w:tr>
      <w:tr>
        <w:trPr>
          <w:trHeight w:val="201"/>
        </w:trPr>
        <w:tc>
          <w:tcPr>
            <w:tcW w:w="8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(60,353)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(48,077)</w:t>
            </w:r>
          </w:p>
        </w:tc>
      </w:tr>
      <w:tr>
        <w:trPr>
          <w:trHeight w:val="20"/>
        </w:trPr>
        <w:tc>
          <w:tcPr>
            <w:tcW w:w="8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4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(60,616)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(48,728)</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180,603</w:t>
            </w: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49,378</w:t>
            </w:r>
          </w:p>
        </w:tc>
        <w:tc>
          <w:tcPr>
            <w:tcW w:w="100" w:type="dxa"/>
            <w:vAlign w:val="bottom"/>
            <w:shd w:val="clear" w:color="auto" w:fill="CCEEFF"/>
          </w:tcPr>
          <w:p>
            <w:pPr>
              <w:spacing w:after="0"/>
              <w:rPr>
                <w:sz w:val="17"/>
                <w:szCs w:val="17"/>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condensed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456"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ind w:right="580"/>
        <w:spacing w:after="0" w:line="256" w:lineRule="auto"/>
        <w:rPr>
          <w:sz w:val="20"/>
          <w:szCs w:val="20"/>
          <w:color w:val="auto"/>
        </w:rPr>
      </w:pPr>
      <w:r>
        <w:rPr>
          <w:rFonts w:ascii="Arial" w:cs="Arial" w:eastAsia="Arial" w:hAnsi="Arial"/>
          <w:sz w:val="32"/>
          <w:szCs w:val="32"/>
          <w:b w:val="1"/>
          <w:bCs w:val="1"/>
          <w:color w:val="auto"/>
        </w:rPr>
        <w:t>Condensed combined and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3359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8720" w:type="dxa"/>
            <w:vAlign w:val="bottom"/>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March 31,</w:t>
            </w:r>
          </w:p>
        </w:tc>
      </w:tr>
      <w:tr>
        <w:trPr>
          <w:trHeight w:val="194"/>
        </w:trPr>
        <w:tc>
          <w:tcPr>
            <w:tcW w:w="87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(unaudited)</w:t>
            </w: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47"/>
        </w:trPr>
        <w:tc>
          <w:tcPr>
            <w:tcW w:w="8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7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9,273</w:t>
            </w:r>
          </w:p>
        </w:tc>
        <w:tc>
          <w:tcPr>
            <w:tcW w:w="6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3,815</w:t>
            </w:r>
          </w:p>
        </w:tc>
        <w:tc>
          <w:tcPr>
            <w:tcW w:w="100" w:type="dxa"/>
            <w:vAlign w:val="bottom"/>
          </w:tcPr>
          <w:p>
            <w:pPr>
              <w:spacing w:after="0"/>
              <w:rPr>
                <w:sz w:val="17"/>
                <w:szCs w:val="17"/>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2,231</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17"/>
                <w:szCs w:val="17"/>
                <w:color w:val="auto"/>
              </w:rPr>
            </w:pPr>
          </w:p>
        </w:tc>
      </w:tr>
      <w:tr>
        <w:trPr>
          <w:trHeight w:val="214"/>
        </w:trPr>
        <w:tc>
          <w:tcPr>
            <w:tcW w:w="8720" w:type="dxa"/>
            <w:vAlign w:val="bottom"/>
          </w:tcPr>
          <w:p>
            <w:pPr>
              <w:ind w:left="44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100" w:type="dxa"/>
            <w:vAlign w:val="bottom"/>
          </w:tcPr>
          <w:p>
            <w:pPr>
              <w:spacing w:after="0"/>
              <w:rPr>
                <w:sz w:val="18"/>
                <w:szCs w:val="18"/>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(11,504)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(4,293)</w:t>
            </w:r>
          </w:p>
        </w:tc>
      </w:tr>
      <w:tr>
        <w:trPr>
          <w:trHeight w:val="267"/>
        </w:trPr>
        <w:tc>
          <w:tcPr>
            <w:tcW w:w="8720" w:type="dxa"/>
            <w:vAlign w:val="bottom"/>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720" w:type="dxa"/>
            <w:vAlign w:val="bottom"/>
          </w:tcPr>
          <w:p>
            <w:pPr>
              <w:ind w:left="220"/>
              <w:spacing w:after="0"/>
              <w:rPr>
                <w:sz w:val="20"/>
                <w:szCs w:val="20"/>
                <w:color w:val="auto"/>
              </w:rPr>
            </w:pPr>
            <w:r>
              <w:rPr>
                <w:rFonts w:ascii="Arial" w:cs="Arial" w:eastAsia="Arial" w:hAnsi="Arial"/>
                <w:sz w:val="17"/>
                <w:szCs w:val="17"/>
                <w:color w:val="auto"/>
              </w:rPr>
              <w:t>Foreign currency exchange gain (loss), net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fair value of preferred stock tranche obligations, net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720" w:type="dxa"/>
            <w:vAlign w:val="bottom"/>
          </w:tcPr>
          <w:p>
            <w:pPr>
              <w:ind w:left="440"/>
              <w:spacing w:after="0"/>
              <w:rPr>
                <w:sz w:val="20"/>
                <w:szCs w:val="20"/>
                <w:color w:val="auto"/>
              </w:rPr>
            </w:pPr>
            <w:r>
              <w:rPr>
                <w:rFonts w:ascii="Arial" w:cs="Arial" w:eastAsia="Arial" w:hAnsi="Arial"/>
                <w:sz w:val="17"/>
                <w:szCs w:val="17"/>
                <w:color w:val="auto"/>
              </w:rPr>
              <w:t>Total other (expense) income</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(772)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(12,276)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(4,302)</w:t>
            </w:r>
          </w:p>
        </w:tc>
      </w:tr>
      <w:tr>
        <w:trPr>
          <w:trHeight w:val="207"/>
        </w:trPr>
        <w:tc>
          <w:tcPr>
            <w:tcW w:w="8720" w:type="dxa"/>
            <w:vAlign w:val="bottom"/>
          </w:tcPr>
          <w:p>
            <w:pPr>
              <w:spacing w:after="0"/>
              <w:rPr>
                <w:sz w:val="20"/>
                <w:szCs w:val="20"/>
                <w:color w:val="auto"/>
              </w:rPr>
            </w:pPr>
            <w:r>
              <w:rPr>
                <w:rFonts w:ascii="Arial" w:cs="Arial" w:eastAsia="Arial" w:hAnsi="Arial"/>
                <w:sz w:val="17"/>
                <w:szCs w:val="17"/>
                <w:color w:val="auto"/>
              </w:rPr>
              <w:t>Provision for pension benefit obligation</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(12,140)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(4,302)</w:t>
            </w:r>
          </w:p>
        </w:tc>
      </w:tr>
      <w:tr>
        <w:trPr>
          <w:trHeight w:val="274"/>
        </w:trPr>
        <w:tc>
          <w:tcPr>
            <w:tcW w:w="8720" w:type="dxa"/>
            <w:vAlign w:val="bottom"/>
          </w:tcPr>
          <w:p>
            <w:pPr>
              <w:spacing w:after="0"/>
              <w:rPr>
                <w:sz w:val="20"/>
                <w:szCs w:val="20"/>
                <w:color w:val="auto"/>
              </w:rPr>
            </w:pPr>
            <w:r>
              <w:rPr>
                <w:rFonts w:ascii="Arial" w:cs="Arial" w:eastAsia="Arial" w:hAnsi="Arial"/>
                <w:sz w:val="17"/>
                <w:szCs w:val="17"/>
                <w:color w:val="auto"/>
              </w:rPr>
              <w:t>Reconciliation of net loss to net loss attributable to common stockholders</w:t>
            </w: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(12,276)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(4,302)</w:t>
            </w:r>
          </w:p>
        </w:tc>
      </w:tr>
      <w:tr>
        <w:trPr>
          <w:trHeight w:val="20"/>
        </w:trPr>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872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(0.86)</w:t>
            </w:r>
          </w:p>
        </w:tc>
      </w:tr>
      <w:tr>
        <w:trPr>
          <w:trHeight w:val="204"/>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outstanding used in computing net loss per common share—basic</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diluted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6,034,427</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00" w:type="dxa"/>
            <w:vAlign w:val="bottom"/>
            <w:shd w:val="clear" w:color="auto" w:fill="CCEEFF"/>
          </w:tcPr>
          <w:p>
            <w:pPr>
              <w:spacing w:after="0"/>
              <w:rPr>
                <w:sz w:val="17"/>
                <w:szCs w:val="17"/>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condensed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456"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ind w:right="1180"/>
        <w:spacing w:after="0" w:line="256" w:lineRule="auto"/>
        <w:rPr>
          <w:sz w:val="20"/>
          <w:szCs w:val="20"/>
          <w:color w:val="auto"/>
        </w:rPr>
      </w:pPr>
      <w:r>
        <w:rPr>
          <w:rFonts w:ascii="Arial" w:cs="Arial" w:eastAsia="Arial" w:hAnsi="Arial"/>
          <w:sz w:val="32"/>
          <w:szCs w:val="32"/>
          <w:b w:val="1"/>
          <w:bCs w:val="1"/>
          <w:color w:val="auto"/>
        </w:rPr>
        <w:t>Condensed combined and consolidated statements of convertible preferred stock and stockholders’ deficit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Convertible</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2060" w:type="dxa"/>
            <w:vAlign w:val="bottom"/>
            <w:tcBorders>
              <w:right w:val="single" w:sz="8" w:color="auto"/>
            </w:tcBorders>
            <w:gridSpan w:val="6"/>
          </w:tcPr>
          <w:p>
            <w:pPr>
              <w:jc w:val="right"/>
              <w:ind w:right="200"/>
              <w:spacing w:after="0" w:line="137" w:lineRule="exact"/>
              <w:rPr>
                <w:sz w:val="20"/>
                <w:szCs w:val="20"/>
                <w:color w:val="auto"/>
              </w:rPr>
            </w:pPr>
            <w:r>
              <w:rPr>
                <w:rFonts w:ascii="Arial" w:cs="Arial" w:eastAsia="Arial" w:hAnsi="Arial"/>
                <w:sz w:val="13"/>
                <w:szCs w:val="13"/>
                <w:b w:val="1"/>
                <w:bCs w:val="1"/>
                <w:color w:val="auto"/>
              </w:rPr>
              <w:t>preferred stock</w:t>
            </w:r>
          </w:p>
        </w:tc>
        <w:tc>
          <w:tcPr>
            <w:tcW w:w="160" w:type="dxa"/>
            <w:vAlign w:val="bottom"/>
          </w:tcPr>
          <w:p>
            <w:pPr>
              <w:spacing w:after="0"/>
              <w:rPr>
                <w:sz w:val="11"/>
                <w:szCs w:val="11"/>
                <w:color w:val="auto"/>
              </w:rPr>
            </w:pPr>
          </w:p>
        </w:tc>
        <w:tc>
          <w:tcPr>
            <w:tcW w:w="1760" w:type="dxa"/>
            <w:vAlign w:val="bottom"/>
            <w:gridSpan w:val="5"/>
          </w:tcPr>
          <w:p>
            <w:pPr>
              <w:jc w:val="right"/>
              <w:ind w:right="220"/>
              <w:spacing w:after="0" w:line="137" w:lineRule="exact"/>
              <w:rPr>
                <w:sz w:val="20"/>
                <w:szCs w:val="20"/>
                <w:color w:val="auto"/>
              </w:rPr>
            </w:pPr>
            <w:r>
              <w:rPr>
                <w:rFonts w:ascii="Arial" w:cs="Arial" w:eastAsia="Arial" w:hAnsi="Arial"/>
                <w:sz w:val="13"/>
                <w:szCs w:val="13"/>
                <w:b w:val="1"/>
                <w:bCs w:val="1"/>
                <w:color w:val="auto"/>
              </w:rPr>
              <w:t>Common stock</w:t>
            </w:r>
          </w:p>
        </w:tc>
        <w:tc>
          <w:tcPr>
            <w:tcW w:w="7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260"/>
              <w:spacing w:after="0" w:line="137"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(in thousands, except share</w:t>
            </w: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vMerge w:val="restart"/>
          </w:tcPr>
          <w:p>
            <w:pPr>
              <w:jc w:val="right"/>
              <w:ind w:right="100"/>
              <w:spacing w:after="0" w:line="148"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2"/>
                <w:szCs w:val="2"/>
                <w:color w:val="auto"/>
              </w:rPr>
            </w:pPr>
          </w:p>
        </w:tc>
        <w:tc>
          <w:tcPr>
            <w:tcW w:w="1240" w:type="dxa"/>
            <w:vAlign w:val="bottom"/>
            <w:gridSpan w:val="3"/>
            <w:vMerge w:val="restart"/>
          </w:tcPr>
          <w:p>
            <w:pPr>
              <w:spacing w:after="0" w:line="148"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3"/>
            <w:vMerge w:val="restart"/>
          </w:tcPr>
          <w:p>
            <w:pPr>
              <w:ind w:left="20"/>
              <w:spacing w:after="0" w:line="148"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3"/>
            <w:vMerge w:val="restart"/>
          </w:tcPr>
          <w:p>
            <w:pPr>
              <w:spacing w:after="0" w:line="148"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00"/>
        </w:trPr>
        <w:tc>
          <w:tcPr>
            <w:tcW w:w="30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amounts)</w:t>
            </w:r>
          </w:p>
        </w:tc>
        <w:tc>
          <w:tcPr>
            <w:tcW w:w="108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Balance—January 1, 2020</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18,950</w:t>
            </w:r>
          </w:p>
        </w:tc>
        <w:tc>
          <w:tcPr>
            <w:tcW w:w="20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50</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(12,198)</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(12,148)</w:t>
            </w:r>
          </w:p>
        </w:tc>
        <w:tc>
          <w:tcPr>
            <w:tcW w:w="0" w:type="dxa"/>
            <w:vAlign w:val="bottom"/>
          </w:tcPr>
          <w:p>
            <w:pPr>
              <w:spacing w:after="0"/>
              <w:rPr>
                <w:sz w:val="1"/>
                <w:szCs w:val="1"/>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(4,302)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tcPr>
          <w:p>
            <w:pPr>
              <w:spacing w:after="0"/>
              <w:rPr>
                <w:sz w:val="20"/>
                <w:szCs w:val="20"/>
                <w:color w:val="auto"/>
              </w:rPr>
            </w:pPr>
            <w:r>
              <w:rPr>
                <w:rFonts w:ascii="Arial" w:cs="Arial" w:eastAsia="Arial" w:hAnsi="Arial"/>
                <w:sz w:val="17"/>
                <w:szCs w:val="17"/>
                <w:color w:val="auto"/>
              </w:rPr>
              <w:t>Balance—March 31, 2020</w:t>
            </w:r>
          </w:p>
        </w:tc>
        <w:tc>
          <w:tcPr>
            <w:tcW w:w="1040" w:type="dxa"/>
            <w:vAlign w:val="bottom"/>
          </w:tcPr>
          <w:p>
            <w:pPr>
              <w:jc w:val="right"/>
              <w:spacing w:after="0"/>
              <w:rPr>
                <w:sz w:val="20"/>
                <w:szCs w:val="20"/>
                <w:color w:val="auto"/>
              </w:rPr>
            </w:pPr>
            <w:r>
              <w:rPr>
                <w:rFonts w:ascii="Arial" w:cs="Arial" w:eastAsia="Arial" w:hAnsi="Arial"/>
                <w:sz w:val="17"/>
                <w:szCs w:val="17"/>
                <w:color w:val="auto"/>
              </w:rPr>
              <w:t>19,250,000</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18,950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(16,500)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(16,439)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53,631,514</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67,764</w:t>
            </w: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5,950,779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(48,077)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(48,728)</w:t>
            </w:r>
          </w:p>
        </w:tc>
        <w:tc>
          <w:tcPr>
            <w:tcW w:w="0" w:type="dxa"/>
            <w:vAlign w:val="bottom"/>
          </w:tcPr>
          <w:p>
            <w:pPr>
              <w:spacing w:after="0"/>
              <w:rPr>
                <w:sz w:val="1"/>
                <w:szCs w:val="1"/>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Vesting of restricted common stock</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129,126</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net of issuance</w:t>
            </w: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costs of $69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68,571</w:t>
            </w: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020" w:type="dxa"/>
            <w:vAlign w:val="bottom"/>
          </w:tcPr>
          <w:p>
            <w:pPr>
              <w:spacing w:after="0"/>
              <w:rPr>
                <w:sz w:val="20"/>
                <w:szCs w:val="20"/>
                <w:color w:val="auto"/>
              </w:rPr>
            </w:pPr>
            <w:r>
              <w:rPr>
                <w:rFonts w:ascii="Arial" w:cs="Arial" w:eastAsia="Arial" w:hAnsi="Arial"/>
                <w:sz w:val="17"/>
                <w:szCs w:val="17"/>
                <w:color w:val="auto"/>
              </w:rPr>
              <w:t>Issuance of Series C convertible</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20"/>
              <w:spacing w:after="0"/>
              <w:rPr>
                <w:sz w:val="20"/>
                <w:szCs w:val="20"/>
                <w:color w:val="auto"/>
              </w:rPr>
            </w:pPr>
            <w:r>
              <w:rPr>
                <w:rFonts w:ascii="Arial" w:cs="Arial" w:eastAsia="Arial" w:hAnsi="Arial"/>
                <w:sz w:val="17"/>
                <w:szCs w:val="17"/>
                <w:color w:val="auto"/>
              </w:rPr>
              <w:t>preferred stock, net of issuance</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tcPr>
          <w:p>
            <w:pPr>
              <w:ind w:left="220"/>
              <w:spacing w:after="0"/>
              <w:rPr>
                <w:sz w:val="20"/>
                <w:szCs w:val="20"/>
                <w:color w:val="auto"/>
              </w:rPr>
            </w:pPr>
            <w:r>
              <w:rPr>
                <w:rFonts w:ascii="Arial" w:cs="Arial" w:eastAsia="Arial" w:hAnsi="Arial"/>
                <w:sz w:val="17"/>
                <w:szCs w:val="17"/>
                <w:color w:val="auto"/>
              </w:rPr>
              <w:t>costs of $163</w:t>
            </w:r>
          </w:p>
        </w:tc>
        <w:tc>
          <w:tcPr>
            <w:tcW w:w="1040" w:type="dxa"/>
            <w:vAlign w:val="bottom"/>
          </w:tcPr>
          <w:p>
            <w:pPr>
              <w:jc w:val="right"/>
              <w:spacing w:after="0"/>
              <w:rPr>
                <w:sz w:val="20"/>
                <w:szCs w:val="20"/>
                <w:color w:val="auto"/>
              </w:rPr>
            </w:pPr>
            <w:r>
              <w:rPr>
                <w:rFonts w:ascii="Arial" w:cs="Arial" w:eastAsia="Arial" w:hAnsi="Arial"/>
                <w:sz w:val="17"/>
                <w:szCs w:val="17"/>
                <w:color w:val="auto"/>
              </w:rPr>
              <w:t>32,054,521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94,837</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pension benefit</w:t>
            </w: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obligation</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(12,276)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(12,276)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7"/>
                <w:szCs w:val="17"/>
                <w:color w:val="auto"/>
              </w:rPr>
              <w:t>Balance—March 31, 2021</w:t>
            </w:r>
          </w:p>
        </w:tc>
        <w:tc>
          <w:tcPr>
            <w:tcW w:w="1040" w:type="dxa"/>
            <w:vAlign w:val="bottom"/>
          </w:tcPr>
          <w:p>
            <w:pPr>
              <w:jc w:val="right"/>
              <w:spacing w:after="0"/>
              <w:rPr>
                <w:sz w:val="20"/>
                <w:szCs w:val="20"/>
                <w:color w:val="auto"/>
              </w:rPr>
            </w:pPr>
            <w:r>
              <w:rPr>
                <w:rFonts w:ascii="Arial" w:cs="Arial" w:eastAsia="Arial" w:hAnsi="Arial"/>
                <w:sz w:val="17"/>
                <w:szCs w:val="17"/>
                <w:color w:val="auto"/>
              </w:rPr>
              <w:t>109,686,035</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231,172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6,079,905</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(920)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(60,353)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(60,616)</w:t>
            </w: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condensed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456"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combined and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359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420" w:type="dxa"/>
            <w:vAlign w:val="bottom"/>
          </w:tcPr>
          <w:p>
            <w:pPr>
              <w:spacing w:after="0"/>
              <w:rPr>
                <w:sz w:val="17"/>
                <w:szCs w:val="17"/>
                <w:color w:val="auto"/>
              </w:rPr>
            </w:pPr>
          </w:p>
        </w:tc>
        <w:tc>
          <w:tcPr>
            <w:tcW w:w="1820" w:type="dxa"/>
            <w:vAlign w:val="bottom"/>
            <w:gridSpan w:val="7"/>
          </w:tcPr>
          <w:p>
            <w:pPr>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942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March 31,</w:t>
            </w:r>
          </w:p>
        </w:tc>
      </w:tr>
      <w:tr>
        <w:trPr>
          <w:trHeight w:val="194"/>
        </w:trPr>
        <w:tc>
          <w:tcPr>
            <w:tcW w:w="94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(unaudited)</w:t>
            </w: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100"/>
              <w:spacing w:after="0" w:line="194" w:lineRule="exact"/>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47"/>
        </w:trPr>
        <w:tc>
          <w:tcPr>
            <w:tcW w:w="9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942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(12,276)</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(4,302)</w:t>
            </w:r>
          </w:p>
        </w:tc>
      </w:tr>
      <w:tr>
        <w:trPr>
          <w:trHeight w:val="55"/>
        </w:trPr>
        <w:tc>
          <w:tcPr>
            <w:tcW w:w="9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942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r>
      <w:tr>
        <w:trPr>
          <w:trHeight w:val="212"/>
        </w:trPr>
        <w:tc>
          <w:tcPr>
            <w:tcW w:w="9420" w:type="dxa"/>
            <w:vAlign w:val="bottom"/>
          </w:tcPr>
          <w:p>
            <w:pPr>
              <w:ind w:left="220"/>
              <w:spacing w:after="0"/>
              <w:rPr>
                <w:sz w:val="20"/>
                <w:szCs w:val="20"/>
                <w:color w:val="auto"/>
              </w:rPr>
            </w:pPr>
            <w:r>
              <w:rPr>
                <w:rFonts w:ascii="Arial" w:cs="Arial" w:eastAsia="Arial" w:hAnsi="Arial"/>
                <w:sz w:val="17"/>
                <w:szCs w:val="17"/>
                <w:color w:val="auto"/>
              </w:rPr>
              <w:t>Changes in fair value of preferred stock tranche obligations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55"/>
        </w:trPr>
        <w:tc>
          <w:tcPr>
            <w:tcW w:w="9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942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(1,381)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r>
      <w:tr>
        <w:trPr>
          <w:trHeight w:val="201"/>
        </w:trPr>
        <w:tc>
          <w:tcPr>
            <w:tcW w:w="9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7"/>
                <w:szCs w:val="17"/>
                <w:color w:val="auto"/>
              </w:rPr>
            </w:pPr>
          </w:p>
        </w:tc>
      </w:tr>
      <w:tr>
        <w:trPr>
          <w:trHeight w:val="201"/>
        </w:trPr>
        <w:tc>
          <w:tcPr>
            <w:tcW w:w="9420" w:type="dxa"/>
            <w:vAlign w:val="bottom"/>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7"/>
                <w:szCs w:val="17"/>
                <w:color w:val="auto"/>
              </w:rPr>
            </w:pPr>
          </w:p>
        </w:tc>
      </w:tr>
      <w:tr>
        <w:trPr>
          <w:trHeight w:val="27"/>
        </w:trPr>
        <w:tc>
          <w:tcPr>
            <w:tcW w:w="9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94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operating activities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(3,376)</w:t>
            </w:r>
          </w:p>
        </w:tc>
      </w:tr>
      <w:tr>
        <w:trPr>
          <w:trHeight w:val="274"/>
        </w:trPr>
        <w:tc>
          <w:tcPr>
            <w:tcW w:w="942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r>
      <w:tr>
        <w:trPr>
          <w:trHeight w:val="20"/>
        </w:trPr>
        <w:tc>
          <w:tcPr>
            <w:tcW w:w="9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9420" w:type="dxa"/>
            <w:vAlign w:val="bottom"/>
          </w:tcPr>
          <w:p>
            <w:pPr>
              <w:ind w:left="44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(2,217)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74"/>
        </w:trPr>
        <w:tc>
          <w:tcPr>
            <w:tcW w:w="94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9420" w:type="dxa"/>
            <w:vAlign w:val="bottom"/>
          </w:tcPr>
          <w:p>
            <w:pPr>
              <w:ind w:left="220"/>
              <w:spacing w:after="0"/>
              <w:rPr>
                <w:sz w:val="20"/>
                <w:szCs w:val="20"/>
                <w:color w:val="auto"/>
              </w:rPr>
            </w:pPr>
            <w:r>
              <w:rPr>
                <w:rFonts w:ascii="Arial" w:cs="Arial" w:eastAsia="Arial" w:hAnsi="Arial"/>
                <w:sz w:val="17"/>
                <w:szCs w:val="17"/>
                <w:color w:val="auto"/>
              </w:rPr>
              <w:t>Proceeds from issuance of convertible preferred stock</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143,000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 of convertible preferred stock issuance costs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9420" w:type="dxa"/>
            <w:vAlign w:val="bottom"/>
          </w:tcPr>
          <w:p>
            <w:pPr>
              <w:ind w:left="440"/>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142,769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(3,389)</w:t>
            </w:r>
          </w:p>
        </w:tc>
      </w:tr>
      <w:tr>
        <w:trPr>
          <w:trHeight w:val="207"/>
        </w:trPr>
        <w:tc>
          <w:tcPr>
            <w:tcW w:w="9420" w:type="dxa"/>
            <w:vAlign w:val="bottom"/>
          </w:tcPr>
          <w:p>
            <w:pPr>
              <w:spacing w:after="0"/>
              <w:rPr>
                <w:sz w:val="20"/>
                <w:szCs w:val="20"/>
                <w:color w:val="auto"/>
              </w:rPr>
            </w:pPr>
            <w:r>
              <w:rPr>
                <w:rFonts w:ascii="Arial" w:cs="Arial" w:eastAsia="Arial" w:hAnsi="Arial"/>
                <w:sz w:val="17"/>
                <w:szCs w:val="17"/>
                <w:color w:val="auto"/>
              </w:rPr>
              <w:t>Cash, cash equivalents and restricted cash—beginning of period</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9,245</w:t>
            </w:r>
          </w:p>
        </w:tc>
        <w:tc>
          <w:tcPr>
            <w:tcW w:w="100" w:type="dxa"/>
            <w:vAlign w:val="bottom"/>
          </w:tcPr>
          <w:p>
            <w:pPr>
              <w:spacing w:after="0"/>
              <w:rPr>
                <w:sz w:val="18"/>
                <w:szCs w:val="18"/>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cash—end of period</w:t>
            </w:r>
          </w:p>
        </w:tc>
        <w:tc>
          <w:tcPr>
            <w:tcW w:w="12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169,600</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100" w:type="dxa"/>
            <w:vAlign w:val="bottom"/>
            <w:shd w:val="clear" w:color="auto" w:fill="CCEEFF"/>
          </w:tcPr>
          <w:p>
            <w:pPr>
              <w:spacing w:after="0"/>
              <w:rPr>
                <w:sz w:val="17"/>
                <w:szCs w:val="17"/>
                <w:color w:val="auto"/>
              </w:rPr>
            </w:pPr>
          </w:p>
        </w:tc>
      </w:tr>
      <w:tr>
        <w:trPr>
          <w:trHeight w:val="274"/>
        </w:trPr>
        <w:tc>
          <w:tcPr>
            <w:tcW w:w="9420" w:type="dxa"/>
            <w:vAlign w:val="bottom"/>
          </w:tcPr>
          <w:p>
            <w:pPr>
              <w:spacing w:after="0"/>
              <w:rPr>
                <w:sz w:val="20"/>
                <w:szCs w:val="20"/>
                <w:color w:val="auto"/>
              </w:rPr>
            </w:pPr>
            <w:r>
              <w:rPr>
                <w:rFonts w:ascii="Arial" w:cs="Arial" w:eastAsia="Arial" w:hAnsi="Arial"/>
                <w:sz w:val="17"/>
                <w:szCs w:val="17"/>
                <w:color w:val="auto"/>
              </w:rPr>
              <w:t>Reconciliation of cash, cash equivalents and restricted cash</w:t>
            </w:r>
          </w:p>
        </w:tc>
        <w:tc>
          <w:tcPr>
            <w:tcW w:w="1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168,436</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100" w:type="dxa"/>
            <w:vAlign w:val="bottom"/>
            <w:shd w:val="clear" w:color="auto" w:fill="CCEEFF"/>
          </w:tcPr>
          <w:p>
            <w:pPr>
              <w:spacing w:after="0"/>
              <w:rPr>
                <w:sz w:val="17"/>
                <w:szCs w:val="17"/>
                <w:color w:val="auto"/>
              </w:rPr>
            </w:pPr>
          </w:p>
        </w:tc>
      </w:tr>
      <w:tr>
        <w:trPr>
          <w:trHeight w:val="207"/>
        </w:trPr>
        <w:tc>
          <w:tcPr>
            <w:tcW w:w="9420" w:type="dxa"/>
            <w:vAlign w:val="bottom"/>
          </w:tcPr>
          <w:p>
            <w:pPr>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cash, cash equivalents and restricted cash</w:t>
            </w:r>
          </w:p>
        </w:tc>
        <w:tc>
          <w:tcPr>
            <w:tcW w:w="12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169,600</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100" w:type="dxa"/>
            <w:vAlign w:val="bottom"/>
            <w:shd w:val="clear" w:color="auto" w:fill="CCEEFF"/>
          </w:tcPr>
          <w:p>
            <w:pPr>
              <w:spacing w:after="0"/>
              <w:rPr>
                <w:sz w:val="17"/>
                <w:szCs w:val="17"/>
                <w:color w:val="auto"/>
              </w:rPr>
            </w:pPr>
          </w:p>
        </w:tc>
      </w:tr>
      <w:tr>
        <w:trPr>
          <w:trHeight w:val="274"/>
        </w:trPr>
        <w:tc>
          <w:tcPr>
            <w:tcW w:w="9420" w:type="dxa"/>
            <w:vAlign w:val="bottom"/>
          </w:tcPr>
          <w:p>
            <w:pPr>
              <w:spacing w:after="0"/>
              <w:rPr>
                <w:sz w:val="20"/>
                <w:szCs w:val="20"/>
                <w:color w:val="auto"/>
              </w:rPr>
            </w:pPr>
            <w:r>
              <w:rPr>
                <w:rFonts w:ascii="Arial" w:cs="Arial" w:eastAsia="Arial" w:hAnsi="Arial"/>
                <w:sz w:val="17"/>
                <w:szCs w:val="17"/>
                <w:color w:val="auto"/>
              </w:rPr>
              <w:t>Supplemental disclosure of noncash items</w:t>
            </w:r>
          </w:p>
        </w:tc>
        <w:tc>
          <w:tcPr>
            <w:tcW w:w="1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9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Settlement of preferred stock tranche obligation</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7"/>
                <w:szCs w:val="17"/>
                <w:color w:val="auto"/>
              </w:rPr>
            </w:pPr>
          </w:p>
        </w:tc>
      </w:tr>
      <w:tr>
        <w:trPr>
          <w:trHeight w:val="213"/>
        </w:trPr>
        <w:tc>
          <w:tcPr>
            <w:tcW w:w="94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Purchases of property and equipment in accounts payable</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 condensed combined and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240"/>
          </w:cols>
          <w:pgMar w:left="320" w:top="456"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the condensed combined and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Description of business, contribution and exchange, and liquidity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13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Monte Rosa Therapeutics, Inc. is a biopharmaceutical company developing a portfolio of novel small molecule precision medicines that employ the body’s natural mechanisms to selectively degrade therapeutically-relevant proteins. As used in these condensed combined and consolidated financial statements, unless the context otherwise requires, references to the Company or Monte Rosa refer to Monte Rosa Therapeutics, Inc. and its wholly owned subsidiaries Monte Rosa Therapeutics AG and Monte Rosa Therapeutics Securities Corp. The Company was incorporated in Delaware in November 2019 and is headquartered in Boston, Massachusetts with research operations in both Boston and Basel, Switzerland.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and exchange</w:t>
      </w:r>
    </w:p>
    <w:p>
      <w:pPr>
        <w:spacing w:after="0" w:line="13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Monte Rosa Therapeutics AG, a Swiss operating company, was incorporated in April 2018. Monte Rosa Therapeutics, Inc. was incorporated in November 2019. In 2020, Monte Rosa Therapeutics, Inc. and Monte Rosa Therapeutics AG, entities under common control since the incorporation of Monte Rosa Therapeutics, Inc., consummated a contribution and exchange agreement, or the Contribution and Exchange, whereby Monte Rosa Therapeutics, Inc. acquired the net assets and shareholdings of Monte Rosa Therapeutics AG via a one-for-one exchange of equity between Monte Rosa Therapeutics, Inc. and the shareholders of Monte Rosa Therapeutics AG in a common control reorganization. Accordingly, the historical financial information has been retrospectively adjusted to include the historical results and financial position of Monte Rosa Therapeutics, Inc. combined with Monte Rosa Therapeutics AG’s historical results and financial position, after the elimination of all intercompany accounts and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considerations</w:t>
      </w:r>
    </w:p>
    <w:p>
      <w:pPr>
        <w:spacing w:after="0" w:line="13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Since inception, the Company has devoted substantially all its efforts to business planning, research and development, recruiting management and technical staff, and raising capital and has financed its operations primarily through the issuance of convertible preferred shares.</w:t>
      </w:r>
    </w:p>
    <w:p>
      <w:pPr>
        <w:spacing w:after="0" w:line="8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The Company’s continued discovery and development of its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product development efforts are successful, it is uncertain when, if ever, the Company will realize significant revenue from product sales.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 of March 31, 2021, the Company had an accumulated deficit of $60.4 million. The Company has incurred losses and negative cash flows from operations since inception, including net losses of $12.3 million and $4.3 million for the three months ended March 31, 2021 and 2020, respectively. The Company expects that its operating losses and negative cash flows will continue for the foreseeable future as the Company continues to develop its product candidates. The Company currently expects that its cash and cash equivalents of $168.4 million as of March 31, 2021 will be sufficient to fund operating expenses and capital requirements for at least 12 months from the date the condensed combined and consolidated financial statements are issued. However, additional funding will be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160"/>
          </w:cols>
          <w:pgMar w:left="320" w:top="456"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necessary to fund future discovery research, pre-clinical and clinical activities. The Company will seek additional funding through public financings, debt financings, collaboration agreements, strategic alliances and licensing arrangements. Although it has been successful in raising capital in the past, there is no assurance that the Company will be successful in obtaining such additional financing on terms acceptable to it, if at all, and the Company may not be able to enter into collaborations or other arrangements. If the Company is unable to obtain funding, it could be forced to delay, reduce or eliminate its research and development programs, product portfolio expansion or commercialization efforts, which could adversely affect the Company’s business prospects, even the ability to continue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Coronavirus pandemic</w:t>
      </w:r>
    </w:p>
    <w:p>
      <w:pPr>
        <w:spacing w:after="0" w:line="13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coronavirus, or COVID-19, pandemic has spread worldwide, and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the Company’s business and operations are uncertain. To date, our operations have not been significantly impacted by the COVID-19 pandemic.</w:t>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actual and perceived impact of the COVID-19 pandemic is changing daily, and its ultimate effect on the Company cannot be predicted. As a result, there can be no assurance that the Company will not experience additional negative impacts associated with COVID-19, which could be significant. The COVID-19 pandemic may negatively impact the Company’s business, financial condition and results of operations causing interruptions or delays in the Company’s programs and services.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4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There have been no changes to the significant accounting policies as disclosed in Note 2 to the Company’s annual combined and consolidated financial statements for the years ended December 31, 2020 and 2019 included in this Form S-1.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Financial Information</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Company’s condensed combined and consolidated financial statements included herein have been prepared in conformity with accounting principles generally accepted in the United States of America, or GAAP, and pursuant to the rules and regulations of the Securities and Exchange Commission, or SEC. In the Company’s opinion, the information furnished reflects all adjustments, all of which are of a normal and recurring nature, necessary for a fair presentation of the financial position and results of operations for the reported interim periods. The Company consider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3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Company has elected to use the extended transition period for complying with new or revised accounting standards as available under the Jumpstart Our Business Startups Act (JOBS Act).</w:t>
      </w:r>
    </w:p>
    <w:p>
      <w:pPr>
        <w:spacing w:after="0" w:line="62"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 amended, or ASU 2016-02, with guidance regarding the accounting for and disclosure of leases. The update requires lessees to recognize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456"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liabilities related all leases, including operating leases, with a term greater than 12 months on the balance sheet. This update also requires lessees and lessors to disclose key information about their leasing transactions. This standard is effective for annual reporting periods beginning after December 15, 2021, and interim periods within annual periods beginning after December 15, 2022. Early adoption is permitted. The Company is currently assessing the potential impact of adopting ASU 2016-02 on its financial statements and financial statement disclosures.</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ASU 2016-13 requires measurement and recognition of expected credit losses for financial assets. In April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FASB issued clarification to ASU 2016-13 within ASU 2019-04,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Derivatives and Hedging</w:t>
      </w:r>
      <w:r>
        <w:rPr>
          <w:rFonts w:ascii="Arial" w:cs="Arial" w:eastAsia="Arial" w:hAnsi="Arial"/>
          <w:sz w:val="17"/>
          <w:szCs w:val="17"/>
          <w:color w:val="auto"/>
        </w:rPr>
        <w:t>,</w:t>
      </w:r>
      <w:r>
        <w:rPr>
          <w:rFonts w:ascii="Arial" w:cs="Arial" w:eastAsia="Arial" w:hAnsi="Arial"/>
          <w:sz w:val="17"/>
          <w:szCs w:val="17"/>
          <w:i w:val="1"/>
          <w:iCs w:val="1"/>
          <w:color w:val="auto"/>
        </w:rPr>
        <w:t xml:space="preserve"> and Topic 825, Financial Instruments</w:t>
      </w:r>
      <w:r>
        <w:rPr>
          <w:rFonts w:ascii="Arial" w:cs="Arial" w:eastAsia="Arial" w:hAnsi="Arial"/>
          <w:sz w:val="17"/>
          <w:szCs w:val="17"/>
          <w:color w:val="auto"/>
        </w:rPr>
        <w:t>, or ASU 2016-13. The guidance is effective for fiscal years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after December 15, 2022. The Company is currently assessing the potential impact of adopting ASU 2016-13 on its financial statements and financial statement disclosures.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2021, and interim periods within fiscal years beginning after December 15, 2022. Early adoption is permitted. The Company is currently assessing the impact adoption of ASU 2019-12 will have on the financial statements and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Hedging Contracts in Entity s Own Equity (Subtopic 815-40): Accounting for Convertible Instruments and Contracts in an Entity’s Own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w:t>
      </w:r>
      <w:r>
        <w:rPr>
          <w:rFonts w:ascii="Arial" w:cs="Arial" w:eastAsia="Arial" w:hAnsi="Arial"/>
          <w:sz w:val="17"/>
          <w:szCs w:val="17"/>
          <w:color w:val="auto"/>
        </w:rPr>
        <w:t>. ASU 2020-06 will simplify the accounting for convertible instruments by reducing the number of accounting models for convertible debt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instruments and convertible preferred stock. Limiting the accounting models results in fewer embedded conversion features being separately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recognized from the host contract as compared with current GAAP. Convertible instruments that continue to be subject to separation models are</w:t>
      </w:r>
    </w:p>
    <w:p>
      <w:pPr>
        <w:spacing w:after="0" w:line="5" w:lineRule="exact"/>
        <w:rPr>
          <w:sz w:val="20"/>
          <w:szCs w:val="20"/>
          <w:color w:val="auto"/>
        </w:rPr>
      </w:pPr>
    </w:p>
    <w:p>
      <w:pPr>
        <w:ind w:right="80" w:firstLine="7"/>
        <w:spacing w:after="0" w:line="249" w:lineRule="auto"/>
        <w:tabs>
          <w:tab w:leader="none" w:pos="20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those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currently assessing the impact adoption of ASU 2020-06 will have on the financial statements and disclosures.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220"/>
          </w:cols>
          <w:pgMar w:left="320" w:top="456" w:right="3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Fair value measurements</w:t>
      </w:r>
    </w:p>
    <w:p>
      <w:pPr>
        <w:spacing w:after="0" w:line="142"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As of March 31, 2021</w:t>
            </w:r>
          </w:p>
        </w:tc>
        <w:tc>
          <w:tcPr>
            <w:tcW w:w="60" w:type="dxa"/>
            <w:vAlign w:val="bottom"/>
          </w:tcPr>
          <w:p>
            <w:pPr>
              <w:spacing w:after="0"/>
              <w:rPr>
                <w:sz w:val="19"/>
                <w:szCs w:val="19"/>
                <w:color w:val="auto"/>
              </w:rPr>
            </w:pPr>
          </w:p>
        </w:tc>
      </w:tr>
      <w:tr>
        <w:trPr>
          <w:trHeight w:val="221"/>
        </w:trPr>
        <w:tc>
          <w:tcPr>
            <w:tcW w:w="7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b w:val="1"/>
                <w:bCs w:val="1"/>
                <w:color w:val="auto"/>
              </w:rPr>
              <w:t>Level 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b w:val="1"/>
                <w:bCs w:val="1"/>
                <w:color w:val="auto"/>
              </w:rPr>
              <w:t>Level 2</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0"/>
              <w:spacing w:after="0"/>
              <w:rPr>
                <w:sz w:val="20"/>
                <w:szCs w:val="20"/>
                <w:color w:val="auto"/>
              </w:rPr>
            </w:pPr>
            <w:r>
              <w:rPr>
                <w:rFonts w:ascii="Arial" w:cs="Arial" w:eastAsia="Arial" w:hAnsi="Arial"/>
                <w:sz w:val="17"/>
                <w:szCs w:val="17"/>
                <w:b w:val="1"/>
                <w:bCs w:val="1"/>
                <w:color w:val="auto"/>
              </w:rPr>
              <w:t>Total</w:t>
            </w:r>
          </w:p>
        </w:tc>
      </w:tr>
      <w:tr>
        <w:trPr>
          <w:trHeight w:val="47"/>
        </w:trPr>
        <w:tc>
          <w:tcPr>
            <w:tcW w:w="7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assets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7"/>
                <w:szCs w:val="17"/>
                <w:color w:val="auto"/>
              </w:rPr>
              <w:t>Money market funds</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$ 160,818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$ 160,818</w:t>
            </w:r>
          </w:p>
        </w:tc>
        <w:tc>
          <w:tcPr>
            <w:tcW w:w="60" w:type="dxa"/>
            <w:vAlign w:val="bottom"/>
          </w:tcPr>
          <w:p>
            <w:pPr>
              <w:spacing w:after="0"/>
              <w:rPr>
                <w:sz w:val="17"/>
                <w:szCs w:val="17"/>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plan assets(1)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60" w:type="dxa"/>
            <w:vAlign w:val="bottom"/>
            <w:shd w:val="clear" w:color="auto" w:fill="CCEEFF"/>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7520" w:type="dxa"/>
            <w:vAlign w:val="bottom"/>
          </w:tcPr>
          <w:p>
            <w:pPr>
              <w:ind w:left="440"/>
              <w:spacing w:after="0"/>
              <w:rPr>
                <w:sz w:val="20"/>
                <w:szCs w:val="20"/>
                <w:color w:val="auto"/>
              </w:rPr>
            </w:pPr>
            <w:r>
              <w:rPr>
                <w:rFonts w:ascii="Arial" w:cs="Arial" w:eastAsia="Arial" w:hAnsi="Arial"/>
                <w:sz w:val="17"/>
                <w:szCs w:val="17"/>
                <w:color w:val="auto"/>
              </w:rPr>
              <w:t>Total assets measured at fair value</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97"/>
              </w:rPr>
              <w:t>$ 160,818</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$ 162,030</w:t>
            </w:r>
          </w:p>
        </w:tc>
        <w:tc>
          <w:tcPr>
            <w:tcW w:w="60" w:type="dxa"/>
            <w:vAlign w:val="bottom"/>
          </w:tcPr>
          <w:p>
            <w:pPr>
              <w:spacing w:after="0"/>
              <w:rPr>
                <w:sz w:val="18"/>
                <w:szCs w:val="18"/>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Current assets</w:t>
            </w:r>
          </w:p>
        </w:tc>
        <w:tc>
          <w:tcPr>
            <w:tcW w:w="2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b w:val="1"/>
                <w:bCs w:val="1"/>
                <w:color w:val="auto"/>
              </w:rPr>
              <w:t>As of December 31, 2020</w:t>
            </w:r>
          </w:p>
        </w:tc>
        <w:tc>
          <w:tcPr>
            <w:tcW w:w="60" w:type="dxa"/>
            <w:vAlign w:val="bottom"/>
            <w:tcBorders>
              <w:bottom w:val="single" w:sz="8" w:color="CCEEFF"/>
            </w:tcBorders>
          </w:tcPr>
          <w:p>
            <w:pPr>
              <w:spacing w:after="0"/>
              <w:rPr>
                <w:sz w:val="19"/>
                <w:szCs w:val="19"/>
                <w:color w:val="auto"/>
              </w:rPr>
            </w:pPr>
          </w:p>
        </w:tc>
      </w:tr>
      <w:tr>
        <w:trPr>
          <w:trHeight w:val="194"/>
        </w:trPr>
        <w:tc>
          <w:tcPr>
            <w:tcW w:w="540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Money market funds</w:t>
            </w:r>
          </w:p>
        </w:tc>
        <w:tc>
          <w:tcPr>
            <w:tcW w:w="2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38,712</w:t>
            </w: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38,712</w:t>
            </w:r>
          </w:p>
        </w:tc>
        <w:tc>
          <w:tcPr>
            <w:tcW w:w="60" w:type="dxa"/>
            <w:vAlign w:val="bottom"/>
            <w:shd w:val="clear" w:color="auto" w:fill="CCEEFF"/>
          </w:tcPr>
          <w:p>
            <w:pPr>
              <w:spacing w:after="0"/>
              <w:rPr>
                <w:sz w:val="16"/>
                <w:szCs w:val="16"/>
                <w:color w:val="auto"/>
              </w:rPr>
            </w:pPr>
          </w:p>
        </w:tc>
      </w:tr>
      <w:tr>
        <w:trPr>
          <w:trHeight w:val="201"/>
        </w:trPr>
        <w:tc>
          <w:tcPr>
            <w:tcW w:w="5400" w:type="dxa"/>
            <w:vAlign w:val="bottom"/>
          </w:tcPr>
          <w:p>
            <w:pPr>
              <w:ind w:left="220"/>
              <w:spacing w:after="0"/>
              <w:rPr>
                <w:sz w:val="20"/>
                <w:szCs w:val="20"/>
                <w:color w:val="auto"/>
              </w:rPr>
            </w:pPr>
            <w:r>
              <w:rPr>
                <w:rFonts w:ascii="Arial" w:cs="Arial" w:eastAsia="Arial" w:hAnsi="Arial"/>
                <w:sz w:val="17"/>
                <w:szCs w:val="17"/>
                <w:color w:val="auto"/>
              </w:rPr>
              <w:t>Pension plan assets(1)</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1,217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1,217</w:t>
            </w:r>
          </w:p>
        </w:tc>
        <w:tc>
          <w:tcPr>
            <w:tcW w:w="60" w:type="dxa"/>
            <w:vAlign w:val="bottom"/>
          </w:tcPr>
          <w:p>
            <w:pPr>
              <w:spacing w:after="0"/>
              <w:rPr>
                <w:sz w:val="17"/>
                <w:szCs w:val="17"/>
                <w:color w:val="auto"/>
              </w:rPr>
            </w:pPr>
          </w:p>
        </w:tc>
      </w:tr>
      <w:tr>
        <w:trPr>
          <w:trHeight w:val="27"/>
        </w:trPr>
        <w:tc>
          <w:tcPr>
            <w:tcW w:w="5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5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 measured at fair value</w:t>
            </w:r>
          </w:p>
        </w:tc>
        <w:tc>
          <w:tcPr>
            <w:tcW w:w="2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38,712</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39,929</w:t>
            </w:r>
          </w:p>
        </w:tc>
        <w:tc>
          <w:tcPr>
            <w:tcW w:w="60" w:type="dxa"/>
            <w:vAlign w:val="bottom"/>
            <w:shd w:val="clear" w:color="auto" w:fill="CCEEFF"/>
          </w:tcPr>
          <w:p>
            <w:pPr>
              <w:spacing w:after="0"/>
              <w:rPr>
                <w:sz w:val="17"/>
                <w:szCs w:val="17"/>
                <w:color w:val="auto"/>
              </w:rPr>
            </w:pPr>
          </w:p>
        </w:tc>
      </w:tr>
      <w:tr>
        <w:trPr>
          <w:trHeight w:val="274"/>
        </w:trPr>
        <w:tc>
          <w:tcPr>
            <w:tcW w:w="54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1"/>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tranche obligation</w:t>
            </w:r>
          </w:p>
        </w:tc>
        <w:tc>
          <w:tcPr>
            <w:tcW w:w="2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19,680</w:t>
            </w: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19,680</w:t>
            </w:r>
          </w:p>
        </w:tc>
        <w:tc>
          <w:tcPr>
            <w:tcW w:w="60" w:type="dxa"/>
            <w:vAlign w:val="bottom"/>
            <w:shd w:val="clear" w:color="auto" w:fill="CCEEFF"/>
          </w:tcPr>
          <w:p>
            <w:pPr>
              <w:spacing w:after="0"/>
              <w:rPr>
                <w:sz w:val="17"/>
                <w:szCs w:val="17"/>
                <w:color w:val="auto"/>
              </w:rPr>
            </w:pPr>
          </w:p>
        </w:tc>
      </w:tr>
      <w:tr>
        <w:trPr>
          <w:trHeight w:val="220"/>
        </w:trPr>
        <w:tc>
          <w:tcPr>
            <w:tcW w:w="54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Total liabilities measured at fair value</w:t>
            </w: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19,680</w:t>
            </w: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19,680</w:t>
            </w:r>
          </w:p>
        </w:tc>
        <w:tc>
          <w:tcPr>
            <w:tcW w:w="60" w:type="dxa"/>
            <w:vAlign w:val="bottom"/>
          </w:tcPr>
          <w:p>
            <w:pPr>
              <w:spacing w:after="0"/>
              <w:rPr>
                <w:sz w:val="19"/>
                <w:szCs w:val="19"/>
                <w:color w:val="auto"/>
              </w:rPr>
            </w:pPr>
          </w:p>
        </w:tc>
      </w:tr>
    </w:tbl>
    <w:p>
      <w:pPr>
        <w:spacing w:after="0" w:line="120" w:lineRule="exact"/>
        <w:rPr>
          <w:sz w:val="20"/>
          <w:szCs w:val="20"/>
          <w:color w:val="auto"/>
        </w:rPr>
      </w:pPr>
    </w:p>
    <w:p>
      <w:pPr>
        <w:ind w:left="320" w:right="400" w:hanging="313"/>
        <w:spacing w:after="0" w:line="254" w:lineRule="auto"/>
        <w:tabs>
          <w:tab w:leader="none" w:pos="3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fair value of pension plan assets has been determined as the surrender value of the portfolio of active insured members held within the Swiss Life Collective BVG Foundation collective investment fund.</w:t>
      </w:r>
    </w:p>
    <w:p>
      <w:pPr>
        <w:spacing w:after="0" w:line="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Money market funds are highly liquid investments and are actively traded. The pricing information on the Company’s money market funds are based on quoted prices in active markets for identical securities. This approach results in the classification of these securities as Level 1 of the fair value hierarchy.</w:t>
      </w:r>
    </w:p>
    <w:p>
      <w:pPr>
        <w:spacing w:after="0" w:line="88"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Company’s Series B Preferred Stock Tranche Obligation is measured at fair value using a Black-Scholes option pricing valuation methodology. The fair value of Series B Preferred Stock Tranche Obligation includes inputs not observable in the market and thus represents a Level 3 measurement. The option pricing valuation methodology utilized requires inputs based on certain subjective assumptions, including</w:t>
      </w:r>
    </w:p>
    <w:p>
      <w:pPr>
        <w:spacing w:after="0" w:line="1" w:lineRule="exact"/>
        <w:rPr>
          <w:sz w:val="20"/>
          <w:szCs w:val="20"/>
          <w:color w:val="auto"/>
        </w:rPr>
      </w:pPr>
    </w:p>
    <w:p>
      <w:pPr>
        <w:ind w:right="40" w:firstLine="7"/>
        <w:spacing w:after="0" w:line="246" w:lineRule="auto"/>
        <w:tabs>
          <w:tab w:leader="none" w:pos="20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expected stock price volatility, (ii) calculation of an expected term, (iii) a risk-free interest rate, and (iv) expected dividends. The assumptions utilized to value the Series B Preferred Stock Tranche Obligation as of December 31, 2020 were (i) expected stock price volatility of 93%; (ii) remaining term of 1.7 years; (iii) a risk-free interest rate of 0.12%; and (iv) an expectation of no dividends. The assumptions utilized to value the Series B Preferred Stock Tranche Obligation just prior to settlement were (i) expected stock price volatility of 26%; (ii) remaining term 0.003 years;</w:t>
      </w:r>
    </w:p>
    <w:p>
      <w:pPr>
        <w:ind w:right="180" w:firstLine="7"/>
        <w:spacing w:after="0" w:line="254" w:lineRule="auto"/>
        <w:tabs>
          <w:tab w:leader="none" w:pos="2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risk-free rate of 0.04%; and (iv) an expectation of no dividends. The Series B Preferred Stock Tranche Obligation was extinguished in February 2021 upon the issuance of the Series B Preferred Stock. Immediately prior to the issuance of the Series B Preferred Stock in February 2021, the Company adjusted the carrying value of the liability to its estimated fair value of $20.6 million.</w:t>
      </w:r>
    </w:p>
    <w:p>
      <w:pPr>
        <w:spacing w:after="0" w:line="88"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following table provides a reconciliation of assets and liabilities measured at fair value on a recurring basis using significant unobservable inputs (Level 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46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March 31,</w:t>
            </w:r>
          </w:p>
        </w:tc>
      </w:tr>
      <w:tr>
        <w:trPr>
          <w:trHeight w:val="221"/>
        </w:trPr>
        <w:tc>
          <w:tcPr>
            <w:tcW w:w="46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9"/>
                <w:szCs w:val="19"/>
                <w:color w:val="auto"/>
              </w:rPr>
            </w:pPr>
          </w:p>
        </w:tc>
      </w:tr>
      <w:tr>
        <w:trPr>
          <w:trHeight w:val="194"/>
        </w:trPr>
        <w:tc>
          <w:tcPr>
            <w:tcW w:w="4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5300" w:type="dxa"/>
            <w:vAlign w:val="bottom"/>
            <w:gridSpan w:val="3"/>
            <w:shd w:val="clear" w:color="auto" w:fill="CCEEFF"/>
          </w:tcPr>
          <w:p>
            <w:pPr>
              <w:ind w:left="4800"/>
              <w:spacing w:after="0" w:line="194"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19,680</w:t>
            </w:r>
          </w:p>
        </w:tc>
        <w:tc>
          <w:tcPr>
            <w:tcW w:w="100" w:type="dxa"/>
            <w:vAlign w:val="bottom"/>
            <w:shd w:val="clear" w:color="auto" w:fill="CCEEFF"/>
          </w:tcPr>
          <w:p>
            <w:pPr>
              <w:spacing w:after="0"/>
              <w:rPr>
                <w:sz w:val="16"/>
                <w:szCs w:val="16"/>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rPr>
              <w:t>Change in fair value</w:t>
            </w:r>
          </w:p>
        </w:tc>
        <w:tc>
          <w:tcPr>
            <w:tcW w:w="3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7"/>
                <w:szCs w:val="17"/>
                <w:color w:val="auto"/>
              </w:rPr>
            </w:pP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Settlement of Preferred Stock Tranche Obligation</w:t>
            </w:r>
          </w:p>
        </w:tc>
        <w:tc>
          <w:tcPr>
            <w:tcW w:w="3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(20,640)</w:t>
            </w:r>
          </w:p>
        </w:tc>
      </w:tr>
      <w:tr>
        <w:trPr>
          <w:trHeight w:val="220"/>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at end of period</w:t>
            </w:r>
          </w:p>
        </w:tc>
        <w:tc>
          <w:tcPr>
            <w:tcW w:w="370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354"/>
        </w:trPr>
        <w:tc>
          <w:tcPr>
            <w:tcW w:w="4620" w:type="dxa"/>
            <w:vAlign w:val="bottom"/>
          </w:tcPr>
          <w:p>
            <w:pPr>
              <w:spacing w:after="0"/>
              <w:rPr>
                <w:sz w:val="24"/>
                <w:szCs w:val="24"/>
                <w:color w:val="auto"/>
              </w:rPr>
            </w:pPr>
          </w:p>
        </w:tc>
        <w:tc>
          <w:tcPr>
            <w:tcW w:w="5300" w:type="dxa"/>
            <w:vAlign w:val="bottom"/>
            <w:gridSpan w:val="3"/>
          </w:tcPr>
          <w:p>
            <w:pPr>
              <w:ind w:left="820"/>
              <w:spacing w:after="0"/>
              <w:rPr>
                <w:sz w:val="20"/>
                <w:szCs w:val="20"/>
                <w:color w:val="auto"/>
              </w:rPr>
            </w:pPr>
            <w:r>
              <w:rPr>
                <w:rFonts w:ascii="Arial" w:cs="Arial" w:eastAsia="Arial" w:hAnsi="Arial"/>
                <w:sz w:val="17"/>
                <w:szCs w:val="17"/>
                <w:color w:val="auto"/>
              </w:rPr>
              <w:t>F-37</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6"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among Level 1, Level 2 or Level 3 categories in the three months ended March 31, 2021 or 2020.</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March 31,</w:t>
            </w:r>
          </w:p>
        </w:tc>
        <w:tc>
          <w:tcPr>
            <w:tcW w:w="152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r>
      <w:tr>
        <w:trPr>
          <w:trHeight w:val="232"/>
        </w:trPr>
        <w:tc>
          <w:tcPr>
            <w:tcW w:w="58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195"/>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2980" w:type="dxa"/>
            <w:vAlign w:val="bottom"/>
            <w:gridSpan w:val="2"/>
            <w:shd w:val="clear" w:color="auto" w:fill="CCEEFF"/>
          </w:tcPr>
          <w:p>
            <w:pPr>
              <w:ind w:left="27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8,277</w:t>
            </w:r>
          </w:p>
        </w:tc>
        <w:tc>
          <w:tcPr>
            <w:tcW w:w="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w:t>
            </w:r>
          </w:p>
        </w:tc>
        <w:tc>
          <w:tcPr>
            <w:tcW w:w="100" w:type="dxa"/>
            <w:vAlign w:val="bottom"/>
            <w:shd w:val="clear" w:color="auto" w:fill="CCEEFF"/>
          </w:tcPr>
          <w:p>
            <w:pPr>
              <w:spacing w:after="0"/>
              <w:rPr>
                <w:sz w:val="16"/>
                <w:szCs w:val="16"/>
                <w:color w:val="auto"/>
              </w:rPr>
            </w:pPr>
          </w:p>
        </w:tc>
      </w:tr>
      <w:tr>
        <w:trPr>
          <w:trHeight w:val="201"/>
        </w:trPr>
        <w:tc>
          <w:tcPr>
            <w:tcW w:w="58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Arial" w:cs="Arial" w:eastAsia="Arial" w:hAnsi="Arial"/>
                <w:sz w:val="17"/>
                <w:szCs w:val="17"/>
                <w:color w:val="auto"/>
              </w:rPr>
              <w:t>277</w:t>
            </w:r>
          </w:p>
        </w:tc>
        <w:tc>
          <w:tcPr>
            <w:tcW w:w="6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Computer hardware and software</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37</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24</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1"/>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and equipment, at cost</w:t>
            </w:r>
          </w:p>
        </w:tc>
        <w:tc>
          <w:tcPr>
            <w:tcW w:w="2980" w:type="dxa"/>
            <w:vAlign w:val="bottom"/>
            <w:gridSpan w:val="2"/>
            <w:shd w:val="clear" w:color="auto" w:fill="CCEEFF"/>
          </w:tcPr>
          <w:p>
            <w:pPr>
              <w:ind w:left="27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8,615</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5,232</w:t>
            </w:r>
          </w:p>
        </w:tc>
        <w:tc>
          <w:tcPr>
            <w:tcW w:w="100" w:type="dxa"/>
            <w:vAlign w:val="bottom"/>
            <w:shd w:val="clear" w:color="auto" w:fill="CCEEFF"/>
          </w:tcPr>
          <w:p>
            <w:pPr>
              <w:spacing w:after="0"/>
              <w:rPr>
                <w:sz w:val="17"/>
                <w:szCs w:val="17"/>
                <w:color w:val="auto"/>
              </w:rPr>
            </w:pPr>
          </w:p>
        </w:tc>
      </w:tr>
      <w:tr>
        <w:trPr>
          <w:trHeight w:val="201"/>
        </w:trPr>
        <w:tc>
          <w:tcPr>
            <w:tcW w:w="584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(883)</w:t>
            </w:r>
          </w:p>
        </w:tc>
        <w:tc>
          <w:tcPr>
            <w:tcW w:w="6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(609)</w:t>
            </w:r>
          </w:p>
        </w:tc>
      </w:tr>
      <w:tr>
        <w:trPr>
          <w:trHeight w:val="27"/>
        </w:trPr>
        <w:tc>
          <w:tcPr>
            <w:tcW w:w="5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2980" w:type="dxa"/>
            <w:vAlign w:val="bottom"/>
            <w:gridSpan w:val="2"/>
            <w:shd w:val="clear" w:color="auto" w:fill="CCEEFF"/>
          </w:tcPr>
          <w:p>
            <w:pPr>
              <w:ind w:left="27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7,732</w:t>
            </w:r>
          </w:p>
        </w:tc>
        <w:tc>
          <w:tcPr>
            <w:tcW w:w="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4,623</w:t>
            </w:r>
          </w:p>
        </w:tc>
        <w:tc>
          <w:tcPr>
            <w:tcW w:w="100" w:type="dxa"/>
            <w:vAlign w:val="bottom"/>
            <w:shd w:val="clear" w:color="auto" w:fill="CCEEFF"/>
          </w:tcPr>
          <w:p>
            <w:pPr>
              <w:spacing w:after="0"/>
              <w:rPr>
                <w:sz w:val="17"/>
                <w:szCs w:val="17"/>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March 31, 2021 and 2020, was $274,000 and $71,000,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Convertible preferred stock</w:t>
      </w:r>
    </w:p>
    <w:p>
      <w:pPr>
        <w:spacing w:after="0" w:line="142"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As of March 31, 2021, the Company had 109,686,035 shares of $0.0001 par value convertible preferred stock, or Convertible Preferred Stock, authorized, of which 20,004,280 shares are designated as Series A Preferred; 9,627,234 shares are designated as Series A-2 Preferred; 48,000,000 shares are designated as Series B Preferred; and 32,054,521 are designated as Series C convertible preferred stock, or Series C Preferred.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outstanding Convertible Preferred Stock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Series A</w:t>
            </w:r>
          </w:p>
        </w:tc>
        <w:tc>
          <w:tcPr>
            <w:tcW w:w="820" w:type="dxa"/>
            <w:vAlign w:val="bottom"/>
          </w:tcPr>
          <w:p>
            <w:pPr>
              <w:spacing w:after="0"/>
              <w:rPr>
                <w:sz w:val="13"/>
                <w:szCs w:val="13"/>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Series A-2</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Series B</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9"/>
              </w:rPr>
              <w:t>Series C</w:t>
            </w:r>
          </w:p>
        </w:tc>
        <w:tc>
          <w:tcPr>
            <w:tcW w:w="19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Total convertible</w:t>
            </w:r>
          </w:p>
        </w:tc>
      </w:tr>
      <w:tr>
        <w:trPr>
          <w:trHeight w:val="164"/>
        </w:trPr>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preferred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preferred</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preferred</w:t>
            </w:r>
          </w:p>
        </w:tc>
        <w:tc>
          <w:tcPr>
            <w:tcW w:w="104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preferred</w:t>
            </w:r>
          </w:p>
        </w:tc>
        <w:tc>
          <w:tcPr>
            <w:tcW w:w="19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preferred stock</w:t>
            </w:r>
          </w:p>
        </w:tc>
      </w:tr>
      <w:tr>
        <w:trPr>
          <w:trHeight w:val="20"/>
        </w:trPr>
        <w:tc>
          <w:tcPr>
            <w:tcW w:w="2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140"/>
        </w:trPr>
        <w:tc>
          <w:tcPr>
            <w:tcW w:w="2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Balance—January 1, 2021</w:t>
            </w:r>
          </w:p>
        </w:tc>
        <w:tc>
          <w:tcPr>
            <w:tcW w:w="940" w:type="dxa"/>
            <w:vAlign w:val="bottom"/>
            <w:shd w:val="clear" w:color="auto" w:fill="CCEEFF"/>
          </w:tcPr>
          <w:p>
            <w:pPr>
              <w:jc w:val="right"/>
              <w:ind w:right="13"/>
              <w:spacing w:after="0" w:line="141" w:lineRule="exact"/>
              <w:rPr>
                <w:sz w:val="20"/>
                <w:szCs w:val="20"/>
                <w:color w:val="auto"/>
              </w:rPr>
            </w:pPr>
            <w:r>
              <w:rPr>
                <w:rFonts w:ascii="Arial" w:cs="Arial" w:eastAsia="Arial" w:hAnsi="Arial"/>
                <w:sz w:val="13"/>
                <w:szCs w:val="13"/>
                <w:color w:val="auto"/>
              </w:rPr>
              <w:t>20,004,280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19,704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9,627,234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12,322</w:t>
            </w:r>
          </w:p>
        </w:tc>
        <w:tc>
          <w:tcPr>
            <w:tcW w:w="960" w:type="dxa"/>
            <w:vAlign w:val="bottom"/>
            <w:shd w:val="clear" w:color="auto" w:fill="CCEEFF"/>
          </w:tcPr>
          <w:p>
            <w:pPr>
              <w:jc w:val="right"/>
              <w:ind w:right="13"/>
              <w:spacing w:after="0" w:line="141" w:lineRule="exact"/>
              <w:rPr>
                <w:sz w:val="20"/>
                <w:szCs w:val="20"/>
                <w:color w:val="auto"/>
              </w:rPr>
            </w:pPr>
            <w:r>
              <w:rPr>
                <w:rFonts w:ascii="Arial" w:cs="Arial" w:eastAsia="Arial" w:hAnsi="Arial"/>
                <w:sz w:val="13"/>
                <w:szCs w:val="13"/>
                <w:color w:val="auto"/>
              </w:rPr>
              <w:t>24,000,000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35,738</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53,631,514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67,764</w:t>
            </w:r>
          </w:p>
        </w:tc>
        <w:tc>
          <w:tcPr>
            <w:tcW w:w="60" w:type="dxa"/>
            <w:vAlign w:val="bottom"/>
            <w:shd w:val="clear" w:color="auto" w:fill="CCEEFF"/>
          </w:tcPr>
          <w:p>
            <w:pPr>
              <w:spacing w:after="0"/>
              <w:rPr>
                <w:sz w:val="12"/>
                <w:szCs w:val="12"/>
                <w:color w:val="auto"/>
              </w:rPr>
            </w:pPr>
          </w:p>
        </w:tc>
      </w:tr>
      <w:tr>
        <w:trPr>
          <w:trHeight w:val="146"/>
        </w:trPr>
        <w:tc>
          <w:tcPr>
            <w:tcW w:w="2140" w:type="dxa"/>
            <w:vAlign w:val="bottom"/>
          </w:tcPr>
          <w:p>
            <w:pPr>
              <w:spacing w:after="0" w:line="147" w:lineRule="exact"/>
              <w:rPr>
                <w:sz w:val="20"/>
                <w:szCs w:val="20"/>
                <w:color w:val="auto"/>
              </w:rPr>
            </w:pPr>
            <w:r>
              <w:rPr>
                <w:rFonts w:ascii="Arial" w:cs="Arial" w:eastAsia="Arial" w:hAnsi="Arial"/>
                <w:sz w:val="13"/>
                <w:szCs w:val="13"/>
                <w:color w:val="auto"/>
              </w:rPr>
              <w:t>Issuance of Series B convertible</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7"/>
        </w:trPr>
        <w:tc>
          <w:tcPr>
            <w:tcW w:w="2140" w:type="dxa"/>
            <w:vAlign w:val="bottom"/>
          </w:tcPr>
          <w:p>
            <w:pPr>
              <w:ind w:left="220"/>
              <w:spacing w:after="0" w:line="148" w:lineRule="exact"/>
              <w:rPr>
                <w:sz w:val="20"/>
                <w:szCs w:val="20"/>
                <w:color w:val="auto"/>
              </w:rPr>
            </w:pPr>
            <w:r>
              <w:rPr>
                <w:rFonts w:ascii="Arial" w:cs="Arial" w:eastAsia="Arial" w:hAnsi="Arial"/>
                <w:sz w:val="13"/>
                <w:szCs w:val="13"/>
                <w:color w:val="auto"/>
              </w:rPr>
              <w:t>preferred stock, net of</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140" w:type="dxa"/>
            <w:vAlign w:val="bottom"/>
          </w:tcPr>
          <w:p>
            <w:pPr>
              <w:ind w:left="220"/>
              <w:spacing w:after="0" w:line="148" w:lineRule="exact"/>
              <w:rPr>
                <w:sz w:val="20"/>
                <w:szCs w:val="20"/>
                <w:color w:val="auto"/>
              </w:rPr>
            </w:pPr>
            <w:r>
              <w:rPr>
                <w:rFonts w:ascii="Arial" w:cs="Arial" w:eastAsia="Arial" w:hAnsi="Arial"/>
                <w:sz w:val="13"/>
                <w:szCs w:val="13"/>
                <w:color w:val="auto"/>
              </w:rPr>
              <w:t>issuance costs of $69</w:t>
            </w:r>
          </w:p>
        </w:tc>
        <w:tc>
          <w:tcPr>
            <w:tcW w:w="94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3"/>
              <w:spacing w:after="0" w:line="148" w:lineRule="exact"/>
              <w:rPr>
                <w:sz w:val="20"/>
                <w:szCs w:val="20"/>
                <w:color w:val="auto"/>
              </w:rPr>
            </w:pPr>
            <w:r>
              <w:rPr>
                <w:rFonts w:ascii="Arial" w:cs="Arial" w:eastAsia="Arial" w:hAnsi="Arial"/>
                <w:sz w:val="13"/>
                <w:szCs w:val="13"/>
                <w:color w:val="auto"/>
              </w:rPr>
              <w:t>24,000,000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68,571</w:t>
            </w:r>
          </w:p>
        </w:tc>
        <w:tc>
          <w:tcPr>
            <w:tcW w:w="140" w:type="dxa"/>
            <w:vAlign w:val="bottom"/>
          </w:tcPr>
          <w:p>
            <w:pPr>
              <w:spacing w:after="0"/>
              <w:rPr>
                <w:sz w:val="12"/>
                <w:szCs w:val="12"/>
                <w:color w:val="auto"/>
              </w:rPr>
            </w:pPr>
          </w:p>
        </w:tc>
        <w:tc>
          <w:tcPr>
            <w:tcW w:w="104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48" w:lineRule="exact"/>
              <w:rPr>
                <w:sz w:val="20"/>
                <w:szCs w:val="20"/>
                <w:color w:val="auto"/>
              </w:rPr>
            </w:pPr>
            <w:r>
              <w:rPr>
                <w:rFonts w:ascii="Arial" w:cs="Arial" w:eastAsia="Arial" w:hAnsi="Arial"/>
                <w:sz w:val="13"/>
                <w:szCs w:val="13"/>
                <w:color w:val="auto"/>
              </w:rPr>
              <w:t>24,000,000</w:t>
            </w:r>
          </w:p>
        </w:tc>
        <w:tc>
          <w:tcPr>
            <w:tcW w:w="2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68,571</w:t>
            </w:r>
          </w:p>
        </w:tc>
        <w:tc>
          <w:tcPr>
            <w:tcW w:w="60" w:type="dxa"/>
            <w:vAlign w:val="bottom"/>
          </w:tcPr>
          <w:p>
            <w:pPr>
              <w:spacing w:after="0"/>
              <w:rPr>
                <w:sz w:val="12"/>
                <w:szCs w:val="12"/>
                <w:color w:val="auto"/>
              </w:rPr>
            </w:pPr>
          </w:p>
        </w:tc>
      </w:tr>
      <w:tr>
        <w:trPr>
          <w:trHeight w:val="146"/>
        </w:trPr>
        <w:tc>
          <w:tcPr>
            <w:tcW w:w="21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Issuance of Series C convertible</w:t>
            </w: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7"/>
        </w:trPr>
        <w:tc>
          <w:tcPr>
            <w:tcW w:w="214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preferred stock, net of</w:t>
            </w: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214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issuance costs of $163</w:t>
            </w:r>
          </w:p>
        </w:tc>
        <w:tc>
          <w:tcPr>
            <w:tcW w:w="940" w:type="dxa"/>
            <w:vAlign w:val="bottom"/>
            <w:tcBorders>
              <w:bottom w:val="single" w:sz="8" w:color="auto"/>
            </w:tcBorders>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32,054,521</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94,837</w:t>
            </w:r>
          </w:p>
        </w:tc>
        <w:tc>
          <w:tcPr>
            <w:tcW w:w="10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32,054,521</w:t>
            </w: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94,837</w:t>
            </w:r>
          </w:p>
        </w:tc>
        <w:tc>
          <w:tcPr>
            <w:tcW w:w="60" w:type="dxa"/>
            <w:vAlign w:val="bottom"/>
            <w:shd w:val="clear" w:color="auto" w:fill="CCEEFF"/>
          </w:tcPr>
          <w:p>
            <w:pPr>
              <w:spacing w:after="0"/>
              <w:rPr>
                <w:sz w:val="12"/>
                <w:szCs w:val="12"/>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Balance—March 31, 2021</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20,004,280</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19,704</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9,627,234</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12,322</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48,000,000</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104,309</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32,054,521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94,837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109,686,035</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231,172</w:t>
            </w:r>
          </w:p>
        </w:tc>
        <w:tc>
          <w:tcPr>
            <w:tcW w:w="60" w:type="dxa"/>
            <w:vAlign w:val="bottom"/>
          </w:tcPr>
          <w:p>
            <w:pPr>
              <w:spacing w:after="0"/>
              <w:rPr>
                <w:sz w:val="13"/>
                <w:szCs w:val="13"/>
                <w:color w:val="auto"/>
              </w:rPr>
            </w:pPr>
          </w:p>
        </w:tc>
      </w:tr>
      <w:tr>
        <w:trPr>
          <w:trHeight w:val="146"/>
        </w:trPr>
        <w:tc>
          <w:tcPr>
            <w:tcW w:w="21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Original issue price, or Original</w:t>
            </w: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214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Issue Price, per share</w:t>
            </w: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w:t>
            </w:r>
          </w:p>
        </w:tc>
        <w:tc>
          <w:tcPr>
            <w:tcW w:w="8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1.2984</w:t>
            </w:r>
          </w:p>
        </w:tc>
        <w:tc>
          <w:tcPr>
            <w:tcW w:w="9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2.00</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2.9637</w:t>
            </w: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Liquidation value</w:t>
            </w: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12,500</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96,000</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95,000</w:t>
            </w: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223,504</w:t>
            </w:r>
          </w:p>
        </w:tc>
        <w:tc>
          <w:tcPr>
            <w:tcW w:w="60" w:type="dxa"/>
            <w:vAlign w:val="bottom"/>
          </w:tcPr>
          <w:p>
            <w:pPr>
              <w:spacing w:after="0"/>
              <w:rPr>
                <w:sz w:val="14"/>
                <w:szCs w:val="14"/>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40"/>
          </w:cols>
          <w:pgMar w:left="320" w:top="456"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713359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Series A</w:t>
            </w:r>
          </w:p>
        </w:tc>
        <w:tc>
          <w:tcPr>
            <w:tcW w:w="218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rPr>
              <w:t>Total convertible</w:t>
            </w:r>
          </w:p>
        </w:tc>
      </w:tr>
      <w:tr>
        <w:trPr>
          <w:trHeight w:val="219"/>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w w:val="99"/>
              </w:rPr>
              <w:t>preferred</w:t>
            </w:r>
          </w:p>
        </w:tc>
        <w:tc>
          <w:tcPr>
            <w:tcW w:w="260" w:type="dxa"/>
            <w:vAlign w:val="bottom"/>
          </w:tcPr>
          <w:p>
            <w:pPr>
              <w:spacing w:after="0"/>
              <w:rPr>
                <w:sz w:val="19"/>
                <w:szCs w:val="19"/>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preferred stock</w:t>
            </w:r>
          </w:p>
        </w:tc>
        <w:tc>
          <w:tcPr>
            <w:tcW w:w="60" w:type="dxa"/>
            <w:vAlign w:val="bottom"/>
          </w:tcPr>
          <w:p>
            <w:pPr>
              <w:spacing w:after="0"/>
              <w:rPr>
                <w:sz w:val="19"/>
                <w:szCs w:val="19"/>
                <w:color w:val="auto"/>
              </w:rPr>
            </w:pPr>
          </w:p>
        </w:tc>
      </w:tr>
      <w:tr>
        <w:trPr>
          <w:trHeight w:val="221"/>
        </w:trPr>
        <w:tc>
          <w:tcPr>
            <w:tcW w:w="6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Shares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b w:val="1"/>
                <w:bCs w:val="1"/>
                <w:color w:val="auto"/>
              </w:rPr>
              <w:t>Amount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Shares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Amount</w:t>
            </w:r>
          </w:p>
        </w:tc>
      </w:tr>
      <w:tr>
        <w:trPr>
          <w:trHeight w:val="194"/>
        </w:trPr>
        <w:tc>
          <w:tcPr>
            <w:tcW w:w="67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Balance—January 1, 2020</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18,950</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18,950</w:t>
            </w:r>
          </w:p>
        </w:tc>
        <w:tc>
          <w:tcPr>
            <w:tcW w:w="60" w:type="dxa"/>
            <w:vAlign w:val="bottom"/>
            <w:shd w:val="clear" w:color="auto" w:fill="CCEEFF"/>
          </w:tcPr>
          <w:p>
            <w:pPr>
              <w:spacing w:after="0"/>
              <w:rPr>
                <w:sz w:val="16"/>
                <w:szCs w:val="16"/>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6740" w:type="dxa"/>
            <w:vAlign w:val="bottom"/>
            <w:gridSpan w:val="2"/>
          </w:tcPr>
          <w:p>
            <w:pPr>
              <w:spacing w:after="0"/>
              <w:rPr>
                <w:sz w:val="20"/>
                <w:szCs w:val="20"/>
                <w:color w:val="auto"/>
              </w:rPr>
            </w:pPr>
            <w:r>
              <w:rPr>
                <w:rFonts w:ascii="Arial" w:cs="Arial" w:eastAsia="Arial" w:hAnsi="Arial"/>
                <w:sz w:val="17"/>
                <w:szCs w:val="17"/>
                <w:color w:val="auto"/>
              </w:rPr>
              <w:t>Balance—March 31, 2020</w:t>
            </w:r>
          </w:p>
        </w:tc>
        <w:tc>
          <w:tcPr>
            <w:tcW w:w="1040" w:type="dxa"/>
            <w:vAlign w:val="bottom"/>
          </w:tcPr>
          <w:p>
            <w:pPr>
              <w:jc w:val="right"/>
              <w:spacing w:after="0"/>
              <w:rPr>
                <w:sz w:val="20"/>
                <w:szCs w:val="20"/>
                <w:color w:val="auto"/>
              </w:rPr>
            </w:pPr>
            <w:r>
              <w:rPr>
                <w:rFonts w:ascii="Arial" w:cs="Arial" w:eastAsia="Arial" w:hAnsi="Arial"/>
                <w:sz w:val="17"/>
                <w:szCs w:val="17"/>
                <w:color w:val="auto"/>
              </w:rPr>
              <w:t>19,250,000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18,950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19,250,000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18,950</w:t>
            </w:r>
          </w:p>
        </w:tc>
        <w:tc>
          <w:tcPr>
            <w:tcW w:w="60" w:type="dxa"/>
            <w:vAlign w:val="bottom"/>
          </w:tcPr>
          <w:p>
            <w:pPr>
              <w:spacing w:after="0"/>
              <w:rPr>
                <w:sz w:val="18"/>
                <w:szCs w:val="18"/>
                <w:color w:val="auto"/>
              </w:rPr>
            </w:pPr>
          </w:p>
        </w:tc>
      </w:tr>
      <w:tr>
        <w:trPr>
          <w:trHeight w:val="201"/>
        </w:trPr>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Original issue price, or Original Issue Price, per share</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7"/>
                <w:szCs w:val="17"/>
                <w:color w:val="auto"/>
              </w:rPr>
              <w:t>Liquidation value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19,250</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19,250</w:t>
            </w:r>
          </w:p>
        </w:tc>
        <w:tc>
          <w:tcPr>
            <w:tcW w:w="60" w:type="dxa"/>
            <w:vAlign w:val="bottom"/>
          </w:tcPr>
          <w:p>
            <w:pPr>
              <w:spacing w:after="0"/>
              <w:rPr>
                <w:sz w:val="19"/>
                <w:szCs w:val="19"/>
                <w:color w:val="auto"/>
              </w:rPr>
            </w:pP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February 2021, the Company issued 24,000,000 shares of Series B Preferred pursuant to the Preferred Stock Tranche Obligation for aggregate gross proceeds of $48.0 million.</w:t>
      </w:r>
    </w:p>
    <w:p>
      <w:pPr>
        <w:spacing w:after="0" w:line="80"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In March 2021, the Company authorized the sale of up to 32,054,521 shares of its Series C Preferred Stock at a price of $2.9637 per share, and issued the authorized shares of Series C Preferred to several new and existing investors for aggregate gross proceeds of $95.0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rights and preferences and privileges of Convertible Preferred Stock are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Holders of Convertible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in preference to the holders of common stock, shall be entitled to receive, when, as and if declared by the board of directors, but only out of funds that are legally available therefor, cash dividends at the rate of eight percent of the respective series Original Issue Price per annum on each outstanding share of Convertible Preferred Stock, collectively the Preferred Dividend. All such Preferred Dividends shall be payable only when, as and if declared by the board of directors and shall be non-cumulative, and, if and when declared, shall be declared on each series of Convertible Preferred Stock and not on individual series of the Convertible Preferred Stock.</w:t>
      </w:r>
    </w:p>
    <w:p>
      <w:pPr>
        <w:spacing w:after="0" w:line="2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Further, the Company shall not declare, pay or set aside any dividends on shares of any other class or series of capital stock unless the holders of the Convertible Preferred Stock then outstanding shall first receive, or simultaneously receive, both the applicable Preferred Dividend and a dividend on each outstanding share of Convertible Preferred Stock in an amount at least equal to that dividend per share of Convertible Preferred Stock as would equal the product of (i) the dividend payable on each share of such class or series determined, if applicable, as if all shares of such class or series had been converted into common stock and (ii) the number of shares of common stock issuable upon conversion of a share of Convertible Preferred Stock, in each case calculated on the record date for determination of holders entitled to receive such dividend. The board of directors has not declared any dividends to-date.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132"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Each share of Convertible Preferred Stock is convertible at the option of the holder, at any time after the date of issuance, into a fully paid and non-assessable share of common stock. Each share of Convertible Preferred Stock is convertible into that number of common shares as is determined by dividing the applicable original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Convertible Preferred Stock as of March 31, 2021 is 1:1.</w:t>
      </w:r>
    </w:p>
    <w:p>
      <w:pPr>
        <w:spacing w:after="0" w:line="9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All shares of the Convertible Preferred Stock automatically convert upon (i) the closing of a firm commitment underwritten initial public offering of common stock, in which the price per share is at least $3.00 per share, subject to adjustment in the event of stock dividend, stock split, combination or other similar recapitalization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456"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with respect to the common stock, resulting in gross proceeds of at least $50.0 million, or the IPO; (ii) the closing of a transaction with a special purpose acquisition corporation, or SPAC Transaction having a value of at least $3.00 per share, subject to adjustment in the event of stock dividend, stock split, combination or other similar recapitalization with respect to the Preferred Stock and/or common stock, as applicable, of Preferred Stock and common stock as of the date of consummation of the SPAC Transaction based on the implied “pre-money” valuation of the Company immediately prior to the consummation of the SPAC Transaction and the aggregate cash proceeds available to the continuing operating entity in such SPAC Transaction, including the proceeds from any private placement or other financing conducted concurrently or in connection therewith, are at least $50.0 million gross proceeds; (iii) immediately prior to the closing of the Company’s initial listing of its common stock for trading on the Nasdaq Stock Market’s National Market, the New York Stock Exchange or another exchange or marketplace approved by the board, including approval of a majority of the Preferred Directors (as defined below), by means of an effective registration statement on Form S-1 under the Securities Act of 1933, as amended; or (iv) as specified by vote or written consent of a majority of the outstanding shares of Series C Preferred, Series B Preferred and at least a majority of the outstanding shares of Convertible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1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 xml:space="preserve">With first priority to the holders of Series C Preferred and the holders of Series B Preferred,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second priority to the holders Series A-2 and Series A,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before any payment shall be made to the holders of common stock by reason of their ownership thereof, the holders of Convertible Preferred Stock then outstanding shall be entitled to be paid (i) in the event of any voluntary or involuntary liquidation, dissolution or winding up of the Company, out of the assets of the Company available for distribution to its stockholders, or (ii) in the event of a merger or consolidation involving the Company or a subsidiary or on the sale, lease, transfer, exclusive license or other disposition by the Company or a subsidiary of all or substantially all assets of the Company not elected otherwise by holders of 70% of the outstanding shares of Convertible Preferred Stock, voting together as a single class on an as-if converted basis, or a Deemed Liquidation Event, out of the consideration available for distribution to stockholders from the consideration received by the Company for such Deemed Liquidation Event, net of any retained liabilities associated with the assets sold or technology licensed, as determined in good faith by the board of directors, together with any other assets of the Company available for distribution.</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The amount payable per share to the holders of Series C Preferred and Series B Preferred,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shall be equal to the greater of (i) the Original Issue Price of each respective Series C Preferred and Series B Preferred, plus any dividends declared but unpaid thereon, or (ii) such amount per share as would have been payable had the shares of Series C Preferred and Series B Preferred been converted into common stock immediately prior to such event. The amount payable per share to the holders of Series A-2 Preferred and Series A,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shall be equal to the greater of (i) the Original Issue Price of each respective Series A-2 Preferred and Series A Preferred, plus any dividends declared but unpaid thereon, or (ii) such amount per share as would have been payable had the shares of respective Series A-2 Preferred and Series A Preferred converted into common stock immediately prior to such event.</w:t>
      </w:r>
    </w:p>
    <w:p>
      <w:pPr>
        <w:spacing w:after="0" w:line="9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 xml:space="preserve">If upon any such event, the assets of the Company available for distribution to its stockholders shall be insufficient to pay the holders of the outstanding shares of Series C Preferred and Series B Preferred,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full amount to which they shall be entitled, the holders of shares of Series C Preferred and Series B Preferred shall share ratably,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 If the remaining assets of the Company available for distribution to its remaining stockholders shall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220"/>
          </w:cols>
          <w:pgMar w:left="320" w:top="456" w:right="3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be insufficient to pay the holders of the outstanding shares of Series A-2 Preferred and Series A Preferred, as a single class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full amount to which they shall be entitled, the holders of shares of Series A-2 Preferred and Series A shall share ratably,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basis, in any distribution of the remaining assets available for distribution in proportion to the respective amounts which would otherwise be</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in respect of the shares held by them upon such distribution if all amounts payable on or with respect to such shares were paid in full.</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Each share of Convertible Preferred has voting rights equal to the number of shares of common stock into which the Convertible Preferred Stock can be converted.</w:t>
      </w:r>
    </w:p>
    <w:p>
      <w:pPr>
        <w:spacing w:after="0" w:line="8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holders of Series B Preferred are entitled to elect two directors of the Company; the holders of Series A-2 Preferred are entitled to elect one director of the Company; and the holders of Series A Preferred, are entitled to elect two directors; altogether the Preferred Directors. The Company’s board of directors is further comprised of one director elected by the holders of common stock, one director who is mutually acceptable to a Series B Preferred investor and Company management, and one director who is not an affiliate of the Company or of any investor who shall be approved by the board, including a majority of the Preferred Directors.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Redemption rights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Shares of Convertible Preferred Stock are not redeemable except in the case of a Deemed Liquidation Event.</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Common stock</w:t>
      </w:r>
    </w:p>
    <w:p>
      <w:pPr>
        <w:spacing w:after="0" w:line="142"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As of March 31, 2021 and December 31, 2020, the Company has reserved the following shares of common stock for potential conversion of outstanding Preferred Stock, the vesting of restricted stock and exercise of stock options: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March 31,</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December 30,</w:t>
            </w:r>
          </w:p>
        </w:tc>
      </w:tr>
      <w:tr>
        <w:trPr>
          <w:trHeight w:val="219"/>
        </w:trPr>
        <w:tc>
          <w:tcPr>
            <w:tcW w:w="8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2020</w:t>
            </w:r>
          </w:p>
        </w:tc>
      </w:tr>
      <w:tr>
        <w:trPr>
          <w:trHeight w:val="194"/>
        </w:trPr>
        <w:tc>
          <w:tcPr>
            <w:tcW w:w="85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Convertible preferred stock</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109,686,035</w:t>
            </w:r>
          </w:p>
        </w:tc>
        <w:tc>
          <w:tcPr>
            <w:tcW w:w="14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53,631,514</w:t>
            </w:r>
          </w:p>
        </w:tc>
        <w:tc>
          <w:tcPr>
            <w:tcW w:w="60" w:type="dxa"/>
            <w:vAlign w:val="bottom"/>
            <w:shd w:val="clear" w:color="auto" w:fill="CCEEFF"/>
          </w:tcPr>
          <w:p>
            <w:pPr>
              <w:spacing w:after="0"/>
              <w:rPr>
                <w:sz w:val="16"/>
                <w:szCs w:val="16"/>
                <w:color w:val="auto"/>
              </w:rPr>
            </w:pPr>
          </w:p>
        </w:tc>
      </w:tr>
      <w:tr>
        <w:trPr>
          <w:trHeight w:val="201"/>
        </w:trPr>
        <w:tc>
          <w:tcPr>
            <w:tcW w:w="8540" w:type="dxa"/>
            <w:vAlign w:val="bottom"/>
            <w:gridSpan w:val="2"/>
          </w:tcPr>
          <w:p>
            <w:pPr>
              <w:spacing w:after="0"/>
              <w:rPr>
                <w:sz w:val="20"/>
                <w:szCs w:val="20"/>
                <w:color w:val="auto"/>
              </w:rPr>
            </w:pPr>
            <w:r>
              <w:rPr>
                <w:rFonts w:ascii="Arial" w:cs="Arial" w:eastAsia="Arial" w:hAnsi="Arial"/>
                <w:sz w:val="17"/>
                <w:szCs w:val="17"/>
                <w:color w:val="auto"/>
              </w:rPr>
              <w:t>Options to purchase common stock</w:t>
            </w:r>
          </w:p>
        </w:tc>
        <w:tc>
          <w:tcPr>
            <w:tcW w:w="1160" w:type="dxa"/>
            <w:vAlign w:val="bottom"/>
          </w:tcPr>
          <w:p>
            <w:pPr>
              <w:jc w:val="right"/>
              <w:spacing w:after="0"/>
              <w:rPr>
                <w:sz w:val="20"/>
                <w:szCs w:val="20"/>
                <w:color w:val="auto"/>
              </w:rPr>
            </w:pPr>
            <w:r>
              <w:rPr>
                <w:rFonts w:ascii="Arial" w:cs="Arial" w:eastAsia="Arial" w:hAnsi="Arial"/>
                <w:sz w:val="17"/>
                <w:szCs w:val="17"/>
                <w:color w:val="auto"/>
              </w:rPr>
              <w:t>6,464,649</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7,786,146</w:t>
            </w:r>
          </w:p>
        </w:tc>
        <w:tc>
          <w:tcPr>
            <w:tcW w:w="60" w:type="dxa"/>
            <w:vAlign w:val="bottom"/>
          </w:tcPr>
          <w:p>
            <w:pPr>
              <w:spacing w:after="0"/>
              <w:rPr>
                <w:sz w:val="17"/>
                <w:szCs w:val="17"/>
                <w:color w:val="auto"/>
              </w:rPr>
            </w:pPr>
          </w:p>
        </w:tc>
      </w:tr>
      <w:tr>
        <w:trPr>
          <w:trHeight w:val="201"/>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restricted common stock</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1,619,454</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1,748,580</w:t>
            </w:r>
          </w:p>
        </w:tc>
        <w:tc>
          <w:tcPr>
            <w:tcW w:w="60" w:type="dxa"/>
            <w:vAlign w:val="bottom"/>
            <w:shd w:val="clear" w:color="auto" w:fill="CCEEFF"/>
          </w:tcPr>
          <w:p>
            <w:pPr>
              <w:spacing w:after="0"/>
              <w:rPr>
                <w:sz w:val="17"/>
                <w:szCs w:val="17"/>
                <w:color w:val="auto"/>
              </w:rPr>
            </w:pPr>
          </w:p>
        </w:tc>
      </w:tr>
      <w:tr>
        <w:trPr>
          <w:trHeight w:val="220"/>
        </w:trPr>
        <w:tc>
          <w:tcPr>
            <w:tcW w:w="8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117,770,138</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63,166,240</w:t>
            </w:r>
          </w:p>
        </w:tc>
        <w:tc>
          <w:tcPr>
            <w:tcW w:w="60" w:type="dxa"/>
            <w:vAlign w:val="bottom"/>
          </w:tcPr>
          <w:p>
            <w:pPr>
              <w:spacing w:after="0"/>
              <w:rPr>
                <w:sz w:val="19"/>
                <w:szCs w:val="19"/>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Stock-based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plan</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April 2020, the Company adopted the 2020 Stock Option and Grant Plan, or Plan. Under the terms of the Plan, the Company may issue stock options, restricted stock and other stock awards, to employees, non-employee directors, and consultants. As of March 31, 2021, there were 4,074,852 shares of common stock reserved for future issuance under the Plan. Awards granted under the Plan expire no later than 10 years from the date of grant. For incentive stock options and non-statutory stock options, the option exercise price will not be less than 100% of the estimated fair value on the date of grant. Options and restricted stock granted to employees typically vest over a four-year period but may be granted with different vesting terms.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456"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Weighted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average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7"/>
                <w:szCs w:val="17"/>
                <w:b w:val="1"/>
                <w:bCs w:val="1"/>
                <w:color w:val="auto"/>
              </w:rPr>
              <w:t>Weighted</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remaining</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Aggregate</w:t>
            </w:r>
          </w:p>
        </w:tc>
      </w:tr>
      <w:tr>
        <w:trPr>
          <w:trHeight w:val="201"/>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average</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contractual</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intrinsic</w:t>
            </w:r>
          </w:p>
        </w:tc>
      </w:tr>
      <w:tr>
        <w:trPr>
          <w:trHeight w:val="201"/>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Number of</w:t>
            </w:r>
          </w:p>
        </w:tc>
        <w:tc>
          <w:tcPr>
            <w:tcW w:w="132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rPr>
              <w:t>exercise</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term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value</w:t>
            </w:r>
          </w:p>
        </w:tc>
      </w:tr>
      <w:tr>
        <w:trPr>
          <w:trHeight w:val="232"/>
        </w:trPr>
        <w:tc>
          <w:tcPr>
            <w:tcW w:w="5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options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price</w:t>
            </w: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(years)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(in thousands)</w:t>
            </w:r>
          </w:p>
        </w:tc>
      </w:tr>
      <w:tr>
        <w:trPr>
          <w:trHeight w:val="19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7,786,146</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0.58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60" w:type="dxa"/>
            <w:vAlign w:val="bottom"/>
            <w:shd w:val="clear" w:color="auto" w:fill="CCEEFF"/>
          </w:tcPr>
          <w:p>
            <w:pPr>
              <w:spacing w:after="0"/>
              <w:rPr>
                <w:sz w:val="16"/>
                <w:szCs w:val="16"/>
                <w:color w:val="auto"/>
              </w:rPr>
            </w:pPr>
          </w:p>
        </w:tc>
      </w:tr>
      <w:tr>
        <w:trPr>
          <w:trHeight w:val="201"/>
        </w:trPr>
        <w:tc>
          <w:tcPr>
            <w:tcW w:w="5740" w:type="dxa"/>
            <w:vAlign w:val="bottom"/>
            <w:gridSpan w:val="2"/>
          </w:tcPr>
          <w:p>
            <w:pPr>
              <w:ind w:left="220"/>
              <w:spacing w:after="0"/>
              <w:rPr>
                <w:sz w:val="20"/>
                <w:szCs w:val="20"/>
                <w:color w:val="auto"/>
              </w:rPr>
            </w:pPr>
            <w:r>
              <w:rPr>
                <w:rFonts w:ascii="Arial" w:cs="Arial" w:eastAsia="Arial" w:hAnsi="Arial"/>
                <w:sz w:val="17"/>
                <w:szCs w:val="17"/>
                <w:color w:val="auto"/>
              </w:rPr>
              <w:t>Forfeited</w:t>
            </w: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(1,321,497)</w:t>
            </w:r>
          </w:p>
        </w:tc>
        <w:tc>
          <w:tcPr>
            <w:tcW w:w="12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0.62</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Outstanding—March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6,464,649</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0.57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w:t>
            </w:r>
          </w:p>
        </w:tc>
        <w:tc>
          <w:tcPr>
            <w:tcW w:w="60" w:type="dxa"/>
            <w:vAlign w:val="bottom"/>
            <w:shd w:val="clear" w:color="auto" w:fill="CCEEFF"/>
          </w:tcPr>
          <w:p>
            <w:pPr>
              <w:spacing w:after="0"/>
              <w:rPr>
                <w:sz w:val="17"/>
                <w:szCs w:val="17"/>
                <w:color w:val="auto"/>
              </w:rPr>
            </w:pPr>
          </w:p>
        </w:tc>
      </w:tr>
      <w:tr>
        <w:trPr>
          <w:trHeight w:val="214"/>
        </w:trPr>
        <w:tc>
          <w:tcPr>
            <w:tcW w:w="5740" w:type="dxa"/>
            <w:vAlign w:val="bottom"/>
            <w:gridSpan w:val="2"/>
          </w:tcPr>
          <w:p>
            <w:pPr>
              <w:spacing w:after="0"/>
              <w:rPr>
                <w:sz w:val="20"/>
                <w:szCs w:val="20"/>
                <w:color w:val="auto"/>
              </w:rPr>
            </w:pPr>
            <w:r>
              <w:rPr>
                <w:rFonts w:ascii="Arial" w:cs="Arial" w:eastAsia="Arial" w:hAnsi="Arial"/>
                <w:sz w:val="17"/>
                <w:szCs w:val="17"/>
                <w:color w:val="auto"/>
              </w:rPr>
              <w:t>Vested or expected to vest—March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6,464,649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0.57</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9.6</w:t>
            </w:r>
          </w:p>
        </w:tc>
        <w:tc>
          <w:tcPr>
            <w:tcW w:w="4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10,370</w:t>
            </w:r>
          </w:p>
        </w:tc>
      </w:tr>
      <w:tr>
        <w:trPr>
          <w:trHeight w:val="201"/>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Exercisable—March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206,454</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0.52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60" w:type="dxa"/>
            <w:vAlign w:val="bottom"/>
            <w:shd w:val="clear" w:color="auto" w:fill="CCEEFF"/>
          </w:tcPr>
          <w:p>
            <w:pPr>
              <w:spacing w:after="0"/>
              <w:rPr>
                <w:sz w:val="17"/>
                <w:szCs w:val="17"/>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aggregate intrinsic value of options granted is calculated as the difference between the exercise price of the options and the estimated fair value of the Company’s common stock. No options were exercised during the three months ended March 31, 2021 and 2020.</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No options were granted during the three months ended March 31, 2021 and 2020.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 activity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restricted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Weighted</w:t>
            </w:r>
          </w:p>
        </w:tc>
      </w:tr>
      <w:tr>
        <w:trPr>
          <w:trHeight w:val="201"/>
        </w:trPr>
        <w:tc>
          <w:tcPr>
            <w:tcW w:w="90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Number</w:t>
            </w:r>
          </w:p>
        </w:tc>
        <w:tc>
          <w:tcPr>
            <w:tcW w:w="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average</w:t>
            </w:r>
          </w:p>
        </w:tc>
      </w:tr>
      <w:tr>
        <w:trPr>
          <w:trHeight w:val="201"/>
        </w:trPr>
        <w:tc>
          <w:tcPr>
            <w:tcW w:w="90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of</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grant date</w:t>
            </w:r>
          </w:p>
        </w:tc>
      </w:tr>
      <w:tr>
        <w:trPr>
          <w:trHeight w:val="232"/>
        </w:trPr>
        <w:tc>
          <w:tcPr>
            <w:tcW w:w="9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shares</w:t>
            </w: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fair value</w:t>
            </w:r>
          </w:p>
        </w:tc>
      </w:tr>
      <w:tr>
        <w:trPr>
          <w:trHeight w:val="195"/>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Unvested as of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1,748,580</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0.29</w:t>
            </w:r>
          </w:p>
        </w:tc>
      </w:tr>
      <w:tr>
        <w:trPr>
          <w:trHeight w:val="207"/>
        </w:trPr>
        <w:tc>
          <w:tcPr>
            <w:tcW w:w="9080" w:type="dxa"/>
            <w:vAlign w:val="bottom"/>
          </w:tcPr>
          <w:p>
            <w:pPr>
              <w:ind w:left="22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(129,126)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0.17</w:t>
            </w:r>
          </w:p>
        </w:tc>
      </w:tr>
      <w:tr>
        <w:trPr>
          <w:trHeight w:val="201"/>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Unvested as of March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1,619,454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0.30</w:t>
            </w:r>
          </w:p>
        </w:tc>
      </w:tr>
      <w:tr>
        <w:trPr>
          <w:trHeight w:val="20"/>
        </w:trPr>
        <w:tc>
          <w:tcPr>
            <w:tcW w:w="9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The aggregate fair value of restricted stock that vested during the three months ended March 31, 2021 was $22,000. The weighted average grant date fair value of restricted stock that vested during the three months ended March 31, 2021 was $0.17.</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classified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8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Three months ended March 31,</w:t>
            </w:r>
          </w:p>
        </w:tc>
      </w:tr>
      <w:tr>
        <w:trPr>
          <w:trHeight w:val="20"/>
        </w:trPr>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6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2020</w:t>
            </w:r>
          </w:p>
        </w:tc>
      </w:tr>
      <w:tr>
        <w:trPr>
          <w:trHeight w:val="194"/>
        </w:trPr>
        <w:tc>
          <w:tcPr>
            <w:tcW w:w="7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960"/>
              <w:spacing w:after="0" w:line="194" w:lineRule="exact"/>
              <w:rPr>
                <w:sz w:val="20"/>
                <w:szCs w:val="20"/>
                <w:color w:val="auto"/>
              </w:rPr>
            </w:pPr>
            <w:r>
              <w:rPr>
                <w:rFonts w:ascii="Arial" w:cs="Arial" w:eastAsia="Arial" w:hAnsi="Arial"/>
                <w:sz w:val="17"/>
                <w:szCs w:val="17"/>
                <w:color w:val="auto"/>
              </w:rPr>
              <w:t>60</w:t>
            </w:r>
          </w:p>
        </w:tc>
        <w:tc>
          <w:tcPr>
            <w:tcW w:w="460" w:type="dxa"/>
            <w:vAlign w:val="bottom"/>
            <w:shd w:val="clear" w:color="auto" w:fill="CCEEFF"/>
          </w:tcPr>
          <w:p>
            <w:pPr>
              <w:jc w:val="right"/>
              <w:ind w:right="273"/>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6"/>
                <w:szCs w:val="16"/>
                <w:color w:val="auto"/>
              </w:rPr>
            </w:pPr>
          </w:p>
        </w:tc>
      </w:tr>
      <w:tr>
        <w:trPr>
          <w:trHeight w:val="201"/>
        </w:trPr>
        <w:tc>
          <w:tcPr>
            <w:tcW w:w="78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460" w:type="dxa"/>
            <w:vAlign w:val="bottom"/>
          </w:tcPr>
          <w:p>
            <w:pPr>
              <w:spacing w:after="0"/>
              <w:rPr>
                <w:sz w:val="17"/>
                <w:szCs w:val="17"/>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192</w:t>
            </w: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7"/>
                <w:szCs w:val="17"/>
                <w:color w:val="auto"/>
              </w:rPr>
            </w:pP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7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stock-based compensation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252</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7"/>
                <w:szCs w:val="17"/>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As of March 31, 2021, total unrecognized stock–based compensation cost related to unvested stock options and restricted stock awards was $2.1 million and $443,000, respectively. The Company expects to recognize this remaining cost over a weighted average period of 3.5 and 2.6 years, respectively.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456"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Income taxes</w:t>
      </w:r>
    </w:p>
    <w:p>
      <w:pPr>
        <w:spacing w:after="0" w:line="142"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The Company did not record a provision or benefit for income taxes during the three months ended March 31, 2021 or 2020. The Company continues to maintain a full valuation allowance against all of its deferred tax assets.</w:t>
      </w:r>
    </w:p>
    <w:p>
      <w:pPr>
        <w:spacing w:after="0" w:line="8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has evaluated the positive and negative evidence involving its ability to realize our deferred tax assets. The Company has considered its history of cumulative net losses incurred since inception and its lack of any commercial products. The Company has concluded that it is more likely than not that it will not realize the benefits of its deferred tax assets. The Company reevaluates the positive and negative evidence at each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Net loss per common share</w:t>
      </w:r>
    </w:p>
    <w:p>
      <w:pPr>
        <w:spacing w:after="0" w:line="142"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Basic and diluted net loss per share attributable to common stockholders is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100" w:type="dxa"/>
            <w:vAlign w:val="bottom"/>
          </w:tcPr>
          <w:p>
            <w:pPr>
              <w:spacing w:after="0"/>
              <w:rPr>
                <w:sz w:val="19"/>
                <w:szCs w:val="19"/>
                <w:color w:val="auto"/>
              </w:rPr>
            </w:pPr>
          </w:p>
        </w:tc>
      </w:tr>
      <w:tr>
        <w:trPr>
          <w:trHeight w:val="221"/>
        </w:trPr>
        <w:tc>
          <w:tcPr>
            <w:tcW w:w="7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2020</w:t>
            </w:r>
          </w:p>
        </w:tc>
      </w:tr>
      <w:tr>
        <w:trPr>
          <w:trHeight w:val="194"/>
        </w:trPr>
        <w:tc>
          <w:tcPr>
            <w:tcW w:w="8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640"/>
              <w:spacing w:after="0" w:line="194" w:lineRule="exact"/>
              <w:rPr>
                <w:sz w:val="20"/>
                <w:szCs w:val="20"/>
                <w:color w:val="auto"/>
              </w:rPr>
            </w:pPr>
            <w:r>
              <w:rPr>
                <w:rFonts w:ascii="Arial" w:cs="Arial" w:eastAsia="Arial" w:hAnsi="Arial"/>
                <w:sz w:val="17"/>
                <w:szCs w:val="17"/>
                <w:color w:val="auto"/>
              </w:rPr>
              <w:t>(12,276)</w:t>
            </w:r>
          </w:p>
        </w:tc>
        <w:tc>
          <w:tcPr>
            <w:tcW w:w="26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(4,302)</w:t>
            </w:r>
          </w:p>
        </w:tc>
      </w:tr>
      <w:tr>
        <w:trPr>
          <w:trHeight w:val="207"/>
        </w:trPr>
        <w:tc>
          <w:tcPr>
            <w:tcW w:w="8020" w:type="dxa"/>
            <w:vAlign w:val="bottom"/>
            <w:gridSpan w:val="2"/>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640"/>
              <w:spacing w:after="0"/>
              <w:rPr>
                <w:sz w:val="20"/>
                <w:szCs w:val="20"/>
                <w:color w:val="auto"/>
              </w:rPr>
            </w:pPr>
            <w:r>
              <w:rPr>
                <w:rFonts w:ascii="Arial" w:cs="Arial" w:eastAsia="Arial" w:hAnsi="Arial"/>
                <w:sz w:val="17"/>
                <w:szCs w:val="17"/>
                <w:color w:val="auto"/>
              </w:rPr>
              <w:t>(2.03)</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(0.86)</w:t>
            </w:r>
          </w:p>
        </w:tc>
      </w:tr>
      <w:tr>
        <w:trPr>
          <w:trHeight w:val="204"/>
        </w:trPr>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number of common shares used in computing net loss per share—basic and</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2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6,034,427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00" w:type="dxa"/>
            <w:vAlign w:val="bottom"/>
            <w:shd w:val="clear" w:color="auto" w:fill="CCEEFF"/>
          </w:tcPr>
          <w:p>
            <w:pPr>
              <w:spacing w:after="0"/>
              <w:rPr>
                <w:sz w:val="17"/>
                <w:szCs w:val="17"/>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following outstanding potentially dilutive securities have been excluded from the calculation of diluted net loss per common share, as their effect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March 31,</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March 31,</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8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9"/>
                <w:szCs w:val="19"/>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Convertible Preferred Stock</w:t>
            </w:r>
          </w:p>
        </w:tc>
        <w:tc>
          <w:tcPr>
            <w:tcW w:w="1560" w:type="dxa"/>
            <w:vAlign w:val="bottom"/>
            <w:gridSpan w:val="3"/>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109,686,035</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19,250,000</w:t>
            </w:r>
          </w:p>
        </w:tc>
        <w:tc>
          <w:tcPr>
            <w:tcW w:w="80" w:type="dxa"/>
            <w:vAlign w:val="bottom"/>
            <w:shd w:val="clear" w:color="auto" w:fill="CCEEFF"/>
          </w:tcPr>
          <w:p>
            <w:pPr>
              <w:spacing w:after="0"/>
              <w:rPr>
                <w:sz w:val="16"/>
                <w:szCs w:val="16"/>
                <w:color w:val="auto"/>
              </w:rPr>
            </w:pPr>
          </w:p>
        </w:tc>
      </w:tr>
      <w:tr>
        <w:trPr>
          <w:trHeight w:val="201"/>
        </w:trPr>
        <w:tc>
          <w:tcPr>
            <w:tcW w:w="8440" w:type="dxa"/>
            <w:vAlign w:val="bottom"/>
          </w:tcPr>
          <w:p>
            <w:pPr>
              <w:spacing w:after="0"/>
              <w:rPr>
                <w:sz w:val="20"/>
                <w:szCs w:val="20"/>
                <w:color w:val="auto"/>
              </w:rPr>
            </w:pPr>
            <w:r>
              <w:rPr>
                <w:rFonts w:ascii="Arial" w:cs="Arial" w:eastAsia="Arial" w:hAnsi="Arial"/>
                <w:sz w:val="17"/>
                <w:szCs w:val="17"/>
                <w:color w:val="auto"/>
              </w:rPr>
              <w:t>Stock options to purchase common stock</w:t>
            </w: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6,464,649</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Restricted common stock</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1,619,454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1,470,588</w:t>
            </w:r>
          </w:p>
        </w:tc>
        <w:tc>
          <w:tcPr>
            <w:tcW w:w="80" w:type="dxa"/>
            <w:vAlign w:val="bottom"/>
            <w:shd w:val="clear" w:color="auto" w:fill="CCEEFF"/>
          </w:tcPr>
          <w:p>
            <w:pPr>
              <w:spacing w:after="0"/>
              <w:rPr>
                <w:sz w:val="17"/>
                <w:szCs w:val="17"/>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Related parties</w:t>
      </w:r>
    </w:p>
    <w:p>
      <w:pPr>
        <w:spacing w:after="0" w:line="14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Versant Ventures has been a related party since inception of the Company as an investor and member of the board of directors. The Company has a service agreement with a Versant Ventures portfolio company, Ridgeline Therapeutics GmbH, or Ridgeline. Ridgeline provided management and administrative support to facilitate start-up of the Company and provided and continues to provide research and development services. Expenses attributable to Ridgeline were recognized primarily in research and development expenses in the Company’s condensed combined and consolidated statements of operations and comprehensive loss. The Company paid $4.7 million and $2.5 million to Ridgeline during the three months ended March 31, 2021 and 2020, respectively. As of March 31, 2021 and December 31, 2020, the Company had $2.6 million and $4.8 million, respectively, in accounts payable in the condensed consolidated balance sheets associated with Ridgeline.</w:t>
      </w:r>
    </w:p>
    <w:p>
      <w:pPr>
        <w:spacing w:after="0" w:line="92"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The Company also has a cost sharing agreement with Versant Ventures for the Company’s Chief Executive Officer. Amounts recognized as a result of this agreement are recognized in general and administrative expenses in the Company’s condensed combined and consolidated statements of operations and comprehensive loss. The Company received $79,000 and paid $15,000 to Versant Ventures during the three months 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456" w:right="3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March 31, 2021 and 2020, respectively, related to this agreement. As of March 31, 2021 and December 31, 2020, the Company had $40,000 and $79,000, respectively, in prepaids and other current assets in the condensed consolidated balance sheets related to this agreement.</w:t>
      </w:r>
    </w:p>
    <w:p>
      <w:pPr>
        <w:spacing w:after="0" w:line="8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ICR has been a related party since inception of the Company. The Company had a license, collaboration and investment agreement with the ICR as described in Note 6 of the Company’s annual combined and consolidated financial statements. The Company paid $0 and $609,000 to ICR during the three months ended March 31, 2021 and 2020, respectively. As of March 31, 2021 and December 31, 2020, no amounts were owed by the Company to ICR.</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Employee retirement plan</w:t>
      </w:r>
    </w:p>
    <w:p>
      <w:pPr>
        <w:spacing w:after="0" w:line="14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In February 2021, the Company adopted a defined contribution plan intended to qualify under Section 401(k) of the Internal Revenue Code covering all eligible U.S. based employees of the Company. All employees are eligible to become participants of the plan immediately upon hire. Each active employee may elect, voluntarily, to contribute a percentage of their compensation to the plan each year, subject to certain limitations. The Company reserves the right, but is not obligated, to make additional contributions to this plan. The Company makes safe-harbor match contributions of 100% of the first 4% of each participant’s eligible compensation. The Company recorded $33,000 and $0 matching 401(k) contribution related expense during the three months ended March 31, 2021 and March 31,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Subsequent events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has evaluated subsequent events through May 21, 2021, the date these financial statements were issued, and has determined that there have been no events that have occurred that would require adjustments to the Company’s disclosures in the condensed combined and consolidated financial statements, except as referenced below.</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In April 2021, the Company entered into a lease agreement for laboratory and office space in Basel, Switzerland. The lease is in effect for five years ending March 31, 2026 with a base rent for the facility is $416,000 per year. The rent is subject to an annual increase based on Swiss inflation on the anniversary date.</w:t>
      </w:r>
    </w:p>
    <w:p>
      <w:pPr>
        <w:spacing w:after="0" w:line="8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April and May 2021, the Company granted 9,470,232 options to purchase the Company’s common stock at a weighted average exercise price of $1.76 and a weighted average grant date fair value of $1.21.</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200"/>
          </w:cols>
          <w:pgMar w:left="320" w:top="456" w:right="3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5680"/>
        <w:spacing w:after="0"/>
        <w:rPr>
          <w:sz w:val="20"/>
          <w:szCs w:val="20"/>
          <w:color w:val="auto"/>
        </w:rPr>
      </w:pPr>
      <w:r>
        <w:rPr>
          <w:rFonts w:ascii="Arial" w:cs="Arial" w:eastAsia="Arial" w:hAnsi="Arial"/>
          <w:sz w:val="24"/>
          <w:szCs w:val="24"/>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729615</wp:posOffset>
            </wp:positionV>
            <wp:extent cx="2708910" cy="7131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08910" cy="71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i w:val="1"/>
          <w:iCs w:val="1"/>
          <w:color w:val="auto"/>
        </w:rPr>
        <w:t>Common Stock</w:t>
      </w: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spacing w:after="0"/>
        <w:tabs>
          <w:tab w:leader="none" w:pos="2760" w:val="left"/>
          <w:tab w:leader="none" w:pos="5020" w:val="left"/>
          <w:tab w:leader="none" w:pos="798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Cowen</w:t>
      </w:r>
      <w:r>
        <w:rPr>
          <w:sz w:val="20"/>
          <w:szCs w:val="20"/>
          <w:color w:val="auto"/>
        </w:rPr>
        <w:tab/>
      </w:r>
      <w:r>
        <w:rPr>
          <w:rFonts w:ascii="Arial" w:cs="Arial" w:eastAsia="Arial" w:hAnsi="Arial"/>
          <w:sz w:val="24"/>
          <w:szCs w:val="24"/>
          <w:b w:val="1"/>
          <w:bCs w:val="1"/>
          <w:color w:val="auto"/>
        </w:rPr>
        <w:t>Piper Sandler</w:t>
      </w:r>
      <w:r>
        <w:rPr>
          <w:sz w:val="20"/>
          <w:szCs w:val="20"/>
          <w:color w:val="auto"/>
        </w:rPr>
        <w:tab/>
      </w:r>
      <w:r>
        <w:rPr>
          <w:rFonts w:ascii="Arial" w:cs="Arial" w:eastAsia="Arial" w:hAnsi="Arial"/>
          <w:sz w:val="23"/>
          <w:szCs w:val="23"/>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Until , 2021,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2021</w:t>
      </w:r>
    </w:p>
    <w:p>
      <w:pPr>
        <w:sectPr>
          <w:pgSz w:w="11900" w:h="16838" w:orient="portrait"/>
          <w:cols w:equalWidth="0" w:num="1">
            <w:col w:w="11040"/>
          </w:cols>
          <w:pgMar w:left="320" w:top="456" w:right="5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Other expenses of issuance and distribution</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to be paid by us in connection with the sale of the shares of common stock being registered hereby. All amounts shown are estimates except for the SEC registration fee, the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10,910</w:t>
            </w:r>
          </w:p>
        </w:tc>
      </w:tr>
      <w:tr>
        <w:trPr>
          <w:trHeight w:val="201"/>
        </w:trPr>
        <w:tc>
          <w:tcPr>
            <w:tcW w:w="6760" w:type="dxa"/>
            <w:vAlign w:val="bottom"/>
          </w:tcPr>
          <w:p>
            <w:pPr>
              <w:spacing w:after="0"/>
              <w:rPr>
                <w:sz w:val="20"/>
                <w:szCs w:val="20"/>
                <w:color w:val="auto"/>
              </w:rPr>
            </w:pPr>
            <w:r>
              <w:rPr>
                <w:rFonts w:ascii="Arial" w:cs="Arial" w:eastAsia="Arial" w:hAnsi="Arial"/>
                <w:sz w:val="17"/>
                <w:szCs w:val="17"/>
                <w:color w:val="auto"/>
              </w:rPr>
              <w:t>FINRA filing fee</w:t>
            </w:r>
          </w:p>
        </w:tc>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15,500</w:t>
            </w: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2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1"/>
        </w:trPr>
        <w:tc>
          <w:tcPr>
            <w:tcW w:w="676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1"/>
        </w:trPr>
        <w:tc>
          <w:tcPr>
            <w:tcW w:w="676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Blue Sky fees and expenses (including legal fees)</w:t>
            </w:r>
          </w:p>
        </w:tc>
        <w:tc>
          <w:tcPr>
            <w:tcW w:w="2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1"/>
        </w:trPr>
        <w:tc>
          <w:tcPr>
            <w:tcW w:w="676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9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20"/>
        </w:trPr>
        <w:tc>
          <w:tcPr>
            <w:tcW w:w="6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w:t>
            </w:r>
          </w:p>
        </w:tc>
        <w:tc>
          <w:tcPr>
            <w:tcW w:w="33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r>
    </w:tbl>
    <w:p>
      <w:pPr>
        <w:spacing w:after="0" w:line="66" w:lineRule="exact"/>
        <w:rPr>
          <w:sz w:val="20"/>
          <w:szCs w:val="20"/>
          <w:color w:val="auto"/>
        </w:rPr>
      </w:pPr>
    </w:p>
    <w:p>
      <w:pPr>
        <w:ind w:left="320" w:hanging="313"/>
        <w:spacing w:after="0"/>
        <w:tabs>
          <w:tab w:leader="none" w:pos="3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Indemnification of directors and officers</w:t>
      </w:r>
    </w:p>
    <w:p>
      <w:pPr>
        <w:spacing w:after="0" w:line="14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29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We have adopted provisions in our certificate of incorporation and bylaws to be in effect upon the effectiveness of this registration statement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05" w:lineRule="exact"/>
        <w:rPr>
          <w:sz w:val="20"/>
          <w:szCs w:val="20"/>
          <w:color w:val="auto"/>
        </w:rPr>
      </w:pPr>
    </w:p>
    <w:p>
      <w:pPr>
        <w:ind w:left="220" w:hanging="213"/>
        <w:spacing w:after="0"/>
        <w:tabs>
          <w:tab w:leader="none" w:pos="2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125" w:lineRule="exact"/>
        <w:rPr>
          <w:rFonts w:ascii="Arial" w:cs="Arial" w:eastAsia="Arial" w:hAnsi="Arial"/>
          <w:sz w:val="17"/>
          <w:szCs w:val="17"/>
          <w:color w:val="auto"/>
        </w:rPr>
      </w:pPr>
    </w:p>
    <w:p>
      <w:pPr>
        <w:ind w:left="220" w:hanging="213"/>
        <w:spacing w:after="0"/>
        <w:tabs>
          <w:tab w:leader="none" w:pos="2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240"/>
          </w:cols>
          <w:pgMar w:left="320" w:top="456"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bylaws to be in effect upon the effectiveness of this registration statement provide that:</w:t>
      </w:r>
    </w:p>
    <w:p>
      <w:pPr>
        <w:spacing w:after="0" w:line="125" w:lineRule="exact"/>
        <w:rPr>
          <w:sz w:val="20"/>
          <w:szCs w:val="20"/>
          <w:color w:val="auto"/>
        </w:rPr>
      </w:pPr>
    </w:p>
    <w:p>
      <w:pPr>
        <w:ind w:left="220" w:right="160" w:hanging="213"/>
        <w:spacing w:after="0" w:line="263" w:lineRule="auto"/>
        <w:tabs>
          <w:tab w:leader="none" w:pos="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93" w:lineRule="exact"/>
        <w:rPr>
          <w:rFonts w:ascii="Arial" w:cs="Arial" w:eastAsia="Arial" w:hAnsi="Arial"/>
          <w:sz w:val="17"/>
          <w:szCs w:val="17"/>
          <w:color w:val="auto"/>
        </w:rPr>
      </w:pPr>
    </w:p>
    <w:p>
      <w:pPr>
        <w:ind w:left="220" w:right="160" w:hanging="213"/>
        <w:spacing w:after="0" w:line="263" w:lineRule="auto"/>
        <w:tabs>
          <w:tab w:leader="none" w:pos="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93"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80"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of us and our directors and officers by the underwriters against certain liabilities under the Securities Act and the Exchange Act.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Recent sales of unregistered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Issuance of convertible promissory notes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2019, we issued a convertible promissory note to an accredited investor in the principal amount of $750,000.</w:t>
      </w:r>
    </w:p>
    <w:p>
      <w:pPr>
        <w:spacing w:after="0" w:line="11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this transaction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220"/>
          </w:cols>
          <w:pgMar w:left="320" w:top="456" w:right="3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registration or an available exemption from such registration. All of the foregoing securities are deemed restricted securities for the purposes of the Securities Act.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Issuances of capital stock</w:t>
      </w:r>
    </w:p>
    <w:p>
      <w:pPr>
        <w:spacing w:after="0" w:line="13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April 2020 and September 2020, in connection with two separate Contribution and Exchange Agreements with the shareholders of Monte Rosa Therapeutics AG, we issued an aggregate of 5,000,000 shares of our common stock, 612,705 shares of our common stock in the form of restricted stock and 19,250,000 shares of our Series A convertible preferred stock to the shareholders of Monte Rosa Therapeutics AG, which included accredited investors, directors and employees.</w:t>
      </w:r>
    </w:p>
    <w:p>
      <w:pPr>
        <w:spacing w:after="0" w:line="92"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Concurrent with the execution of the April 2020 Contribution and Exchange Agreement, we converted the entire principal amount of our outstanding convertible promissory note issued in December 2019 to an accredited investor, plus interest, into 754,280 shares of our Series A convertible preferred stock (for an aggregate issuance of 20,004,280 shares of Series A convertible preferred stock).</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April 2020, accredited investors purchased an aggregate of 9,627,234 shares of our Series A-2 convertible preferred stock at a price per share of $1.2984.</w:t>
      </w:r>
    </w:p>
    <w:p>
      <w:pPr>
        <w:spacing w:after="0" w:line="80"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In September 2020 and in February 2021, accredited investors purchased an aggregate of 48,000,000 shares of our Series B convertible preferred stock at a price per share of $2.00.</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March 2021, accredited investors purchased an aggregate of 32,054,521 shares of our Series C convertible preferred stock at a price per share of $2.9637.</w:t>
      </w:r>
    </w:p>
    <w:p>
      <w:pPr>
        <w:spacing w:after="0" w:line="8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Grants and exercises of stock options and restricted stock</w:t>
      </w:r>
    </w:p>
    <w:p>
      <w:pPr>
        <w:spacing w:after="0" w:line="132"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As of May 21, 2021, we have granted stock options to purchase an aggregate of 17,256,378 shares of our common stock, with exercise prices ranging from $0.32 to $2.23 per share, to employees, directors and consultants. pursuant to 2020 Plan, and no shares of common stock have been issued upon the exercise of stock options pursuant to the 2020 Plan.</w:t>
      </w:r>
    </w:p>
    <w:p>
      <w:pPr>
        <w:spacing w:after="0" w:line="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7"/>
          <w:szCs w:val="17"/>
          <w:color w:val="auto"/>
        </w:rPr>
        <w:t>As of May 21, 2021, we have granted an aggregate of 1,250,446 shares of restricted stock to employees and consultants under the 2020 Plan and an additional 1,470,588 outside of the 2020 Plan.</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issuances of the securities under the 2020 Plan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88"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The issuance of securities described above to employees and consultants outside of the 2020 Plan were deemed exempt from registration pursuant to Section 4(a)(2) of the Securities Act as transactions by an issuer not involving a public offering.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220"/>
          </w:cols>
          <w:pgMar w:left="320" w:top="456" w:right="3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16. Exhibits and financial statement schedules</w:t>
      </w:r>
    </w:p>
    <w:p>
      <w:pPr>
        <w:spacing w:after="0" w:line="155" w:lineRule="exact"/>
        <w:rPr>
          <w:sz w:val="20"/>
          <w:szCs w:val="20"/>
          <w:color w:val="auto"/>
        </w:rPr>
      </w:pPr>
    </w:p>
    <w:p>
      <w:pPr>
        <w:ind w:left="440" w:hanging="433"/>
        <w:spacing w:after="0"/>
        <w:tabs>
          <w:tab w:leader="none" w:pos="4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3359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460" w:type="dxa"/>
            <w:vAlign w:val="bottom"/>
            <w:tcBorders>
              <w:bottom w:val="single" w:sz="8" w:color="auto"/>
            </w:tcBorders>
          </w:tcPr>
          <w:p>
            <w:pPr>
              <w:spacing w:after="0"/>
              <w:rPr>
                <w:sz w:val="19"/>
                <w:szCs w:val="19"/>
                <w:color w:val="auto"/>
              </w:rPr>
            </w:pPr>
          </w:p>
        </w:tc>
        <w:tc>
          <w:tcPr>
            <w:tcW w:w="10100" w:type="dxa"/>
            <w:vAlign w:val="bottom"/>
            <w:tcBorders>
              <w:bottom w:val="single" w:sz="8" w:color="auto"/>
            </w:tcBorders>
            <w:gridSpan w:val="17"/>
          </w:tcPr>
          <w:p>
            <w:pPr>
              <w:spacing w:after="0"/>
              <w:rPr>
                <w:sz w:val="20"/>
                <w:szCs w:val="20"/>
                <w:color w:val="auto"/>
              </w:rPr>
            </w:pPr>
            <w:r>
              <w:rPr>
                <w:rFonts w:ascii="Arial" w:cs="Arial" w:eastAsia="Arial" w:hAnsi="Arial"/>
                <w:sz w:val="17"/>
                <w:szCs w:val="17"/>
                <w:b w:val="1"/>
                <w:bCs w:val="1"/>
                <w:color w:val="auto"/>
              </w:rPr>
              <w:t>Exhibit table</w:t>
            </w:r>
          </w:p>
        </w:tc>
      </w:tr>
      <w:tr>
        <w:trPr>
          <w:trHeight w:val="259"/>
        </w:trPr>
        <w:tc>
          <w:tcPr>
            <w:tcW w:w="680" w:type="dxa"/>
            <w:vAlign w:val="bottom"/>
          </w:tcPr>
          <w:p>
            <w:pPr>
              <w:ind w:left="100"/>
              <w:spacing w:after="0"/>
              <w:rPr>
                <w:sz w:val="20"/>
                <w:szCs w:val="20"/>
                <w:color w:val="auto"/>
              </w:rPr>
            </w:pPr>
            <w:r>
              <w:rPr>
                <w:rFonts w:ascii="Arial" w:cs="Arial" w:eastAsia="Arial" w:hAnsi="Arial"/>
                <w:sz w:val="17"/>
                <w:szCs w:val="17"/>
                <w:color w:val="auto"/>
              </w:rPr>
              <w:t>1.1*</w:t>
            </w:r>
          </w:p>
        </w:tc>
        <w:tc>
          <w:tcPr>
            <w:tcW w:w="460" w:type="dxa"/>
            <w:vAlign w:val="bottom"/>
          </w:tcPr>
          <w:p>
            <w:pPr>
              <w:spacing w:after="0"/>
              <w:rPr>
                <w:sz w:val="22"/>
                <w:szCs w:val="22"/>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Form of Underwriting Agreement</w:t>
            </w:r>
          </w:p>
        </w:tc>
      </w:tr>
      <w:tr>
        <w:trPr>
          <w:trHeight w:val="229"/>
        </w:trPr>
        <w:tc>
          <w:tcPr>
            <w:tcW w:w="680" w:type="dxa"/>
            <w:vAlign w:val="bottom"/>
          </w:tcPr>
          <w:p>
            <w:pPr>
              <w:ind w:left="100"/>
              <w:spacing w:after="0"/>
              <w:rPr>
                <w:sz w:val="20"/>
                <w:szCs w:val="20"/>
                <w:color w:val="auto"/>
              </w:rPr>
            </w:pPr>
            <w:r>
              <w:rPr>
                <w:rFonts w:ascii="Arial" w:cs="Arial" w:eastAsia="Arial" w:hAnsi="Arial"/>
                <w:sz w:val="17"/>
                <w:szCs w:val="17"/>
                <w:color w:val="auto"/>
              </w:rPr>
              <w:t>3.1</w:t>
            </w:r>
          </w:p>
        </w:tc>
        <w:tc>
          <w:tcPr>
            <w:tcW w:w="460" w:type="dxa"/>
            <w:vAlign w:val="bottom"/>
          </w:tcPr>
          <w:p>
            <w:pPr>
              <w:spacing w:after="0"/>
              <w:rPr>
                <w:sz w:val="19"/>
                <w:szCs w:val="19"/>
                <w:color w:val="auto"/>
              </w:rPr>
            </w:pPr>
          </w:p>
        </w:tc>
        <w:tc>
          <w:tcPr>
            <w:tcW w:w="10100" w:type="dxa"/>
            <w:vAlign w:val="bottom"/>
            <w:gridSpan w:val="17"/>
          </w:tcPr>
          <w:p>
            <w:pPr>
              <w:spacing w:after="0"/>
              <w:rPr>
                <w:rFonts w:ascii="Arial" w:cs="Arial" w:eastAsia="Arial" w:hAnsi="Arial"/>
                <w:sz w:val="17"/>
                <w:szCs w:val="17"/>
                <w:color w:val="0000EE"/>
              </w:rPr>
            </w:pPr>
            <w:hyperlink w:anchor="page265">
              <w:r>
                <w:rPr>
                  <w:rFonts w:ascii="Arial" w:cs="Arial" w:eastAsia="Arial" w:hAnsi="Arial"/>
                  <w:sz w:val="17"/>
                  <w:szCs w:val="17"/>
                  <w:color w:val="0000EE"/>
                </w:rPr>
                <w:t>Third Amended and Restated Certificate of Incorporation of the Registrant, as currently in effect</w:t>
              </w:r>
            </w:hyperlink>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7"/>
        </w:trPr>
        <w:tc>
          <w:tcPr>
            <w:tcW w:w="680" w:type="dxa"/>
            <w:vAlign w:val="bottom"/>
          </w:tcPr>
          <w:p>
            <w:pPr>
              <w:ind w:left="100"/>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21"/>
                <w:szCs w:val="21"/>
                <w:color w:val="auto"/>
              </w:rPr>
            </w:pPr>
          </w:p>
        </w:tc>
        <w:tc>
          <w:tcPr>
            <w:tcW w:w="9440" w:type="dxa"/>
            <w:vAlign w:val="bottom"/>
            <w:tcBorders>
              <w:bottom w:val="single" w:sz="8" w:color="0000EE"/>
            </w:tcBorders>
            <w:gridSpan w:val="14"/>
          </w:tcPr>
          <w:p>
            <w:pPr>
              <w:spacing w:after="0"/>
              <w:rPr>
                <w:rFonts w:ascii="Arial" w:cs="Arial" w:eastAsia="Arial" w:hAnsi="Arial"/>
                <w:sz w:val="17"/>
                <w:szCs w:val="17"/>
                <w:color w:val="0000EE"/>
              </w:rPr>
            </w:pPr>
            <w:hyperlink w:anchor="page293">
              <w:r>
                <w:rPr>
                  <w:rFonts w:ascii="Arial" w:cs="Arial" w:eastAsia="Arial" w:hAnsi="Arial"/>
                  <w:sz w:val="17"/>
                  <w:szCs w:val="17"/>
                  <w:color w:val="0000EE"/>
                </w:rPr>
                <w:t>Form of Fourth Amended and Restated Certificate of Incorporation of the Registrant (to be effective upon the closing of this</w:t>
              </w:r>
            </w:hyperlink>
          </w:p>
        </w:tc>
        <w:tc>
          <w:tcPr>
            <w:tcW w:w="660" w:type="dxa"/>
            <w:vAlign w:val="bottom"/>
            <w:gridSpan w:val="3"/>
          </w:tcPr>
          <w:p>
            <w:pPr>
              <w:spacing w:after="0"/>
              <w:rPr>
                <w:sz w:val="21"/>
                <w:szCs w:val="21"/>
                <w:color w:val="auto"/>
              </w:rPr>
            </w:pPr>
          </w:p>
        </w:tc>
      </w:tr>
      <w:tr>
        <w:trPr>
          <w:trHeight w:val="181"/>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100" w:type="dxa"/>
            <w:vAlign w:val="bottom"/>
            <w:gridSpan w:val="17"/>
          </w:tcPr>
          <w:p>
            <w:pPr>
              <w:spacing w:after="0" w:line="180" w:lineRule="exact"/>
              <w:rPr>
                <w:rFonts w:ascii="Arial" w:cs="Arial" w:eastAsia="Arial" w:hAnsi="Arial"/>
                <w:sz w:val="17"/>
                <w:szCs w:val="17"/>
                <w:color w:val="0000EE"/>
              </w:rPr>
            </w:pPr>
            <w:hyperlink w:anchor="page293">
              <w:r>
                <w:rPr>
                  <w:rFonts w:ascii="Arial" w:cs="Arial" w:eastAsia="Arial" w:hAnsi="Arial"/>
                  <w:sz w:val="17"/>
                  <w:szCs w:val="17"/>
                  <w:color w:val="0000EE"/>
                </w:rPr>
                <w:t>offering)</w:t>
              </w:r>
            </w:hyperlink>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7"/>
        </w:trPr>
        <w:tc>
          <w:tcPr>
            <w:tcW w:w="680" w:type="dxa"/>
            <w:vAlign w:val="bottom"/>
          </w:tcPr>
          <w:p>
            <w:pPr>
              <w:ind w:left="100"/>
              <w:spacing w:after="0"/>
              <w:rPr>
                <w:sz w:val="20"/>
                <w:szCs w:val="20"/>
                <w:color w:val="auto"/>
              </w:rPr>
            </w:pPr>
            <w:r>
              <w:rPr>
                <w:rFonts w:ascii="Arial" w:cs="Arial" w:eastAsia="Arial" w:hAnsi="Arial"/>
                <w:sz w:val="17"/>
                <w:szCs w:val="17"/>
                <w:color w:val="auto"/>
              </w:rPr>
              <w:t>3.3</w:t>
            </w:r>
          </w:p>
        </w:tc>
        <w:tc>
          <w:tcPr>
            <w:tcW w:w="460" w:type="dxa"/>
            <w:vAlign w:val="bottom"/>
          </w:tcPr>
          <w:p>
            <w:pPr>
              <w:spacing w:after="0"/>
              <w:rPr>
                <w:sz w:val="21"/>
                <w:szCs w:val="21"/>
                <w:color w:val="auto"/>
              </w:rPr>
            </w:pPr>
          </w:p>
        </w:tc>
        <w:tc>
          <w:tcPr>
            <w:tcW w:w="3580" w:type="dxa"/>
            <w:vAlign w:val="bottom"/>
            <w:tcBorders>
              <w:bottom w:val="single" w:sz="8" w:color="0000EE"/>
            </w:tcBorders>
            <w:gridSpan w:val="9"/>
          </w:tcPr>
          <w:p>
            <w:pPr>
              <w:spacing w:after="0"/>
              <w:rPr>
                <w:rFonts w:ascii="Arial" w:cs="Arial" w:eastAsia="Arial" w:hAnsi="Arial"/>
                <w:sz w:val="17"/>
                <w:szCs w:val="17"/>
                <w:color w:val="0000EE"/>
              </w:rPr>
            </w:pPr>
            <w:hyperlink w:anchor="page300">
              <w:r>
                <w:rPr>
                  <w:rFonts w:ascii="Arial" w:cs="Arial" w:eastAsia="Arial" w:hAnsi="Arial"/>
                  <w:sz w:val="17"/>
                  <w:szCs w:val="17"/>
                  <w:color w:val="0000EE"/>
                </w:rPr>
                <w:t>By-laws of the Registrant, as currently in effect</w:t>
              </w:r>
            </w:hyperlink>
          </w:p>
        </w:tc>
        <w:tc>
          <w:tcPr>
            <w:tcW w:w="6520" w:type="dxa"/>
            <w:vAlign w:val="bottom"/>
            <w:gridSpan w:val="8"/>
          </w:tcPr>
          <w:p>
            <w:pPr>
              <w:spacing w:after="0"/>
              <w:rPr>
                <w:sz w:val="21"/>
                <w:szCs w:val="21"/>
                <w:color w:val="auto"/>
              </w:rPr>
            </w:pPr>
          </w:p>
        </w:tc>
      </w:tr>
      <w:tr>
        <w:trPr>
          <w:trHeight w:val="247"/>
        </w:trPr>
        <w:tc>
          <w:tcPr>
            <w:tcW w:w="680" w:type="dxa"/>
            <w:vAlign w:val="bottom"/>
          </w:tcPr>
          <w:p>
            <w:pPr>
              <w:ind w:left="100"/>
              <w:spacing w:after="0"/>
              <w:rPr>
                <w:sz w:val="20"/>
                <w:szCs w:val="20"/>
                <w:color w:val="auto"/>
              </w:rPr>
            </w:pPr>
            <w:r>
              <w:rPr>
                <w:rFonts w:ascii="Arial" w:cs="Arial" w:eastAsia="Arial" w:hAnsi="Arial"/>
                <w:sz w:val="17"/>
                <w:szCs w:val="17"/>
                <w:color w:val="auto"/>
              </w:rPr>
              <w:t>3.4</w:t>
            </w:r>
          </w:p>
        </w:tc>
        <w:tc>
          <w:tcPr>
            <w:tcW w:w="460" w:type="dxa"/>
            <w:vAlign w:val="bottom"/>
          </w:tcPr>
          <w:p>
            <w:pPr>
              <w:spacing w:after="0"/>
              <w:rPr>
                <w:sz w:val="21"/>
                <w:szCs w:val="21"/>
                <w:color w:val="auto"/>
              </w:rPr>
            </w:pPr>
          </w:p>
        </w:tc>
        <w:tc>
          <w:tcPr>
            <w:tcW w:w="6820" w:type="dxa"/>
            <w:vAlign w:val="bottom"/>
            <w:tcBorders>
              <w:bottom w:val="single" w:sz="8" w:color="0000EE"/>
            </w:tcBorders>
            <w:gridSpan w:val="10"/>
          </w:tcPr>
          <w:p>
            <w:pPr>
              <w:spacing w:after="0"/>
              <w:rPr>
                <w:rFonts w:ascii="Arial" w:cs="Arial" w:eastAsia="Arial" w:hAnsi="Arial"/>
                <w:sz w:val="17"/>
                <w:szCs w:val="17"/>
                <w:color w:val="0000EE"/>
              </w:rPr>
            </w:pPr>
            <w:hyperlink w:anchor="page315">
              <w:r>
                <w:rPr>
                  <w:rFonts w:ascii="Arial" w:cs="Arial" w:eastAsia="Arial" w:hAnsi="Arial"/>
                  <w:sz w:val="17"/>
                  <w:szCs w:val="17"/>
                  <w:color w:val="0000EE"/>
                </w:rPr>
                <w:t>Form of Amended and Restated By-laws (to be effective upon the closing of this offering)</w:t>
              </w:r>
            </w:hyperlink>
          </w:p>
        </w:tc>
        <w:tc>
          <w:tcPr>
            <w:tcW w:w="3280" w:type="dxa"/>
            <w:vAlign w:val="bottom"/>
            <w:gridSpan w:val="7"/>
          </w:tcPr>
          <w:p>
            <w:pPr>
              <w:spacing w:after="0"/>
              <w:rPr>
                <w:sz w:val="21"/>
                <w:szCs w:val="21"/>
                <w:color w:val="auto"/>
              </w:rPr>
            </w:pPr>
          </w:p>
        </w:tc>
      </w:tr>
      <w:tr>
        <w:trPr>
          <w:trHeight w:val="247"/>
        </w:trPr>
        <w:tc>
          <w:tcPr>
            <w:tcW w:w="680" w:type="dxa"/>
            <w:vAlign w:val="bottom"/>
          </w:tcPr>
          <w:p>
            <w:pPr>
              <w:ind w:left="100"/>
              <w:spacing w:after="0"/>
              <w:rPr>
                <w:sz w:val="20"/>
                <w:szCs w:val="20"/>
                <w:color w:val="auto"/>
              </w:rPr>
            </w:pPr>
            <w:r>
              <w:rPr>
                <w:rFonts w:ascii="Arial" w:cs="Arial" w:eastAsia="Arial" w:hAnsi="Arial"/>
                <w:sz w:val="17"/>
                <w:szCs w:val="17"/>
                <w:color w:val="auto"/>
              </w:rPr>
              <w:t>4.1</w:t>
            </w:r>
          </w:p>
        </w:tc>
        <w:tc>
          <w:tcPr>
            <w:tcW w:w="460" w:type="dxa"/>
            <w:vAlign w:val="bottom"/>
          </w:tcPr>
          <w:p>
            <w:pPr>
              <w:spacing w:after="0"/>
              <w:rPr>
                <w:sz w:val="21"/>
                <w:szCs w:val="21"/>
                <w:color w:val="auto"/>
              </w:rPr>
            </w:pPr>
          </w:p>
        </w:tc>
        <w:tc>
          <w:tcPr>
            <w:tcW w:w="10100" w:type="dxa"/>
            <w:vAlign w:val="bottom"/>
            <w:tcBorders>
              <w:bottom w:val="single" w:sz="8" w:color="0000EE"/>
            </w:tcBorders>
            <w:gridSpan w:val="17"/>
          </w:tcPr>
          <w:p>
            <w:pPr>
              <w:spacing w:after="0"/>
              <w:rPr>
                <w:rFonts w:ascii="Arial" w:cs="Arial" w:eastAsia="Arial" w:hAnsi="Arial"/>
                <w:sz w:val="17"/>
                <w:szCs w:val="17"/>
                <w:color w:val="0000EE"/>
              </w:rPr>
            </w:pPr>
            <w:hyperlink w:anchor="page338">
              <w:r>
                <w:rPr>
                  <w:rFonts w:ascii="Arial" w:cs="Arial" w:eastAsia="Arial" w:hAnsi="Arial"/>
                  <w:sz w:val="17"/>
                  <w:szCs w:val="17"/>
                  <w:color w:val="0000EE"/>
                </w:rPr>
                <w:t>Second Amended and Restated Investors’ Rights Agreement among the Registrant and certain of its stockholders, dated March 11,</w:t>
              </w:r>
            </w:hyperlink>
          </w:p>
        </w:tc>
      </w:tr>
      <w:tr>
        <w:trPr>
          <w:trHeight w:val="181"/>
        </w:trPr>
        <w:tc>
          <w:tcPr>
            <w:tcW w:w="680" w:type="dxa"/>
            <w:vAlign w:val="bottom"/>
          </w:tcPr>
          <w:p>
            <w:pPr>
              <w:spacing w:after="0"/>
              <w:rPr>
                <w:sz w:val="15"/>
                <w:szCs w:val="15"/>
                <w:color w:val="auto"/>
              </w:rPr>
            </w:pPr>
          </w:p>
        </w:tc>
        <w:tc>
          <w:tcPr>
            <w:tcW w:w="840" w:type="dxa"/>
            <w:vAlign w:val="bottom"/>
            <w:gridSpan w:val="2"/>
          </w:tcPr>
          <w:p>
            <w:pPr>
              <w:ind w:left="460"/>
              <w:spacing w:after="0" w:line="180" w:lineRule="exact"/>
              <w:rPr>
                <w:rFonts w:ascii="Arial" w:cs="Arial" w:eastAsia="Arial" w:hAnsi="Arial"/>
                <w:sz w:val="17"/>
                <w:szCs w:val="17"/>
                <w:color w:val="0000EE"/>
                <w:w w:val="95"/>
              </w:rPr>
            </w:pPr>
            <w:hyperlink w:anchor="page338">
              <w:r>
                <w:rPr>
                  <w:rFonts w:ascii="Arial" w:cs="Arial" w:eastAsia="Arial" w:hAnsi="Arial"/>
                  <w:sz w:val="17"/>
                  <w:szCs w:val="17"/>
                  <w:color w:val="0000EE"/>
                  <w:w w:val="95"/>
                </w:rPr>
                <w:t>2021</w:t>
              </w:r>
            </w:hyperlink>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7"/>
        </w:trPr>
        <w:tc>
          <w:tcPr>
            <w:tcW w:w="680" w:type="dxa"/>
            <w:vAlign w:val="bottom"/>
          </w:tcPr>
          <w:p>
            <w:pPr>
              <w:ind w:left="100"/>
              <w:spacing w:after="0"/>
              <w:rPr>
                <w:sz w:val="20"/>
                <w:szCs w:val="20"/>
                <w:color w:val="auto"/>
              </w:rPr>
            </w:pPr>
            <w:r>
              <w:rPr>
                <w:rFonts w:ascii="Arial" w:cs="Arial" w:eastAsia="Arial" w:hAnsi="Arial"/>
                <w:sz w:val="17"/>
                <w:szCs w:val="17"/>
                <w:color w:val="auto"/>
              </w:rPr>
              <w:t>4.2</w:t>
            </w:r>
          </w:p>
        </w:tc>
        <w:tc>
          <w:tcPr>
            <w:tcW w:w="460" w:type="dxa"/>
            <w:vAlign w:val="bottom"/>
          </w:tcPr>
          <w:p>
            <w:pPr>
              <w:spacing w:after="0"/>
              <w:rPr>
                <w:sz w:val="21"/>
                <w:szCs w:val="21"/>
                <w:color w:val="auto"/>
              </w:rPr>
            </w:pPr>
          </w:p>
        </w:tc>
        <w:tc>
          <w:tcPr>
            <w:tcW w:w="2660" w:type="dxa"/>
            <w:vAlign w:val="bottom"/>
            <w:tcBorders>
              <w:bottom w:val="single" w:sz="8" w:color="0000EE"/>
            </w:tcBorders>
            <w:gridSpan w:val="5"/>
          </w:tcPr>
          <w:p>
            <w:pPr>
              <w:spacing w:after="0"/>
              <w:rPr>
                <w:rFonts w:ascii="Arial" w:cs="Arial" w:eastAsia="Arial" w:hAnsi="Arial"/>
                <w:sz w:val="17"/>
                <w:szCs w:val="17"/>
                <w:color w:val="0000EE"/>
              </w:rPr>
            </w:pPr>
            <w:hyperlink w:anchor="page384">
              <w:r>
                <w:rPr>
                  <w:rFonts w:ascii="Arial" w:cs="Arial" w:eastAsia="Arial" w:hAnsi="Arial"/>
                  <w:sz w:val="17"/>
                  <w:szCs w:val="17"/>
                  <w:color w:val="0000EE"/>
                </w:rPr>
                <w:t>Form of Common Stock Certificate</w:t>
              </w:r>
            </w:hyperlink>
          </w:p>
        </w:tc>
        <w:tc>
          <w:tcPr>
            <w:tcW w:w="7440" w:type="dxa"/>
            <w:vAlign w:val="bottom"/>
            <w:gridSpan w:val="12"/>
          </w:tcPr>
          <w:p>
            <w:pPr>
              <w:spacing w:after="0"/>
              <w:rPr>
                <w:sz w:val="21"/>
                <w:szCs w:val="21"/>
                <w:color w:val="auto"/>
              </w:rPr>
            </w:pPr>
          </w:p>
        </w:tc>
      </w:tr>
      <w:tr>
        <w:trPr>
          <w:trHeight w:val="286"/>
        </w:trPr>
        <w:tc>
          <w:tcPr>
            <w:tcW w:w="680" w:type="dxa"/>
            <w:vAlign w:val="bottom"/>
          </w:tcPr>
          <w:p>
            <w:pPr>
              <w:ind w:left="100"/>
              <w:spacing w:after="0"/>
              <w:rPr>
                <w:sz w:val="20"/>
                <w:szCs w:val="20"/>
                <w:color w:val="auto"/>
              </w:rPr>
            </w:pPr>
            <w:r>
              <w:rPr>
                <w:rFonts w:ascii="Arial" w:cs="Arial" w:eastAsia="Arial" w:hAnsi="Arial"/>
                <w:sz w:val="17"/>
                <w:szCs w:val="17"/>
                <w:color w:val="auto"/>
              </w:rPr>
              <w:t>5.1*</w:t>
            </w:r>
          </w:p>
        </w:tc>
        <w:tc>
          <w:tcPr>
            <w:tcW w:w="46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Opinion of Goodwin Procter LLP</w:t>
            </w:r>
          </w:p>
        </w:tc>
      </w:tr>
      <w:tr>
        <w:trPr>
          <w:trHeight w:val="229"/>
        </w:trPr>
        <w:tc>
          <w:tcPr>
            <w:tcW w:w="680" w:type="dxa"/>
            <w:vAlign w:val="bottom"/>
          </w:tcPr>
          <w:p>
            <w:pPr>
              <w:spacing w:after="0"/>
              <w:rPr>
                <w:sz w:val="20"/>
                <w:szCs w:val="20"/>
                <w:color w:val="auto"/>
              </w:rPr>
            </w:pPr>
            <w:r>
              <w:rPr>
                <w:rFonts w:ascii="Arial" w:cs="Arial" w:eastAsia="Arial" w:hAnsi="Arial"/>
                <w:sz w:val="17"/>
                <w:szCs w:val="17"/>
                <w:color w:val="auto"/>
              </w:rPr>
              <w:t>10.1#</w:t>
            </w:r>
          </w:p>
        </w:tc>
        <w:tc>
          <w:tcPr>
            <w:tcW w:w="460" w:type="dxa"/>
            <w:vAlign w:val="bottom"/>
          </w:tcPr>
          <w:p>
            <w:pPr>
              <w:spacing w:after="0"/>
              <w:rPr>
                <w:sz w:val="19"/>
                <w:szCs w:val="19"/>
                <w:color w:val="auto"/>
              </w:rPr>
            </w:pPr>
          </w:p>
        </w:tc>
        <w:tc>
          <w:tcPr>
            <w:tcW w:w="7140" w:type="dxa"/>
            <w:vAlign w:val="bottom"/>
            <w:tcBorders>
              <w:bottom w:val="single" w:sz="8" w:color="0000EE"/>
            </w:tcBorders>
            <w:gridSpan w:val="11"/>
          </w:tcPr>
          <w:p>
            <w:pPr>
              <w:spacing w:after="0"/>
              <w:rPr>
                <w:rFonts w:ascii="Arial" w:cs="Arial" w:eastAsia="Arial" w:hAnsi="Arial"/>
                <w:sz w:val="17"/>
                <w:szCs w:val="17"/>
                <w:color w:val="0000EE"/>
              </w:rPr>
            </w:pPr>
            <w:hyperlink w:anchor="page386">
              <w:r>
                <w:rPr>
                  <w:rFonts w:ascii="Arial" w:cs="Arial" w:eastAsia="Arial" w:hAnsi="Arial"/>
                  <w:sz w:val="17"/>
                  <w:szCs w:val="17"/>
                  <w:color w:val="0000EE"/>
                </w:rPr>
                <w:t>2020 Stock Option and Grant Plan, as amended, and forms of award agreements thereunder</w:t>
              </w:r>
            </w:hyperlink>
          </w:p>
        </w:tc>
        <w:tc>
          <w:tcPr>
            <w:tcW w:w="2960" w:type="dxa"/>
            <w:vAlign w:val="bottom"/>
            <w:gridSpan w:val="6"/>
          </w:tcPr>
          <w:p>
            <w:pPr>
              <w:spacing w:after="0"/>
              <w:rPr>
                <w:sz w:val="19"/>
                <w:szCs w:val="19"/>
                <w:color w:val="auto"/>
              </w:rPr>
            </w:pPr>
          </w:p>
        </w:tc>
      </w:tr>
      <w:tr>
        <w:trPr>
          <w:trHeight w:val="286"/>
        </w:trPr>
        <w:tc>
          <w:tcPr>
            <w:tcW w:w="680" w:type="dxa"/>
            <w:vAlign w:val="bottom"/>
          </w:tcPr>
          <w:p>
            <w:pPr>
              <w:spacing w:after="0"/>
              <w:rPr>
                <w:sz w:val="20"/>
                <w:szCs w:val="20"/>
                <w:color w:val="auto"/>
              </w:rPr>
            </w:pPr>
            <w:r>
              <w:rPr>
                <w:rFonts w:ascii="Arial" w:cs="Arial" w:eastAsia="Arial" w:hAnsi="Arial"/>
                <w:sz w:val="17"/>
                <w:szCs w:val="17"/>
                <w:color w:val="auto"/>
              </w:rPr>
              <w:t>10.2*#</w:t>
            </w:r>
          </w:p>
        </w:tc>
        <w:tc>
          <w:tcPr>
            <w:tcW w:w="46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2021 Stock Option and Incentive Plan and forms of award agreements thereunder</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10.3*#</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2021 Employee Stock Purchase Plan</w:t>
            </w:r>
          </w:p>
        </w:tc>
      </w:tr>
      <w:tr>
        <w:trPr>
          <w:trHeight w:val="229"/>
        </w:trPr>
        <w:tc>
          <w:tcPr>
            <w:tcW w:w="680" w:type="dxa"/>
            <w:vAlign w:val="bottom"/>
          </w:tcPr>
          <w:p>
            <w:pPr>
              <w:spacing w:after="0"/>
              <w:rPr>
                <w:sz w:val="20"/>
                <w:szCs w:val="20"/>
                <w:color w:val="auto"/>
              </w:rPr>
            </w:pPr>
            <w:r>
              <w:rPr>
                <w:rFonts w:ascii="Arial" w:cs="Arial" w:eastAsia="Arial" w:hAnsi="Arial"/>
                <w:sz w:val="17"/>
                <w:szCs w:val="17"/>
                <w:color w:val="auto"/>
              </w:rPr>
              <w:t>10.4#</w:t>
            </w:r>
          </w:p>
        </w:tc>
        <w:tc>
          <w:tcPr>
            <w:tcW w:w="460" w:type="dxa"/>
            <w:vAlign w:val="bottom"/>
          </w:tcPr>
          <w:p>
            <w:pPr>
              <w:spacing w:after="0"/>
              <w:rPr>
                <w:sz w:val="19"/>
                <w:szCs w:val="19"/>
                <w:color w:val="auto"/>
              </w:rPr>
            </w:pPr>
          </w:p>
        </w:tc>
        <w:tc>
          <w:tcPr>
            <w:tcW w:w="3440" w:type="dxa"/>
            <w:vAlign w:val="bottom"/>
            <w:tcBorders>
              <w:bottom w:val="single" w:sz="8" w:color="0000EE"/>
            </w:tcBorders>
            <w:gridSpan w:val="8"/>
          </w:tcPr>
          <w:p>
            <w:pPr>
              <w:spacing w:after="0"/>
              <w:rPr>
                <w:rFonts w:ascii="Arial" w:cs="Arial" w:eastAsia="Arial" w:hAnsi="Arial"/>
                <w:sz w:val="17"/>
                <w:szCs w:val="17"/>
                <w:color w:val="0000EE"/>
              </w:rPr>
            </w:pPr>
            <w:hyperlink w:anchor="page430">
              <w:r>
                <w:rPr>
                  <w:rFonts w:ascii="Arial" w:cs="Arial" w:eastAsia="Arial" w:hAnsi="Arial"/>
                  <w:sz w:val="17"/>
                  <w:szCs w:val="17"/>
                  <w:color w:val="0000EE"/>
                </w:rPr>
                <w:t>Senior Executive Cash Incentive Bonus Plan</w:t>
              </w:r>
            </w:hyperlink>
          </w:p>
        </w:tc>
        <w:tc>
          <w:tcPr>
            <w:tcW w:w="6660" w:type="dxa"/>
            <w:vAlign w:val="bottom"/>
            <w:gridSpan w:val="9"/>
          </w:tcPr>
          <w:p>
            <w:pPr>
              <w:spacing w:after="0"/>
              <w:rPr>
                <w:sz w:val="19"/>
                <w:szCs w:val="19"/>
                <w:color w:val="auto"/>
              </w:rPr>
            </w:pPr>
          </w:p>
        </w:tc>
      </w:tr>
      <w:tr>
        <w:trPr>
          <w:trHeight w:val="247"/>
        </w:trPr>
        <w:tc>
          <w:tcPr>
            <w:tcW w:w="680" w:type="dxa"/>
            <w:vAlign w:val="bottom"/>
          </w:tcPr>
          <w:p>
            <w:pPr>
              <w:spacing w:after="0"/>
              <w:rPr>
                <w:sz w:val="20"/>
                <w:szCs w:val="20"/>
                <w:color w:val="auto"/>
              </w:rPr>
            </w:pPr>
            <w:r>
              <w:rPr>
                <w:rFonts w:ascii="Arial" w:cs="Arial" w:eastAsia="Arial" w:hAnsi="Arial"/>
                <w:sz w:val="17"/>
                <w:szCs w:val="17"/>
                <w:color w:val="auto"/>
              </w:rPr>
              <w:t>10.5#</w:t>
            </w:r>
          </w:p>
        </w:tc>
        <w:tc>
          <w:tcPr>
            <w:tcW w:w="460" w:type="dxa"/>
            <w:vAlign w:val="bottom"/>
          </w:tcPr>
          <w:p>
            <w:pPr>
              <w:spacing w:after="0"/>
              <w:rPr>
                <w:sz w:val="21"/>
                <w:szCs w:val="21"/>
                <w:color w:val="auto"/>
              </w:rPr>
            </w:pPr>
          </w:p>
        </w:tc>
        <w:tc>
          <w:tcPr>
            <w:tcW w:w="10100" w:type="dxa"/>
            <w:vAlign w:val="bottom"/>
            <w:gridSpan w:val="17"/>
          </w:tcPr>
          <w:p>
            <w:pPr>
              <w:spacing w:after="0"/>
              <w:rPr>
                <w:rFonts w:ascii="Arial" w:cs="Arial" w:eastAsia="Arial" w:hAnsi="Arial"/>
                <w:sz w:val="17"/>
                <w:szCs w:val="17"/>
                <w:color w:val="0000EE"/>
              </w:rPr>
            </w:pPr>
            <w:hyperlink w:anchor="page433">
              <w:r>
                <w:rPr>
                  <w:rFonts w:ascii="Arial" w:cs="Arial" w:eastAsia="Arial" w:hAnsi="Arial"/>
                  <w:sz w:val="17"/>
                  <w:szCs w:val="17"/>
                  <w:color w:val="0000EE"/>
                </w:rPr>
                <w:t>Form of Officer Indemnification Agreement</w:t>
              </w:r>
            </w:hyperlink>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7"/>
        </w:trPr>
        <w:tc>
          <w:tcPr>
            <w:tcW w:w="680" w:type="dxa"/>
            <w:vAlign w:val="bottom"/>
          </w:tcPr>
          <w:p>
            <w:pPr>
              <w:spacing w:after="0"/>
              <w:rPr>
                <w:sz w:val="20"/>
                <w:szCs w:val="20"/>
                <w:color w:val="auto"/>
              </w:rPr>
            </w:pPr>
            <w:r>
              <w:rPr>
                <w:rFonts w:ascii="Arial" w:cs="Arial" w:eastAsia="Arial" w:hAnsi="Arial"/>
                <w:sz w:val="17"/>
                <w:szCs w:val="17"/>
                <w:color w:val="auto"/>
              </w:rPr>
              <w:t>10.6#</w:t>
            </w:r>
          </w:p>
        </w:tc>
        <w:tc>
          <w:tcPr>
            <w:tcW w:w="460" w:type="dxa"/>
            <w:vAlign w:val="bottom"/>
          </w:tcPr>
          <w:p>
            <w:pPr>
              <w:spacing w:after="0"/>
              <w:rPr>
                <w:sz w:val="21"/>
                <w:szCs w:val="21"/>
                <w:color w:val="auto"/>
              </w:rPr>
            </w:pPr>
          </w:p>
        </w:tc>
        <w:tc>
          <w:tcPr>
            <w:tcW w:w="10100" w:type="dxa"/>
            <w:vAlign w:val="bottom"/>
            <w:gridSpan w:val="17"/>
          </w:tcPr>
          <w:p>
            <w:pPr>
              <w:spacing w:after="0"/>
              <w:rPr>
                <w:rFonts w:ascii="Arial" w:cs="Arial" w:eastAsia="Arial" w:hAnsi="Arial"/>
                <w:sz w:val="17"/>
                <w:szCs w:val="17"/>
                <w:color w:val="0000EE"/>
              </w:rPr>
            </w:pPr>
            <w:hyperlink w:anchor="page450">
              <w:r>
                <w:rPr>
                  <w:rFonts w:ascii="Arial" w:cs="Arial" w:eastAsia="Arial" w:hAnsi="Arial"/>
                  <w:sz w:val="17"/>
                  <w:szCs w:val="17"/>
                  <w:color w:val="0000EE"/>
                </w:rPr>
                <w:t>Form of Director Indemnification Agreement</w:t>
              </w:r>
            </w:hyperlink>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6"/>
        </w:trPr>
        <w:tc>
          <w:tcPr>
            <w:tcW w:w="680" w:type="dxa"/>
            <w:vAlign w:val="bottom"/>
          </w:tcPr>
          <w:p>
            <w:pPr>
              <w:spacing w:after="0"/>
              <w:rPr>
                <w:sz w:val="20"/>
                <w:szCs w:val="20"/>
                <w:color w:val="auto"/>
              </w:rPr>
            </w:pPr>
            <w:r>
              <w:rPr>
                <w:rFonts w:ascii="Arial" w:cs="Arial" w:eastAsia="Arial" w:hAnsi="Arial"/>
                <w:sz w:val="17"/>
                <w:szCs w:val="17"/>
                <w:color w:val="auto"/>
              </w:rPr>
              <w:t>10.7*#</w:t>
            </w:r>
          </w:p>
        </w:tc>
        <w:tc>
          <w:tcPr>
            <w:tcW w:w="46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Markus Warmuth, to be in effect upon the closing of this offering</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10.8*#</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Ajim Tamboli, to be in effect upon the closing of this offering</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10.9*#</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Owen Wallace, to be in effect upon the closing of this offering</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10.10*#</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Sharon Townson, to be in effect upon the closing of this offering</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10.11*#</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John Castle, to be in effect upon the closing of this offering</w:t>
            </w:r>
          </w:p>
        </w:tc>
      </w:tr>
      <w:tr>
        <w:trPr>
          <w:trHeight w:val="267"/>
        </w:trPr>
        <w:tc>
          <w:tcPr>
            <w:tcW w:w="680" w:type="dxa"/>
            <w:vAlign w:val="bottom"/>
          </w:tcPr>
          <w:p>
            <w:pPr>
              <w:spacing w:after="0"/>
              <w:rPr>
                <w:sz w:val="20"/>
                <w:szCs w:val="20"/>
                <w:color w:val="auto"/>
              </w:rPr>
            </w:pPr>
            <w:r>
              <w:rPr>
                <w:rFonts w:ascii="Arial" w:cs="Arial" w:eastAsia="Arial" w:hAnsi="Arial"/>
                <w:sz w:val="17"/>
                <w:szCs w:val="17"/>
                <w:color w:val="auto"/>
              </w:rPr>
              <w:t>10.12*#</w:t>
            </w:r>
          </w:p>
        </w:tc>
        <w:tc>
          <w:tcPr>
            <w:tcW w:w="460" w:type="dxa"/>
            <w:vAlign w:val="bottom"/>
          </w:tcPr>
          <w:p>
            <w:pPr>
              <w:spacing w:after="0"/>
              <w:rPr>
                <w:sz w:val="23"/>
                <w:szCs w:val="23"/>
                <w:color w:val="auto"/>
              </w:rPr>
            </w:pPr>
          </w:p>
        </w:tc>
        <w:tc>
          <w:tcPr>
            <w:tcW w:w="10100" w:type="dxa"/>
            <w:vAlign w:val="bottom"/>
            <w:gridSpan w:val="17"/>
          </w:tcPr>
          <w:p>
            <w:pPr>
              <w:spacing w:after="0"/>
              <w:rPr>
                <w:sz w:val="20"/>
                <w:szCs w:val="20"/>
                <w:color w:val="auto"/>
              </w:rPr>
            </w:pPr>
            <w:r>
              <w:rPr>
                <w:rFonts w:ascii="Arial" w:cs="Arial" w:eastAsia="Arial" w:hAnsi="Arial"/>
                <w:sz w:val="17"/>
                <w:szCs w:val="17"/>
                <w:color w:val="auto"/>
              </w:rPr>
              <w:t>Employment Agreement between the Registrant and Filip Janku, to be in effect upon the closing of this offering.</w:t>
            </w:r>
          </w:p>
        </w:tc>
      </w:tr>
      <w:tr>
        <w:trPr>
          <w:trHeight w:val="229"/>
        </w:trPr>
        <w:tc>
          <w:tcPr>
            <w:tcW w:w="680" w:type="dxa"/>
            <w:vAlign w:val="bottom"/>
          </w:tcPr>
          <w:p>
            <w:pPr>
              <w:spacing w:after="0"/>
              <w:rPr>
                <w:sz w:val="20"/>
                <w:szCs w:val="20"/>
                <w:color w:val="auto"/>
              </w:rPr>
            </w:pPr>
            <w:r>
              <w:rPr>
                <w:rFonts w:ascii="Arial" w:cs="Arial" w:eastAsia="Arial" w:hAnsi="Arial"/>
                <w:sz w:val="17"/>
                <w:szCs w:val="17"/>
                <w:color w:val="auto"/>
              </w:rPr>
              <w:t>10.13††</w:t>
            </w:r>
          </w:p>
        </w:tc>
        <w:tc>
          <w:tcPr>
            <w:tcW w:w="460" w:type="dxa"/>
            <w:vAlign w:val="bottom"/>
          </w:tcPr>
          <w:p>
            <w:pPr>
              <w:spacing w:after="0"/>
              <w:rPr>
                <w:sz w:val="19"/>
                <w:szCs w:val="19"/>
                <w:color w:val="auto"/>
              </w:rPr>
            </w:pPr>
          </w:p>
        </w:tc>
        <w:tc>
          <w:tcPr>
            <w:tcW w:w="10100" w:type="dxa"/>
            <w:vAlign w:val="bottom"/>
            <w:gridSpan w:val="17"/>
          </w:tcPr>
          <w:p>
            <w:pPr>
              <w:spacing w:after="0"/>
              <w:rPr>
                <w:rFonts w:ascii="Arial" w:cs="Arial" w:eastAsia="Arial" w:hAnsi="Arial"/>
                <w:sz w:val="17"/>
                <w:szCs w:val="17"/>
                <w:color w:val="0000EE"/>
              </w:rPr>
            </w:pPr>
            <w:hyperlink w:anchor="page467">
              <w:r>
                <w:rPr>
                  <w:rFonts w:ascii="Arial" w:cs="Arial" w:eastAsia="Arial" w:hAnsi="Arial"/>
                  <w:sz w:val="17"/>
                  <w:szCs w:val="17"/>
                  <w:color w:val="0000EE"/>
                </w:rPr>
                <w:t>Contribution and Exchange Agreement, dated April 14, 2020, between certain shareholders of Monte Rosa Therapeutics AG and</w:t>
              </w:r>
            </w:hyperlink>
          </w:p>
        </w:tc>
      </w:tr>
      <w:tr>
        <w:trPr>
          <w:trHeight w:val="181"/>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3"/>
          </w:tcPr>
          <w:p>
            <w:pPr>
              <w:spacing w:after="0" w:line="180" w:lineRule="exact"/>
              <w:rPr>
                <w:rFonts w:ascii="Arial" w:cs="Arial" w:eastAsia="Arial" w:hAnsi="Arial"/>
                <w:sz w:val="17"/>
                <w:szCs w:val="17"/>
                <w:color w:val="0000EE"/>
              </w:rPr>
            </w:pPr>
            <w:hyperlink w:anchor="page467">
              <w:r>
                <w:rPr>
                  <w:rFonts w:ascii="Arial" w:cs="Arial" w:eastAsia="Arial" w:hAnsi="Arial"/>
                  <w:sz w:val="17"/>
                  <w:szCs w:val="17"/>
                  <w:color w:val="0000EE"/>
                </w:rPr>
                <w:t>the Registrant</w:t>
              </w:r>
            </w:hyperlink>
          </w:p>
        </w:tc>
        <w:tc>
          <w:tcPr>
            <w:tcW w:w="8800" w:type="dxa"/>
            <w:vAlign w:val="bottom"/>
            <w:tcBorders>
              <w:top w:val="single" w:sz="8" w:color="0000EE"/>
            </w:tcBorders>
            <w:gridSpan w:val="12"/>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47"/>
        </w:trPr>
        <w:tc>
          <w:tcPr>
            <w:tcW w:w="680" w:type="dxa"/>
            <w:vAlign w:val="bottom"/>
          </w:tcPr>
          <w:p>
            <w:pPr>
              <w:spacing w:after="0"/>
              <w:rPr>
                <w:sz w:val="20"/>
                <w:szCs w:val="20"/>
                <w:color w:val="auto"/>
              </w:rPr>
            </w:pPr>
            <w:r>
              <w:rPr>
                <w:rFonts w:ascii="Arial" w:cs="Arial" w:eastAsia="Arial" w:hAnsi="Arial"/>
                <w:sz w:val="17"/>
                <w:szCs w:val="17"/>
                <w:color w:val="auto"/>
              </w:rPr>
              <w:t>10.14††</w:t>
            </w:r>
          </w:p>
        </w:tc>
        <w:tc>
          <w:tcPr>
            <w:tcW w:w="460" w:type="dxa"/>
            <w:vAlign w:val="bottom"/>
          </w:tcPr>
          <w:p>
            <w:pPr>
              <w:spacing w:after="0"/>
              <w:rPr>
                <w:sz w:val="21"/>
                <w:szCs w:val="21"/>
                <w:color w:val="auto"/>
              </w:rPr>
            </w:pPr>
          </w:p>
        </w:tc>
        <w:tc>
          <w:tcPr>
            <w:tcW w:w="9960" w:type="dxa"/>
            <w:vAlign w:val="bottom"/>
            <w:tcBorders>
              <w:bottom w:val="single" w:sz="8" w:color="0000EE"/>
            </w:tcBorders>
            <w:gridSpan w:val="16"/>
          </w:tcPr>
          <w:p>
            <w:pPr>
              <w:spacing w:after="0"/>
              <w:rPr>
                <w:rFonts w:ascii="Arial" w:cs="Arial" w:eastAsia="Arial" w:hAnsi="Arial"/>
                <w:sz w:val="17"/>
                <w:szCs w:val="17"/>
                <w:color w:val="0000EE"/>
              </w:rPr>
            </w:pPr>
            <w:hyperlink w:anchor="page479">
              <w:r>
                <w:rPr>
                  <w:rFonts w:ascii="Arial" w:cs="Arial" w:eastAsia="Arial" w:hAnsi="Arial"/>
                  <w:sz w:val="17"/>
                  <w:szCs w:val="17"/>
                  <w:color w:val="0000EE"/>
                </w:rPr>
                <w:t>Contribution and Exchange Agreement, dated September 1, 2020, between certain shareholders of Monte Rosa Therapeutics AG</w:t>
              </w:r>
            </w:hyperlink>
          </w:p>
        </w:tc>
        <w:tc>
          <w:tcPr>
            <w:tcW w:w="140" w:type="dxa"/>
            <w:vAlign w:val="bottom"/>
          </w:tcPr>
          <w:p>
            <w:pPr>
              <w:spacing w:after="0"/>
              <w:rPr>
                <w:sz w:val="21"/>
                <w:szCs w:val="21"/>
                <w:color w:val="auto"/>
              </w:rPr>
            </w:pPr>
          </w:p>
        </w:tc>
      </w:tr>
      <w:tr>
        <w:trPr>
          <w:trHeight w:val="181"/>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Borders>
              <w:bottom w:val="single" w:sz="8" w:color="0000EE"/>
            </w:tcBorders>
            <w:gridSpan w:val="4"/>
          </w:tcPr>
          <w:p>
            <w:pPr>
              <w:spacing w:after="0" w:line="180" w:lineRule="exact"/>
              <w:rPr>
                <w:rFonts w:ascii="Arial" w:cs="Arial" w:eastAsia="Arial" w:hAnsi="Arial"/>
                <w:sz w:val="17"/>
                <w:szCs w:val="17"/>
                <w:color w:val="0000EE"/>
              </w:rPr>
            </w:pPr>
            <w:hyperlink w:anchor="page479">
              <w:r>
                <w:rPr>
                  <w:rFonts w:ascii="Arial" w:cs="Arial" w:eastAsia="Arial" w:hAnsi="Arial"/>
                  <w:sz w:val="17"/>
                  <w:szCs w:val="17"/>
                  <w:color w:val="0000EE"/>
                </w:rPr>
                <w:t>and the Registrant</w:t>
              </w:r>
            </w:hyperlink>
          </w:p>
        </w:tc>
        <w:tc>
          <w:tcPr>
            <w:tcW w:w="8680" w:type="dxa"/>
            <w:vAlign w:val="bottom"/>
            <w:gridSpan w:val="13"/>
          </w:tcPr>
          <w:p>
            <w:pPr>
              <w:spacing w:after="0"/>
              <w:rPr>
                <w:sz w:val="15"/>
                <w:szCs w:val="15"/>
                <w:color w:val="auto"/>
              </w:rPr>
            </w:pPr>
          </w:p>
        </w:tc>
      </w:tr>
      <w:tr>
        <w:trPr>
          <w:trHeight w:val="247"/>
        </w:trPr>
        <w:tc>
          <w:tcPr>
            <w:tcW w:w="680" w:type="dxa"/>
            <w:vAlign w:val="bottom"/>
          </w:tcPr>
          <w:p>
            <w:pPr>
              <w:spacing w:after="0"/>
              <w:rPr>
                <w:sz w:val="20"/>
                <w:szCs w:val="20"/>
                <w:color w:val="auto"/>
              </w:rPr>
            </w:pPr>
            <w:r>
              <w:rPr>
                <w:rFonts w:ascii="Arial" w:cs="Arial" w:eastAsia="Arial" w:hAnsi="Arial"/>
                <w:sz w:val="17"/>
                <w:szCs w:val="17"/>
                <w:color w:val="auto"/>
              </w:rPr>
              <w:t>10.15†</w:t>
            </w:r>
          </w:p>
        </w:tc>
        <w:tc>
          <w:tcPr>
            <w:tcW w:w="460" w:type="dxa"/>
            <w:vAlign w:val="bottom"/>
          </w:tcPr>
          <w:p>
            <w:pPr>
              <w:spacing w:after="0"/>
              <w:rPr>
                <w:sz w:val="21"/>
                <w:szCs w:val="21"/>
                <w:color w:val="auto"/>
              </w:rPr>
            </w:pPr>
          </w:p>
        </w:tc>
        <w:tc>
          <w:tcPr>
            <w:tcW w:w="10100" w:type="dxa"/>
            <w:vAlign w:val="bottom"/>
            <w:gridSpan w:val="17"/>
          </w:tcPr>
          <w:p>
            <w:pPr>
              <w:spacing w:after="0"/>
              <w:rPr>
                <w:rFonts w:ascii="Arial" w:cs="Arial" w:eastAsia="Arial" w:hAnsi="Arial"/>
                <w:sz w:val="17"/>
                <w:szCs w:val="17"/>
                <w:color w:val="0000EE"/>
              </w:rPr>
            </w:pPr>
            <w:hyperlink w:anchor="page489">
              <w:r>
                <w:rPr>
                  <w:rFonts w:ascii="Arial" w:cs="Arial" w:eastAsia="Arial" w:hAnsi="Arial"/>
                  <w:sz w:val="17"/>
                  <w:szCs w:val="17"/>
                  <w:color w:val="0000EE"/>
                </w:rPr>
                <w:t>Services Agreement, dated as of April 10, 2018, between Ridgeline Therapeutics GmbH and Monte Rosa Therapeutics AG</w:t>
              </w:r>
            </w:hyperlink>
          </w:p>
        </w:tc>
      </w:tr>
      <w:tr>
        <w:trPr>
          <w:trHeight w:val="247"/>
        </w:trPr>
        <w:tc>
          <w:tcPr>
            <w:tcW w:w="680" w:type="dxa"/>
            <w:vAlign w:val="bottom"/>
          </w:tcPr>
          <w:p>
            <w:pPr>
              <w:spacing w:after="0"/>
              <w:rPr>
                <w:sz w:val="20"/>
                <w:szCs w:val="20"/>
                <w:color w:val="auto"/>
              </w:rPr>
            </w:pPr>
            <w:r>
              <w:rPr>
                <w:rFonts w:ascii="Arial" w:cs="Arial" w:eastAsia="Arial" w:hAnsi="Arial"/>
                <w:sz w:val="17"/>
                <w:szCs w:val="17"/>
                <w:color w:val="auto"/>
              </w:rPr>
              <w:t>10.16†</w:t>
            </w:r>
          </w:p>
        </w:tc>
        <w:tc>
          <w:tcPr>
            <w:tcW w:w="460" w:type="dxa"/>
            <w:vAlign w:val="bottom"/>
          </w:tcPr>
          <w:p>
            <w:pPr>
              <w:spacing w:after="0"/>
              <w:rPr>
                <w:sz w:val="21"/>
                <w:szCs w:val="21"/>
                <w:color w:val="auto"/>
              </w:rPr>
            </w:pPr>
          </w:p>
        </w:tc>
        <w:tc>
          <w:tcPr>
            <w:tcW w:w="9440" w:type="dxa"/>
            <w:vAlign w:val="bottom"/>
            <w:tcBorders>
              <w:top w:val="single" w:sz="8" w:color="0000EE"/>
            </w:tcBorders>
            <w:gridSpan w:val="14"/>
          </w:tcPr>
          <w:p>
            <w:pPr>
              <w:spacing w:after="0"/>
              <w:rPr>
                <w:rFonts w:ascii="Arial" w:cs="Arial" w:eastAsia="Arial" w:hAnsi="Arial"/>
                <w:sz w:val="17"/>
                <w:szCs w:val="17"/>
                <w:color w:val="0000EE"/>
              </w:rPr>
            </w:pPr>
            <w:hyperlink w:anchor="page501">
              <w:r>
                <w:rPr>
                  <w:rFonts w:ascii="Arial" w:cs="Arial" w:eastAsia="Arial" w:hAnsi="Arial"/>
                  <w:sz w:val="17"/>
                  <w:szCs w:val="17"/>
                  <w:color w:val="0000EE"/>
                </w:rPr>
                <w:t>Services Agreement, dated as of December 29, 2020, between Monte Rosa Therapeutics AG and the Registrant</w:t>
              </w:r>
            </w:hyperlink>
          </w:p>
        </w:tc>
        <w:tc>
          <w:tcPr>
            <w:tcW w:w="660" w:type="dxa"/>
            <w:vAlign w:val="bottom"/>
            <w:gridSpan w:val="3"/>
          </w:tcPr>
          <w:p>
            <w:pPr>
              <w:spacing w:after="0"/>
              <w:rPr>
                <w:sz w:val="21"/>
                <w:szCs w:val="2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240"/>
          </w:cols>
          <w:pgMar w:left="320" w:top="456"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713359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4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1010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Exhibit table</w:t>
            </w:r>
          </w:p>
        </w:tc>
      </w:tr>
      <w:tr>
        <w:trPr>
          <w:trHeight w:val="221"/>
        </w:trPr>
        <w:tc>
          <w:tcPr>
            <w:tcW w:w="1140" w:type="dxa"/>
            <w:vAlign w:val="bottom"/>
          </w:tcPr>
          <w:p>
            <w:pPr>
              <w:spacing w:after="0"/>
              <w:rPr>
                <w:sz w:val="20"/>
                <w:szCs w:val="20"/>
                <w:color w:val="auto"/>
              </w:rPr>
            </w:pPr>
            <w:r>
              <w:rPr>
                <w:rFonts w:ascii="Arial" w:cs="Arial" w:eastAsia="Arial" w:hAnsi="Arial"/>
                <w:sz w:val="17"/>
                <w:szCs w:val="17"/>
                <w:color w:val="auto"/>
              </w:rPr>
              <w:t>10.17†</w:t>
            </w:r>
          </w:p>
        </w:tc>
        <w:tc>
          <w:tcPr>
            <w:tcW w:w="9880" w:type="dxa"/>
            <w:vAlign w:val="bottom"/>
            <w:tcBorders>
              <w:bottom w:val="single" w:sz="8" w:color="0000EE"/>
            </w:tcBorders>
            <w:gridSpan w:val="8"/>
          </w:tcPr>
          <w:p>
            <w:pPr>
              <w:spacing w:after="0"/>
              <w:rPr>
                <w:rFonts w:ascii="Arial" w:cs="Arial" w:eastAsia="Arial" w:hAnsi="Arial"/>
                <w:sz w:val="17"/>
                <w:szCs w:val="17"/>
                <w:color w:val="0000EE"/>
              </w:rPr>
            </w:pPr>
            <w:hyperlink w:anchor="page508">
              <w:r>
                <w:rPr>
                  <w:rFonts w:ascii="Arial" w:cs="Arial" w:eastAsia="Arial" w:hAnsi="Arial"/>
                  <w:sz w:val="17"/>
                  <w:szCs w:val="17"/>
                  <w:color w:val="0000EE"/>
                </w:rPr>
                <w:t>License Agreement, dated as of April 10, 2018, among Cancer Research Technology Limited, The Institute of Cancer Research:</w:t>
              </w:r>
            </w:hyperlink>
          </w:p>
        </w:tc>
        <w:tc>
          <w:tcPr>
            <w:tcW w:w="220" w:type="dxa"/>
            <w:vAlign w:val="bottom"/>
            <w:gridSpan w:val="2"/>
          </w:tcPr>
          <w:p>
            <w:pPr>
              <w:spacing w:after="0"/>
              <w:rPr>
                <w:sz w:val="19"/>
                <w:szCs w:val="19"/>
                <w:color w:val="auto"/>
              </w:rPr>
            </w:pPr>
          </w:p>
        </w:tc>
      </w:tr>
      <w:tr>
        <w:trPr>
          <w:trHeight w:val="181"/>
        </w:trPr>
        <w:tc>
          <w:tcPr>
            <w:tcW w:w="1140" w:type="dxa"/>
            <w:vAlign w:val="bottom"/>
          </w:tcPr>
          <w:p>
            <w:pPr>
              <w:spacing w:after="0"/>
              <w:rPr>
                <w:sz w:val="15"/>
                <w:szCs w:val="15"/>
                <w:color w:val="auto"/>
              </w:rPr>
            </w:pPr>
          </w:p>
        </w:tc>
        <w:tc>
          <w:tcPr>
            <w:tcW w:w="4400" w:type="dxa"/>
            <w:vAlign w:val="bottom"/>
            <w:tcBorders>
              <w:bottom w:val="single" w:sz="8" w:color="0000EE"/>
            </w:tcBorders>
            <w:gridSpan w:val="3"/>
          </w:tcPr>
          <w:p>
            <w:pPr>
              <w:spacing w:after="0" w:line="180" w:lineRule="exact"/>
              <w:rPr>
                <w:rFonts w:ascii="Arial" w:cs="Arial" w:eastAsia="Arial" w:hAnsi="Arial"/>
                <w:sz w:val="17"/>
                <w:szCs w:val="17"/>
                <w:color w:val="0000EE"/>
              </w:rPr>
            </w:pPr>
            <w:hyperlink w:anchor="page508">
              <w:r>
                <w:rPr>
                  <w:rFonts w:ascii="Arial" w:cs="Arial" w:eastAsia="Arial" w:hAnsi="Arial"/>
                  <w:sz w:val="17"/>
                  <w:szCs w:val="17"/>
                  <w:color w:val="0000EE"/>
                </w:rPr>
                <w:t>Royal Cancer Hospital and Monte Rosa Therapeutics AG</w:t>
              </w:r>
            </w:hyperlink>
          </w:p>
        </w:tc>
        <w:tc>
          <w:tcPr>
            <w:tcW w:w="5700" w:type="dxa"/>
            <w:vAlign w:val="bottom"/>
            <w:gridSpan w:val="7"/>
          </w:tcPr>
          <w:p>
            <w:pPr>
              <w:spacing w:after="0"/>
              <w:rPr>
                <w:sz w:val="15"/>
                <w:szCs w:val="15"/>
                <w:color w:val="auto"/>
              </w:rPr>
            </w:pPr>
          </w:p>
        </w:tc>
      </w:tr>
      <w:tr>
        <w:trPr>
          <w:trHeight w:val="247"/>
        </w:trPr>
        <w:tc>
          <w:tcPr>
            <w:tcW w:w="1140" w:type="dxa"/>
            <w:vAlign w:val="bottom"/>
          </w:tcPr>
          <w:p>
            <w:pPr>
              <w:spacing w:after="0"/>
              <w:rPr>
                <w:sz w:val="20"/>
                <w:szCs w:val="20"/>
                <w:color w:val="auto"/>
              </w:rPr>
            </w:pPr>
            <w:r>
              <w:rPr>
                <w:rFonts w:ascii="Arial" w:cs="Arial" w:eastAsia="Arial" w:hAnsi="Arial"/>
                <w:sz w:val="17"/>
                <w:szCs w:val="17"/>
                <w:color w:val="auto"/>
              </w:rPr>
              <w:t>10.18†</w:t>
            </w:r>
          </w:p>
        </w:tc>
        <w:tc>
          <w:tcPr>
            <w:tcW w:w="10100" w:type="dxa"/>
            <w:vAlign w:val="bottom"/>
            <w:gridSpan w:val="10"/>
          </w:tcPr>
          <w:p>
            <w:pPr>
              <w:spacing w:after="0"/>
              <w:rPr>
                <w:rFonts w:ascii="Arial" w:cs="Arial" w:eastAsia="Arial" w:hAnsi="Arial"/>
                <w:sz w:val="17"/>
                <w:szCs w:val="17"/>
                <w:color w:val="0000EE"/>
              </w:rPr>
            </w:pPr>
            <w:hyperlink w:anchor="page535">
              <w:r>
                <w:rPr>
                  <w:rFonts w:ascii="Arial" w:cs="Arial" w:eastAsia="Arial" w:hAnsi="Arial"/>
                  <w:sz w:val="17"/>
                  <w:szCs w:val="17"/>
                  <w:color w:val="0000EE"/>
                </w:rPr>
                <w:t>Collaboration and Option Agreement, dated as of April 10, 2018, among Cancer Research Technology Limited, The Institute of</w:t>
              </w:r>
            </w:hyperlink>
          </w:p>
        </w:tc>
      </w:tr>
      <w:tr>
        <w:trPr>
          <w:trHeight w:val="20"/>
        </w:trPr>
        <w:tc>
          <w:tcPr>
            <w:tcW w:w="11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1140" w:type="dxa"/>
            <w:vAlign w:val="bottom"/>
          </w:tcPr>
          <w:p>
            <w:pPr>
              <w:spacing w:after="0"/>
              <w:rPr>
                <w:sz w:val="15"/>
                <w:szCs w:val="15"/>
                <w:color w:val="auto"/>
              </w:rPr>
            </w:pPr>
          </w:p>
        </w:tc>
        <w:tc>
          <w:tcPr>
            <w:tcW w:w="10060" w:type="dxa"/>
            <w:vAlign w:val="bottom"/>
            <w:tcBorders>
              <w:bottom w:val="single" w:sz="8" w:color="0000EE"/>
            </w:tcBorders>
            <w:gridSpan w:val="9"/>
          </w:tcPr>
          <w:p>
            <w:pPr>
              <w:spacing w:after="0" w:line="180" w:lineRule="exact"/>
              <w:rPr>
                <w:rFonts w:ascii="Arial" w:cs="Arial" w:eastAsia="Arial" w:hAnsi="Arial"/>
                <w:sz w:val="17"/>
                <w:szCs w:val="17"/>
                <w:color w:val="0000EE"/>
              </w:rPr>
            </w:pPr>
            <w:hyperlink w:anchor="page535">
              <w:r>
                <w:rPr>
                  <w:rFonts w:ascii="Arial" w:cs="Arial" w:eastAsia="Arial" w:hAnsi="Arial"/>
                  <w:sz w:val="17"/>
                  <w:szCs w:val="17"/>
                  <w:color w:val="0000EE"/>
                </w:rPr>
                <w:t>Cancer Research: Royal Cancer Hospital and Monte Rosa Therapeutics AG, as amended on February 25, 2019, January 20, 2020</w:t>
              </w:r>
            </w:hyperlink>
          </w:p>
        </w:tc>
        <w:tc>
          <w:tcPr>
            <w:tcW w:w="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1480" w:type="dxa"/>
            <w:vAlign w:val="bottom"/>
            <w:tcBorders>
              <w:bottom w:val="single" w:sz="8" w:color="0000EE"/>
            </w:tcBorders>
          </w:tcPr>
          <w:p>
            <w:pPr>
              <w:spacing w:after="0" w:line="180" w:lineRule="exact"/>
              <w:rPr>
                <w:rFonts w:ascii="Arial" w:cs="Arial" w:eastAsia="Arial" w:hAnsi="Arial"/>
                <w:sz w:val="17"/>
                <w:szCs w:val="17"/>
                <w:color w:val="0000EE"/>
              </w:rPr>
            </w:pPr>
            <w:hyperlink w:anchor="page535">
              <w:r>
                <w:rPr>
                  <w:rFonts w:ascii="Arial" w:cs="Arial" w:eastAsia="Arial" w:hAnsi="Arial"/>
                  <w:sz w:val="17"/>
                  <w:szCs w:val="17"/>
                  <w:color w:val="0000EE"/>
                </w:rPr>
                <w:t>and June 18, 2020.</w:t>
              </w:r>
            </w:hyperlink>
          </w:p>
        </w:tc>
        <w:tc>
          <w:tcPr>
            <w:tcW w:w="8620" w:type="dxa"/>
            <w:vAlign w:val="bottom"/>
            <w:gridSpan w:val="9"/>
          </w:tcPr>
          <w:p>
            <w:pPr>
              <w:spacing w:after="0"/>
              <w:rPr>
                <w:sz w:val="15"/>
                <w:szCs w:val="15"/>
                <w:color w:val="auto"/>
              </w:rPr>
            </w:pPr>
          </w:p>
        </w:tc>
      </w:tr>
      <w:tr>
        <w:trPr>
          <w:trHeight w:val="247"/>
        </w:trPr>
        <w:tc>
          <w:tcPr>
            <w:tcW w:w="1140" w:type="dxa"/>
            <w:vAlign w:val="bottom"/>
          </w:tcPr>
          <w:p>
            <w:pPr>
              <w:spacing w:after="0"/>
              <w:rPr>
                <w:sz w:val="20"/>
                <w:szCs w:val="20"/>
                <w:color w:val="auto"/>
              </w:rPr>
            </w:pPr>
            <w:r>
              <w:rPr>
                <w:rFonts w:ascii="Arial" w:cs="Arial" w:eastAsia="Arial" w:hAnsi="Arial"/>
                <w:sz w:val="17"/>
                <w:szCs w:val="17"/>
                <w:color w:val="auto"/>
              </w:rPr>
              <w:t>10.19</w:t>
            </w:r>
          </w:p>
        </w:tc>
        <w:tc>
          <w:tcPr>
            <w:tcW w:w="8360" w:type="dxa"/>
            <w:vAlign w:val="bottom"/>
            <w:tcBorders>
              <w:bottom w:val="single" w:sz="8" w:color="0000EE"/>
            </w:tcBorders>
            <w:gridSpan w:val="6"/>
          </w:tcPr>
          <w:p>
            <w:pPr>
              <w:spacing w:after="0"/>
              <w:rPr>
                <w:rFonts w:ascii="Arial" w:cs="Arial" w:eastAsia="Arial" w:hAnsi="Arial"/>
                <w:sz w:val="17"/>
                <w:szCs w:val="17"/>
                <w:color w:val="0000EE"/>
              </w:rPr>
            </w:pPr>
            <w:hyperlink w:anchor="page600">
              <w:r>
                <w:rPr>
                  <w:rFonts w:ascii="Arial" w:cs="Arial" w:eastAsia="Arial" w:hAnsi="Arial"/>
                  <w:sz w:val="17"/>
                  <w:szCs w:val="17"/>
                  <w:color w:val="0000EE"/>
                </w:rPr>
                <w:t>Lease Agreement, dated September 23, 2020, between OPG MP Parcel Owner (DE) LLC and the Registrant</w:t>
              </w:r>
            </w:hyperlink>
          </w:p>
        </w:tc>
        <w:tc>
          <w:tcPr>
            <w:tcW w:w="1740" w:type="dxa"/>
            <w:vAlign w:val="bottom"/>
            <w:gridSpan w:val="4"/>
          </w:tcPr>
          <w:p>
            <w:pPr>
              <w:spacing w:after="0"/>
              <w:rPr>
                <w:sz w:val="21"/>
                <w:szCs w:val="21"/>
                <w:color w:val="auto"/>
              </w:rPr>
            </w:pPr>
          </w:p>
        </w:tc>
      </w:tr>
      <w:tr>
        <w:trPr>
          <w:trHeight w:val="247"/>
        </w:trPr>
        <w:tc>
          <w:tcPr>
            <w:tcW w:w="1140" w:type="dxa"/>
            <w:vAlign w:val="bottom"/>
          </w:tcPr>
          <w:p>
            <w:pPr>
              <w:spacing w:after="0"/>
              <w:rPr>
                <w:sz w:val="20"/>
                <w:szCs w:val="20"/>
                <w:color w:val="auto"/>
              </w:rPr>
            </w:pPr>
            <w:r>
              <w:rPr>
                <w:rFonts w:ascii="Arial" w:cs="Arial" w:eastAsia="Arial" w:hAnsi="Arial"/>
                <w:sz w:val="17"/>
                <w:szCs w:val="17"/>
                <w:color w:val="auto"/>
              </w:rPr>
              <w:t>21.1</w:t>
            </w:r>
          </w:p>
        </w:tc>
        <w:tc>
          <w:tcPr>
            <w:tcW w:w="10100" w:type="dxa"/>
            <w:vAlign w:val="bottom"/>
            <w:gridSpan w:val="10"/>
          </w:tcPr>
          <w:p>
            <w:pPr>
              <w:spacing w:after="0"/>
              <w:rPr>
                <w:rFonts w:ascii="Arial" w:cs="Arial" w:eastAsia="Arial" w:hAnsi="Arial"/>
                <w:sz w:val="17"/>
                <w:szCs w:val="17"/>
                <w:color w:val="0000EE"/>
              </w:rPr>
            </w:pPr>
            <w:hyperlink w:anchor="page712">
              <w:r>
                <w:rPr>
                  <w:rFonts w:ascii="Arial" w:cs="Arial" w:eastAsia="Arial" w:hAnsi="Arial"/>
                  <w:sz w:val="17"/>
                  <w:szCs w:val="17"/>
                  <w:color w:val="0000EE"/>
                </w:rPr>
                <w:t>Subsidiaries of the Registrant</w:t>
              </w:r>
            </w:hyperlink>
          </w:p>
        </w:tc>
      </w:tr>
      <w:tr>
        <w:trPr>
          <w:trHeight w:val="20"/>
        </w:trPr>
        <w:tc>
          <w:tcPr>
            <w:tcW w:w="11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r>
      <w:tr>
        <w:trPr>
          <w:trHeight w:val="247"/>
        </w:trPr>
        <w:tc>
          <w:tcPr>
            <w:tcW w:w="1140" w:type="dxa"/>
            <w:vAlign w:val="bottom"/>
          </w:tcPr>
          <w:p>
            <w:pPr>
              <w:spacing w:after="0"/>
              <w:rPr>
                <w:sz w:val="20"/>
                <w:szCs w:val="20"/>
                <w:color w:val="auto"/>
              </w:rPr>
            </w:pPr>
            <w:r>
              <w:rPr>
                <w:rFonts w:ascii="Arial" w:cs="Arial" w:eastAsia="Arial" w:hAnsi="Arial"/>
                <w:sz w:val="17"/>
                <w:szCs w:val="17"/>
                <w:color w:val="auto"/>
              </w:rPr>
              <w:t>23.1</w:t>
            </w:r>
          </w:p>
        </w:tc>
        <w:tc>
          <w:tcPr>
            <w:tcW w:w="6360" w:type="dxa"/>
            <w:vAlign w:val="bottom"/>
            <w:tcBorders>
              <w:bottom w:val="single" w:sz="8" w:color="0000EE"/>
            </w:tcBorders>
            <w:gridSpan w:val="5"/>
          </w:tcPr>
          <w:p>
            <w:pPr>
              <w:spacing w:after="0"/>
              <w:rPr>
                <w:rFonts w:ascii="Arial" w:cs="Arial" w:eastAsia="Arial" w:hAnsi="Arial"/>
                <w:sz w:val="17"/>
                <w:szCs w:val="17"/>
                <w:color w:val="0000EE"/>
              </w:rPr>
            </w:pPr>
            <w:hyperlink w:anchor="page713">
              <w:r>
                <w:rPr>
                  <w:rFonts w:ascii="Arial" w:cs="Arial" w:eastAsia="Arial" w:hAnsi="Arial"/>
                  <w:sz w:val="17"/>
                  <w:szCs w:val="17"/>
                  <w:color w:val="0000EE"/>
                </w:rPr>
                <w:t>Consent of Deloitte &amp; Touche LLP, Independent Registered Public Accounting Firm</w:t>
              </w:r>
            </w:hyperlink>
          </w:p>
        </w:tc>
        <w:tc>
          <w:tcPr>
            <w:tcW w:w="3740" w:type="dxa"/>
            <w:vAlign w:val="bottom"/>
            <w:gridSpan w:val="5"/>
          </w:tcPr>
          <w:p>
            <w:pPr>
              <w:spacing w:after="0"/>
              <w:rPr>
                <w:sz w:val="21"/>
                <w:szCs w:val="21"/>
                <w:color w:val="auto"/>
              </w:rPr>
            </w:pPr>
          </w:p>
        </w:tc>
      </w:tr>
      <w:tr>
        <w:trPr>
          <w:trHeight w:val="286"/>
        </w:trPr>
        <w:tc>
          <w:tcPr>
            <w:tcW w:w="1140" w:type="dxa"/>
            <w:vAlign w:val="bottom"/>
          </w:tcPr>
          <w:p>
            <w:pPr>
              <w:spacing w:after="0"/>
              <w:rPr>
                <w:sz w:val="20"/>
                <w:szCs w:val="20"/>
                <w:color w:val="auto"/>
              </w:rPr>
            </w:pPr>
            <w:r>
              <w:rPr>
                <w:rFonts w:ascii="Arial" w:cs="Arial" w:eastAsia="Arial" w:hAnsi="Arial"/>
                <w:sz w:val="17"/>
                <w:szCs w:val="17"/>
                <w:color w:val="auto"/>
              </w:rPr>
              <w:t>23.2*</w:t>
            </w:r>
          </w:p>
        </w:tc>
        <w:tc>
          <w:tcPr>
            <w:tcW w:w="10100" w:type="dxa"/>
            <w:vAlign w:val="bottom"/>
            <w:gridSpan w:val="10"/>
          </w:tcPr>
          <w:p>
            <w:pPr>
              <w:spacing w:after="0"/>
              <w:rPr>
                <w:sz w:val="20"/>
                <w:szCs w:val="20"/>
                <w:color w:val="auto"/>
              </w:rPr>
            </w:pPr>
            <w:r>
              <w:rPr>
                <w:rFonts w:ascii="Arial" w:cs="Arial" w:eastAsia="Arial" w:hAnsi="Arial"/>
                <w:sz w:val="17"/>
                <w:szCs w:val="17"/>
                <w:color w:val="auto"/>
              </w:rPr>
              <w:t>Consent of Goodwin Procter LLP (included in Exhibit 5.1)</w:t>
            </w:r>
          </w:p>
        </w:tc>
      </w:tr>
      <w:tr>
        <w:trPr>
          <w:trHeight w:val="229"/>
        </w:trPr>
        <w:tc>
          <w:tcPr>
            <w:tcW w:w="1140" w:type="dxa"/>
            <w:vAlign w:val="bottom"/>
          </w:tcPr>
          <w:p>
            <w:pPr>
              <w:spacing w:after="0"/>
              <w:rPr>
                <w:sz w:val="20"/>
                <w:szCs w:val="20"/>
                <w:color w:val="auto"/>
              </w:rPr>
            </w:pPr>
            <w:r>
              <w:rPr>
                <w:rFonts w:ascii="Arial" w:cs="Arial" w:eastAsia="Arial" w:hAnsi="Arial"/>
                <w:sz w:val="17"/>
                <w:szCs w:val="17"/>
                <w:color w:val="auto"/>
              </w:rPr>
              <w:t>24.1</w:t>
            </w:r>
          </w:p>
        </w:tc>
        <w:tc>
          <w:tcPr>
            <w:tcW w:w="10100" w:type="dxa"/>
            <w:vAlign w:val="bottom"/>
            <w:gridSpan w:val="10"/>
          </w:tcPr>
          <w:p>
            <w:pPr>
              <w:spacing w:after="0"/>
              <w:rPr>
                <w:rFonts w:ascii="Arial" w:cs="Arial" w:eastAsia="Arial" w:hAnsi="Arial"/>
                <w:sz w:val="17"/>
                <w:szCs w:val="17"/>
                <w:color w:val="0000EE"/>
              </w:rPr>
            </w:pPr>
            <w:hyperlink w:anchor="page263">
              <w:r>
                <w:rPr>
                  <w:rFonts w:ascii="Arial" w:cs="Arial" w:eastAsia="Arial" w:hAnsi="Arial"/>
                  <w:sz w:val="17"/>
                  <w:szCs w:val="17"/>
                  <w:color w:val="0000EE"/>
                </w:rPr>
                <w:t>Power of Attorney (included on signature page to this registration statement)</w:t>
              </w:r>
            </w:hyperlink>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214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64" w:lineRule="exact"/>
        <w:rPr>
          <w:sz w:val="20"/>
          <w:szCs w:val="20"/>
          <w:color w:val="auto"/>
        </w:rPr>
      </w:pPr>
    </w:p>
    <w:p>
      <w:pPr>
        <w:ind w:left="320" w:hanging="313"/>
        <w:spacing w:after="0"/>
        <w:tabs>
          <w:tab w:leader="none" w:pos="3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64" w:lineRule="exact"/>
        <w:rPr>
          <w:sz w:val="20"/>
          <w:szCs w:val="20"/>
          <w:color w:val="auto"/>
        </w:rPr>
      </w:pPr>
    </w:p>
    <w:p>
      <w:pPr>
        <w:ind w:left="320" w:hanging="313"/>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Portions of this exhibit (indicated by asterisks) will be omitted in accordance with the rules of the SEC.</w:t>
      </w:r>
    </w:p>
    <w:p>
      <w:pPr>
        <w:spacing w:after="0" w:line="64" w:lineRule="exact"/>
        <w:rPr>
          <w:sz w:val="20"/>
          <w:szCs w:val="20"/>
          <w:color w:val="auto"/>
        </w:rPr>
      </w:pPr>
    </w:p>
    <w:p>
      <w:pPr>
        <w:ind w:left="320" w:right="60" w:hanging="313"/>
        <w:spacing w:after="0" w:line="254" w:lineRule="auto"/>
        <w:tabs>
          <w:tab w:leader="none" w:pos="3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Certain exhibits and schedules to these agreements have been omitted pursuant to Item 601 of Regulation S-K. The registrant will furnish copies of any of the exhibits and schedules to the Securities and Exchange Commission upon request.</w:t>
      </w:r>
    </w:p>
    <w:p>
      <w:pPr>
        <w:spacing w:after="0" w:line="102" w:lineRule="exact"/>
        <w:rPr>
          <w:sz w:val="20"/>
          <w:szCs w:val="20"/>
          <w:color w:val="auto"/>
        </w:rPr>
      </w:pPr>
    </w:p>
    <w:p>
      <w:pPr>
        <w:ind w:right="8340" w:firstLine="7"/>
        <w:spacing w:after="0" w:line="394" w:lineRule="auto"/>
        <w:tabs>
          <w:tab w:leader="none" w:pos="44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Financial Statement Schedules. None.</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17. Undertakings</w:t>
      </w:r>
    </w:p>
    <w:p>
      <w:pPr>
        <w:spacing w:after="0" w:line="14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12" w:lineRule="exact"/>
        <w:rPr>
          <w:sz w:val="20"/>
          <w:szCs w:val="20"/>
          <w:color w:val="auto"/>
        </w:rPr>
      </w:pPr>
    </w:p>
    <w:p>
      <w:pPr>
        <w:ind w:right="440" w:firstLine="7"/>
        <w:spacing w:after="0" w:line="246" w:lineRule="auto"/>
        <w:tabs>
          <w:tab w:leader="none" w:pos="20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12" w:lineRule="exact"/>
        <w:rPr>
          <w:rFonts w:ascii="Arial" w:cs="Arial" w:eastAsia="Arial" w:hAnsi="Arial"/>
          <w:sz w:val="17"/>
          <w:szCs w:val="17"/>
          <w:color w:val="auto"/>
        </w:rPr>
      </w:pPr>
    </w:p>
    <w:p>
      <w:pPr>
        <w:ind w:right="220" w:firstLine="7"/>
        <w:spacing w:after="0" w:line="254" w:lineRule="auto"/>
        <w:tabs>
          <w:tab w:leader="none" w:pos="24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40"/>
          </w:cols>
          <w:pgMar w:left="320" w:top="456"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15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Pursuant to the requirements of the Securities Act, Monte Rosa Therapeutics, Inc. has duly caused this registration statement on Form S-1 to be signed on its behalf by the undersigned, thereunto duly authorized, in the City of Boston, Commonwealth of Massachusetts, on the 4th day of June, 2021.</w:t>
      </w:r>
    </w:p>
    <w:p>
      <w:pPr>
        <w:spacing w:after="0" w:line="66" w:lineRule="exact"/>
        <w:rPr>
          <w:sz w:val="20"/>
          <w:szCs w:val="20"/>
          <w:color w:val="auto"/>
        </w:rPr>
      </w:pPr>
    </w:p>
    <w:p>
      <w:pPr>
        <w:ind w:left="6740"/>
        <w:spacing w:after="0"/>
        <w:rPr>
          <w:sz w:val="20"/>
          <w:szCs w:val="20"/>
          <w:color w:val="auto"/>
        </w:rPr>
      </w:pPr>
      <w:r>
        <w:rPr>
          <w:rFonts w:ascii="Arial" w:cs="Arial" w:eastAsia="Arial" w:hAnsi="Arial"/>
          <w:sz w:val="21"/>
          <w:szCs w:val="21"/>
          <w:b w:val="1"/>
          <w:bCs w:val="1"/>
          <w:color w:val="auto"/>
        </w:rPr>
        <w:t>Monte Rosa Therapeutics, Inc.</w:t>
      </w:r>
    </w:p>
    <w:p>
      <w:pPr>
        <w:spacing w:after="0" w:line="24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1270</wp:posOffset>
            </wp:positionV>
            <wp:extent cx="26498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49855"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7"/>
          <w:szCs w:val="17"/>
          <w:color w:val="auto"/>
        </w:rPr>
        <w:t>Markus Warmuth</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President and Chief Executive Officer</w:t>
      </w: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 and power of attorney</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Markus Warmuth and Ajim Tamboli, and each of them, either of whom may act without 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29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indicated on the 4th day of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Signature</w:t>
            </w:r>
          </w:p>
        </w:tc>
        <w:tc>
          <w:tcPr>
            <w:tcW w:w="144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jc w:val="center"/>
              <w:ind w:left="133"/>
              <w:spacing w:after="0"/>
              <w:rPr>
                <w:sz w:val="20"/>
                <w:szCs w:val="20"/>
                <w:color w:val="auto"/>
              </w:rPr>
            </w:pPr>
            <w:r>
              <w:rPr>
                <w:rFonts w:ascii="Arial" w:cs="Arial" w:eastAsia="Arial" w:hAnsi="Arial"/>
                <w:sz w:val="17"/>
                <w:szCs w:val="17"/>
                <w:b w:val="1"/>
                <w:bCs w:val="1"/>
                <w:color w:val="auto"/>
              </w:rPr>
              <w:t>Title</w:t>
            </w:r>
          </w:p>
        </w:tc>
        <w:tc>
          <w:tcPr>
            <w:tcW w:w="0" w:type="dxa"/>
            <w:vAlign w:val="bottom"/>
          </w:tcPr>
          <w:p>
            <w:pPr>
              <w:spacing w:after="0"/>
              <w:rPr>
                <w:sz w:val="1"/>
                <w:szCs w:val="1"/>
                <w:color w:val="auto"/>
              </w:rPr>
            </w:pPr>
          </w:p>
        </w:tc>
      </w:tr>
      <w:tr>
        <w:trPr>
          <w:trHeight w:val="395"/>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Markus Warmuth</w:t>
            </w:r>
          </w:p>
        </w:tc>
        <w:tc>
          <w:tcPr>
            <w:tcW w:w="1440" w:type="dxa"/>
            <w:vAlign w:val="bottom"/>
            <w:tcBorders>
              <w:bottom w:val="single" w:sz="8" w:color="auto"/>
            </w:tcBorders>
          </w:tcPr>
          <w:p>
            <w:pPr>
              <w:spacing w:after="0"/>
              <w:rPr>
                <w:sz w:val="24"/>
                <w:szCs w:val="24"/>
                <w:color w:val="auto"/>
              </w:rPr>
            </w:pPr>
          </w:p>
        </w:tc>
        <w:tc>
          <w:tcPr>
            <w:tcW w:w="5380" w:type="dxa"/>
            <w:vAlign w:val="bottom"/>
          </w:tcPr>
          <w:p>
            <w:pPr>
              <w:jc w:val="center"/>
              <w:ind w:left="133"/>
              <w:spacing w:after="0"/>
              <w:rPr>
                <w:sz w:val="20"/>
                <w:szCs w:val="20"/>
                <w:color w:val="auto"/>
              </w:rPr>
            </w:pPr>
            <w:r>
              <w:rPr>
                <w:rFonts w:ascii="Arial" w:cs="Arial" w:eastAsia="Arial" w:hAnsi="Arial"/>
                <w:sz w:val="17"/>
                <w:szCs w:val="17"/>
                <w:color w:val="auto"/>
              </w:rPr>
              <w:t>President, Chief Executive Officer and Director (Principal Executive</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Markus Warmuth</w:t>
            </w:r>
          </w:p>
        </w:tc>
        <w:tc>
          <w:tcPr>
            <w:tcW w:w="1440" w:type="dxa"/>
            <w:vAlign w:val="bottom"/>
          </w:tcPr>
          <w:p>
            <w:pPr>
              <w:spacing w:after="0"/>
              <w:rPr>
                <w:sz w:val="17"/>
                <w:szCs w:val="17"/>
                <w:color w:val="auto"/>
              </w:rPr>
            </w:pPr>
          </w:p>
        </w:tc>
        <w:tc>
          <w:tcPr>
            <w:tcW w:w="5380" w:type="dxa"/>
            <w:vAlign w:val="bottom"/>
          </w:tcPr>
          <w:p>
            <w:pPr>
              <w:jc w:val="center"/>
              <w:ind w:left="113"/>
              <w:spacing w:after="0" w:line="193" w:lineRule="exact"/>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Ajim Tamboli</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vMerge w:val="restart"/>
          </w:tcPr>
          <w:p>
            <w:pPr>
              <w:jc w:val="center"/>
              <w:ind w:left="133"/>
              <w:spacing w:after="0"/>
              <w:rPr>
                <w:sz w:val="20"/>
                <w:szCs w:val="20"/>
                <w:color w:val="auto"/>
              </w:rPr>
            </w:pPr>
            <w:r>
              <w:rPr>
                <w:rFonts w:ascii="Arial" w:cs="Arial" w:eastAsia="Arial" w:hAnsi="Arial"/>
                <w:sz w:val="17"/>
                <w:szCs w:val="17"/>
                <w:color w:val="auto"/>
              </w:rPr>
              <w:t>(Principal Financial Officer and Principal Accounting Officer)</w:t>
            </w:r>
          </w:p>
        </w:tc>
        <w:tc>
          <w:tcPr>
            <w:tcW w:w="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Ajim Tamboli</w:t>
            </w:r>
          </w:p>
        </w:tc>
        <w:tc>
          <w:tcPr>
            <w:tcW w:w="144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/s/Alexander Mayweg</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Alexander Mayweg</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Bradley J. Bolzon</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Bradley J. Bolzon</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Ali Behbahani</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Ali Behbahani</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20" w:type="dxa"/>
            <w:vAlign w:val="bottom"/>
            <w:gridSpan w:val="2"/>
          </w:tcPr>
          <w:p>
            <w:pPr>
              <w:ind w:left="1080"/>
              <w:spacing w:after="0"/>
              <w:rPr>
                <w:sz w:val="20"/>
                <w:szCs w:val="20"/>
                <w:color w:val="auto"/>
              </w:rPr>
            </w:pPr>
            <w:r>
              <w:rPr>
                <w:rFonts w:ascii="Arial" w:cs="Arial" w:eastAsia="Arial" w:hAnsi="Arial"/>
                <w:sz w:val="17"/>
                <w:szCs w:val="17"/>
                <w:color w:val="auto"/>
              </w:rPr>
              <w:t>II-6</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6"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713359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Signature</w:t>
            </w:r>
          </w:p>
        </w:tc>
        <w:tc>
          <w:tcPr>
            <w:tcW w:w="144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jc w:val="center"/>
              <w:ind w:left="133"/>
              <w:spacing w:after="0"/>
              <w:rPr>
                <w:sz w:val="20"/>
                <w:szCs w:val="20"/>
                <w:color w:val="auto"/>
              </w:rPr>
            </w:pPr>
            <w:r>
              <w:rPr>
                <w:rFonts w:ascii="Arial" w:cs="Arial" w:eastAsia="Arial" w:hAnsi="Arial"/>
                <w:sz w:val="17"/>
                <w:szCs w:val="17"/>
                <w:b w:val="1"/>
                <w:bCs w:val="1"/>
                <w:color w:val="auto"/>
              </w:rPr>
              <w:t>Title</w:t>
            </w:r>
          </w:p>
        </w:tc>
      </w:tr>
      <w:tr>
        <w:trPr>
          <w:trHeight w:val="395"/>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Kimberly L. Blackwell</w:t>
            </w:r>
          </w:p>
        </w:tc>
        <w:tc>
          <w:tcPr>
            <w:tcW w:w="1440" w:type="dxa"/>
            <w:vAlign w:val="bottom"/>
            <w:tcBorders>
              <w:bottom w:val="single" w:sz="8" w:color="auto"/>
            </w:tcBorders>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Kimberly L. Blackwell</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Andrew Schiff</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Andrew Schiff</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Chandra P. Leo</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06"/>
        </w:trPr>
        <w:tc>
          <w:tcPr>
            <w:tcW w:w="4420" w:type="dxa"/>
            <w:vAlign w:val="bottom"/>
            <w:gridSpan w:val="2"/>
          </w:tcPr>
          <w:p>
            <w:pPr>
              <w:spacing w:after="0"/>
              <w:rPr>
                <w:sz w:val="20"/>
                <w:szCs w:val="20"/>
                <w:color w:val="auto"/>
              </w:rPr>
            </w:pPr>
            <w:r>
              <w:rPr>
                <w:rFonts w:ascii="Arial" w:cs="Arial" w:eastAsia="Arial" w:hAnsi="Arial"/>
                <w:sz w:val="17"/>
                <w:szCs w:val="17"/>
                <w:color w:val="auto"/>
              </w:rPr>
              <w:t>Chandra P. Leo</w:t>
            </w: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416"/>
        </w:trPr>
        <w:tc>
          <w:tcPr>
            <w:tcW w:w="4420" w:type="dxa"/>
            <w:vAlign w:val="bottom"/>
            <w:gridSpan w:val="2"/>
          </w:tcPr>
          <w:p>
            <w:pPr>
              <w:spacing w:after="0"/>
              <w:rPr>
                <w:sz w:val="20"/>
                <w:szCs w:val="20"/>
                <w:color w:val="auto"/>
              </w:rPr>
            </w:pPr>
            <w:r>
              <w:rPr>
                <w:rFonts w:ascii="Arial" w:cs="Arial" w:eastAsia="Arial" w:hAnsi="Arial"/>
                <w:sz w:val="17"/>
                <w:szCs w:val="17"/>
                <w:color w:val="auto"/>
              </w:rPr>
              <w:t>/s/ Christine Siu</w:t>
            </w:r>
          </w:p>
        </w:tc>
        <w:tc>
          <w:tcPr>
            <w:tcW w:w="1440" w:type="dxa"/>
            <w:vAlign w:val="bottom"/>
          </w:tcPr>
          <w:p>
            <w:pPr>
              <w:spacing w:after="0"/>
              <w:rPr>
                <w:sz w:val="24"/>
                <w:szCs w:val="24"/>
                <w:color w:val="auto"/>
              </w:rPr>
            </w:pPr>
          </w:p>
        </w:tc>
        <w:tc>
          <w:tcPr>
            <w:tcW w:w="5380" w:type="dxa"/>
            <w:vAlign w:val="bottom"/>
          </w:tcPr>
          <w:p>
            <w:pPr>
              <w:jc w:val="center"/>
              <w:ind w:left="113"/>
              <w:spacing w:after="0"/>
              <w:rPr>
                <w:sz w:val="20"/>
                <w:szCs w:val="20"/>
                <w:color w:val="auto"/>
              </w:rPr>
            </w:pPr>
            <w:r>
              <w:rPr>
                <w:rFonts w:ascii="Arial" w:cs="Arial" w:eastAsia="Arial" w:hAnsi="Arial"/>
                <w:sz w:val="17"/>
                <w:szCs w:val="17"/>
                <w:color w:val="auto"/>
              </w:rPr>
              <w:t>Director</w:t>
            </w:r>
          </w:p>
        </w:tc>
      </w:tr>
      <w:tr>
        <w:trPr>
          <w:trHeight w:val="20"/>
        </w:trPr>
        <w:tc>
          <w:tcPr>
            <w:tcW w:w="2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14"/>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Christine Siu</w:t>
            </w:r>
          </w:p>
        </w:tc>
        <w:tc>
          <w:tcPr>
            <w:tcW w:w="144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r>
      <w:tr>
        <w:trPr>
          <w:trHeight w:val="360"/>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20" w:type="dxa"/>
            <w:vAlign w:val="bottom"/>
            <w:gridSpan w:val="2"/>
          </w:tcPr>
          <w:p>
            <w:pPr>
              <w:ind w:left="1080"/>
              <w:spacing w:after="0"/>
              <w:rPr>
                <w:sz w:val="20"/>
                <w:szCs w:val="20"/>
                <w:color w:val="auto"/>
              </w:rPr>
            </w:pPr>
            <w:r>
              <w:rPr>
                <w:rFonts w:ascii="Arial" w:cs="Arial" w:eastAsia="Arial" w:hAnsi="Arial"/>
                <w:sz w:val="17"/>
                <w:szCs w:val="17"/>
                <w:color w:val="auto"/>
              </w:rPr>
              <w:t>II-7</w:t>
            </w:r>
          </w:p>
        </w:tc>
      </w:tr>
    </w:tbl>
    <w:p>
      <w:pPr>
        <w:sectPr>
          <w:pgSz w:w="11900" w:h="16838" w:orient="portrait"/>
          <w:cols w:equalWidth="0" w:num="1">
            <w:col w:w="11240"/>
          </w:cols>
          <w:pgMar w:left="320" w:top="456"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8"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Monte Rosa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18" w:lineRule="exact"/>
        <w:rPr>
          <w:sz w:val="20"/>
          <w:szCs w:val="20"/>
          <w:color w:val="auto"/>
        </w:rPr>
      </w:pPr>
    </w:p>
    <w:p>
      <w:pPr>
        <w:ind w:right="40" w:firstLine="990"/>
        <w:spacing w:after="0" w:line="271" w:lineRule="auto"/>
        <w:tabs>
          <w:tab w:leader="none" w:pos="116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Monte Rosa Therapeutics, Inc., and that this corporation was originally incorporated pursuant to the General Corporation Law on November 21, 2019 under the name Monte Rosa Therapeutics, Inc.</w:t>
      </w:r>
    </w:p>
    <w:p>
      <w:pPr>
        <w:spacing w:after="0" w:line="67" w:lineRule="exact"/>
        <w:rPr>
          <w:rFonts w:ascii="Arial" w:cs="Arial" w:eastAsia="Arial" w:hAnsi="Arial"/>
          <w:sz w:val="18"/>
          <w:szCs w:val="18"/>
          <w:b w:val="1"/>
          <w:bCs w:val="1"/>
          <w:color w:val="auto"/>
        </w:rPr>
      </w:pPr>
    </w:p>
    <w:p>
      <w:pPr>
        <w:ind w:right="40" w:firstLine="990"/>
        <w:spacing w:after="0" w:line="255" w:lineRule="auto"/>
        <w:tabs>
          <w:tab w:leader="none" w:pos="116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Second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6" w:lineRule="exact"/>
        <w:rPr>
          <w:sz w:val="20"/>
          <w:szCs w:val="20"/>
          <w:color w:val="auto"/>
        </w:rPr>
      </w:pPr>
    </w:p>
    <w:p>
      <w:pPr>
        <w:ind w:right="520" w:firstLine="982"/>
        <w:spacing w:after="0" w:line="27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Second Amended and Restated Certificate of Incorporation of this corporation be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follows: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Monte Rosa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right="820" w:firstLine="982"/>
        <w:spacing w:after="0" w:line="340"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1209 Orange Street,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19801. The name of its registered agent at such address is The Corporation Trust Company.</w:t>
      </w:r>
    </w:p>
    <w:p>
      <w:pPr>
        <w:spacing w:after="0" w:line="121" w:lineRule="exact"/>
        <w:rPr>
          <w:sz w:val="20"/>
          <w:szCs w:val="20"/>
          <w:color w:val="auto"/>
        </w:rPr>
      </w:pPr>
    </w:p>
    <w:p>
      <w:pPr>
        <w:ind w:right="760" w:firstLine="982"/>
        <w:spacing w:after="0" w:line="275"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168" w:lineRule="exact"/>
        <w:rPr>
          <w:sz w:val="20"/>
          <w:szCs w:val="20"/>
          <w:color w:val="auto"/>
        </w:rPr>
      </w:pPr>
    </w:p>
    <w:p>
      <w:pPr>
        <w:ind w:right="100" w:firstLine="982"/>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136,654,851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109,686,035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0920"/>
          </w:cols>
          <w:pgMar w:left="480" w:top="121" w:right="499" w:bottom="1440" w:gutter="0" w:footer="0" w:header="0"/>
        </w:sectPr>
      </w:pPr>
    </w:p>
    <w:bookmarkStart w:id="265" w:name="page266"/>
    <w:bookmarkEnd w:id="2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COMMON STOCK</w:t>
      </w:r>
    </w:p>
    <w:p>
      <w:pPr>
        <w:spacing w:after="0" w:line="114" w:lineRule="exact"/>
        <w:rPr>
          <w:sz w:val="20"/>
          <w:szCs w:val="20"/>
          <w:color w:val="auto"/>
        </w:rPr>
      </w:pPr>
    </w:p>
    <w:p>
      <w:pPr>
        <w:ind w:right="420" w:firstLine="990"/>
        <w:spacing w:after="0" w:line="271" w:lineRule="auto"/>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67" w:lineRule="exact"/>
        <w:rPr>
          <w:rFonts w:ascii="Arial" w:cs="Arial" w:eastAsia="Arial" w:hAnsi="Arial"/>
          <w:sz w:val="18"/>
          <w:szCs w:val="18"/>
          <w:color w:val="auto"/>
        </w:rPr>
      </w:pPr>
    </w:p>
    <w:p>
      <w:pPr>
        <w:ind w:right="20" w:firstLine="990"/>
        <w:spacing w:after="0" w:line="267" w:lineRule="auto"/>
        <w:tabs>
          <w:tab w:leader="none" w:pos="1160"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Third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Third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Third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9" w:lineRule="exact"/>
        <w:rPr>
          <w:rFonts w:ascii="Arial" w:cs="Arial" w:eastAsia="Arial" w:hAnsi="Arial"/>
          <w:sz w:val="17"/>
          <w:szCs w:val="17"/>
          <w:color w:val="auto"/>
        </w:rPr>
      </w:pPr>
    </w:p>
    <w:p>
      <w:pPr>
        <w:ind w:left="660" w:hanging="216"/>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20,004,280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9,627,234 shares of the authorized Preferred Stock of the Corporation are hereby designated “</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48,000,000 shares of the authorized Preferred Stock of the Corporation are hereby designated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32,054,521 shares of the authorized Preferred Stock of the Corporation are hereby designated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93" w:lineRule="exact"/>
        <w:rPr>
          <w:sz w:val="20"/>
          <w:szCs w:val="20"/>
          <w:color w:val="auto"/>
        </w:rPr>
      </w:pPr>
    </w:p>
    <w:p>
      <w:pPr>
        <w:ind w:left="1160" w:hanging="170"/>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4"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Holders of Preferred Stock, on a pari passu basis but in preference to the holders of Common Stock, shall be entitled to receive, when, as and if declared by the Board of Directors of the Corporation, but only out of funds that are legally available therefor, cash dividends at the rate of (i) in the case of the Series A Preferred Stock, eight percent (8%) of the Series A Original Issue Price (as defined below) per annum on each outstanding share of Series A Preferred Stock, (ii) in the case of the Series A-2 Preferred Stock, eight percent (8%) of the Series A-2 Original Issue Price (as defined below) per annum on each outstanding share of Series A-2 Preferred Stock, (iii) in the case of the Series B Preferred Stock, eight percent (8%) of the Series B Original Issue Price (as defined below) per annum on each outstanding share of Series B Preferred Stock, and (iv) in the case of the Series C Preferred Stock, eight percent (8%) of the Series C Original Issue Price (as defined below) per annum on each outstanding share of Series C Preferred Stock (collectively, the “</w:t>
      </w:r>
      <w:r>
        <w:rPr>
          <w:rFonts w:ascii="Arial" w:cs="Arial" w:eastAsia="Arial" w:hAnsi="Arial"/>
          <w:sz w:val="17"/>
          <w:szCs w:val="17"/>
          <w:b w:val="1"/>
          <w:bCs w:val="1"/>
          <w:color w:val="auto"/>
        </w:rPr>
        <w:t>Preferred Dividend</w:t>
      </w:r>
      <w:r>
        <w:rPr>
          <w:rFonts w:ascii="Arial" w:cs="Arial" w:eastAsia="Arial" w:hAnsi="Arial"/>
          <w:sz w:val="17"/>
          <w:szCs w:val="17"/>
          <w:color w:val="auto"/>
        </w:rPr>
        <w:t>”). All such Preferred Dividends shall be payable only when, as and if declared by the Board of Directors of the Corporation and shall be non-cumulative, and, if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266" w:name="page267"/>
    <w:bookmarkEnd w:id="266"/>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when declared, shall be declared on each series of Preferred Stock and not an individual series of Preferred Stock. The Corporation shall not declare, pay or set aside any dividends on shares of any other class or series of capital stock of the Corporation (other than dividends on shares of Common Stock payable in shares of Common Stock ) unless (in addition to the obtaining of any consents required elsewhere in this Third Amended and Restated Certificate of Incorporation) the holders of the Preferred Stock then outstanding shall first receive, or simultaneously receive, both (A) the applicable Preferred Dividend and (B) a dividend on each outstanding share of the applicable series of Preferred Stock in an amount at least equal to (i) in the case of a dividend on Common Stock or any class or series that is convertible into Common Stock, that dividend per share of the applicable series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the applicable series of Preferred Stock, in each case calculated on the record date for determination of holders entitled to receive such dividend or (ii) in the case of a dividend on any class or series that is not convertible into Common Stock, at a rate per share of the applicable series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Original Issue Price of the applicable series of Preferred Stock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$1.00 per share, subject to appropriate adjustment in the event of any stock dividend, stock split, combination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recapitalization with respect to the Series A Preferred Stock. The “</w:t>
      </w:r>
      <w:r>
        <w:rPr>
          <w:rFonts w:ascii="Arial" w:cs="Arial" w:eastAsia="Arial" w:hAnsi="Arial"/>
          <w:sz w:val="16"/>
          <w:szCs w:val="16"/>
          <w:b w:val="1"/>
          <w:bCs w:val="1"/>
          <w:color w:val="auto"/>
        </w:rPr>
        <w:t>Series A-2 Original Issue Price</w:t>
      </w:r>
      <w:r>
        <w:rPr>
          <w:rFonts w:ascii="Arial" w:cs="Arial" w:eastAsia="Arial" w:hAnsi="Arial"/>
          <w:sz w:val="16"/>
          <w:szCs w:val="16"/>
          <w:color w:val="auto"/>
        </w:rPr>
        <w:t>” shall mean $1.2984 per share, subject to appropriate adjustment in the event of any stock dividend, stock split, combination or other similar recapitalization with respect to the Series A-2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$2.00 per share,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$2.9637 per share, subject to appropriate adjustment in the event of any stock dividend, stock split, combination or other similar recapitalization with respect to the Series C Preferred Stock. The term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refer to the Series A Original Issue Price, the Series A-2 Original Issue Price, the Series B Original Issue Price or the Series C Original Issue Price, as the case may be.</w:t>
      </w:r>
    </w:p>
    <w:p>
      <w:pPr>
        <w:spacing w:after="0" w:line="180"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In the event that the Corporation determines to distribute the proceeds (cash or otherwise) resulting from any sale or other transfer of a portion of its securities or sale, license and/or other transfer of a portion of its assets (which would not be deemed to be a Deemed Liquidation Event (as defined below)), the proceeds resulting therefrom (including in respect of any ongoing payments, such as a royalty or milestone payment) will be distributed in accordance with the liquidation waterfall set forth in Section 2 below (and the amounts subsequently distributable pursuant to Section 2 will be reduced, or adjusted, as applicable, to take into account all payments made pursuant to this paragraph as if such payments, along with the consideration then payable under Section 2, had been paid in a single transaction), and not as a dividend set forth in this Section 1.</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267" w:name="page268"/>
    <w:bookmarkEnd w:id="267"/>
    <w:p>
      <w:pPr>
        <w:ind w:left="1160" w:hanging="170"/>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114" w:lineRule="exact"/>
        <w:rPr>
          <w:sz w:val="20"/>
          <w:szCs w:val="20"/>
          <w:color w:val="auto"/>
        </w:rPr>
      </w:pPr>
    </w:p>
    <w:p>
      <w:pPr>
        <w:ind w:firstLine="1419"/>
        <w:spacing w:after="0" w:line="28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In the event of any voluntary or involuntary liquidation, dissolution or winding up of the Corporation, (A) the holders of shares of Series C Preferred Stock and Series B Preferred Stock then outstanding shall be entitled to be paid, on a pari passu basis, out of the assets of the Corporation available for distribution to its stockholders or, in the case of a Deemed Liquidation Event, out of the consideration payable to stockholders in such Deemed Liquidation Event or the Available Proceeds (as defined below), before any payment shall be made to the holders of the Series A-2 Preferred Stock, Series A Preferred Stock, and Common Stock by reason of their ownership thereof, an amount per share equal to the greater of (i) one (1) times the Original Issue Price for such series of Preferred Stock, plus any dividends declared but unpaid thereon and (ii) such amount per share as would have been payable had all shares of such series of Preferred Stock been converted into Common Stock pursuant to Section 4 immediately prior to such liquidation, dissolution, winding up or Deemed Liquidation Event regardless of whether such conversion is permitted (the amount payable pursuant to this sentence with respect to the Series C Preferred Stock is hereinafter referred to 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and the amount payable pursuant to this sentence with respect to the Series B Preferred Stock is hereinafter referred 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and (B) after payment of the Series C Liquidation Amount and the Series B Liquidation Amount for all shares of Series C Preferred Stock and Series B Preferred Stock, as applicable, the holders of shares of Series A Preferred Stock and Series A-2 Preferred Stock then outstanding shall be entitled to be paid, on a pari passu basis, out of the assets of the Corporation available for distribution to its stockholders or, in the case of a Deemed Liquidation Event (as defined below), out of the consideration payable to stockholders in such Deemed Liquidation Event or the Available Proceeds (as defined below), before any payment shall be made to the holders of Common Stock by reason of their ownership thereof, an amount per share equal to the greater of (i) one (1) times the Original Issue Price for such series of Preferred Stock, plus any dividends declared but unpaid thereon and (ii) such amount per share as would have been payable had all shares of such series of Preferred Stock been converted into Common Stock pursuant to Section 4 immediately prior to such liquidation, dissolution, winding up or Deemed Liquidation Event regardless of whether such conversion is permitted (the amount payable pursuant to this sentence with respect to the Series A-2 Preferred Stock is hereinafter referred to as the “</w:t>
      </w:r>
      <w:r>
        <w:rPr>
          <w:rFonts w:ascii="Arial" w:cs="Arial" w:eastAsia="Arial" w:hAnsi="Arial"/>
          <w:sz w:val="16"/>
          <w:szCs w:val="16"/>
          <w:b w:val="1"/>
          <w:bCs w:val="1"/>
          <w:color w:val="auto"/>
        </w:rPr>
        <w:t>Series A-2 Liquidation Amount</w:t>
      </w:r>
      <w:r>
        <w:rPr>
          <w:rFonts w:ascii="Arial" w:cs="Arial" w:eastAsia="Arial" w:hAnsi="Arial"/>
          <w:sz w:val="16"/>
          <w:szCs w:val="16"/>
          <w:color w:val="auto"/>
        </w:rPr>
        <w:t>”, the amount payable pursuant to this sentence with respect to the Series A Preferred Stock is hereinafter referred to as the “</w:t>
      </w:r>
      <w:r>
        <w:rPr>
          <w:rFonts w:ascii="Arial" w:cs="Arial" w:eastAsia="Arial" w:hAnsi="Arial"/>
          <w:sz w:val="16"/>
          <w:szCs w:val="16"/>
          <w:b w:val="1"/>
          <w:bCs w:val="1"/>
          <w:color w:val="auto"/>
        </w:rPr>
        <w:t>Series A Liquidation Amount</w:t>
      </w:r>
      <w:r>
        <w:rPr>
          <w:rFonts w:ascii="Arial" w:cs="Arial" w:eastAsia="Arial" w:hAnsi="Arial"/>
          <w:sz w:val="16"/>
          <w:szCs w:val="16"/>
          <w:color w:val="auto"/>
        </w:rPr>
        <w:t>”, and together with the Series A-2 Liquidation Amount, the Series B Liquidation Amount, and the Series C Liquidation Amount, the “</w:t>
      </w:r>
      <w:r>
        <w:rPr>
          <w:rFonts w:ascii="Arial" w:cs="Arial" w:eastAsia="Arial" w:hAnsi="Arial"/>
          <w:sz w:val="16"/>
          <w:szCs w:val="16"/>
          <w:b w:val="1"/>
          <w:bCs w:val="1"/>
          <w:color w:val="auto"/>
        </w:rPr>
        <w:t>Liquidation Amount</w:t>
      </w:r>
      <w:r>
        <w:rPr>
          <w:rFonts w:ascii="Arial" w:cs="Arial" w:eastAsia="Arial" w:hAnsi="Arial"/>
          <w:sz w:val="16"/>
          <w:szCs w:val="16"/>
          <w:color w:val="auto"/>
        </w:rPr>
        <w: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Subsection 2.1, the holders of shares of the Series C Preferred Stock and the Series B Preferred Stock shall be paid out first, sharing ratably and on a pari passu basis in any distribution of the assets available for distribution in proportion to the respective amounts which would otherwise be payable in respect of the shares held by them upon such distribution if all amounts payable on or with respect to such shares were paid in full, and then the holders of the Series A-2 Preferred Stock and Series A Preferred Stock shall share ratably and on a pari passu basis in any distribution of the assets available for distribution in proportion to the respective amounts which would otherwise be payable in respect of the shares held by them upon such distribution if all amounts payable on or with respect to such shares were paid in full. The ‘greater of’ determination set forth in this Section 2.1(A) and in this Section 2.1(B) shall be referred to as the “</w:t>
      </w:r>
      <w:r>
        <w:rPr>
          <w:rFonts w:ascii="Arial" w:cs="Arial" w:eastAsia="Arial" w:hAnsi="Arial"/>
          <w:sz w:val="16"/>
          <w:szCs w:val="16"/>
          <w:b w:val="1"/>
          <w:bCs w:val="1"/>
          <w:color w:val="auto"/>
        </w:rPr>
        <w:t>Preference/Conversion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Determination</w:t>
      </w:r>
      <w:r>
        <w:rPr>
          <w:rFonts w:ascii="Arial" w:cs="Arial" w:eastAsia="Arial" w:hAnsi="Arial"/>
          <w:sz w:val="16"/>
          <w:szCs w:val="16"/>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268" w:name="page269"/>
    <w:bookmarkEnd w:id="268"/>
    <w:p>
      <w:pPr>
        <w:ind w:firstLine="141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xml:space="preserve">. In the event of any voluntary or involuntary liquidation, dissolution or winding up of the Corporation, after the payment in full of all amounts required to be paid to the holders of shares of each series of Preferred Stock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the remaining assets of the Corporation available for distribution to its stockholders or, in the case of a Deemed Liquidation Event, the consideration not payable to the holders of shares of Preferred Stock pursuant to Section 2.1 or the remaining Available Proceeds, as the case may be, shall be distributed among the holders of the shares of the Common Stock, pro rata based on the number of shares held by each such holder.</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0" w:lineRule="exact"/>
        <w:rPr>
          <w:sz w:val="20"/>
          <w:szCs w:val="20"/>
          <w:color w:val="auto"/>
        </w:rPr>
      </w:pPr>
    </w:p>
    <w:p>
      <w:pPr>
        <w:ind w:right="140" w:firstLine="1964"/>
        <w:spacing w:after="0" w:line="290"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(i) the holders of at least 70% of the outstanding shares of Preferred Stock, voting together as a single class on an as-if converted basis (the “</w:t>
      </w:r>
      <w:r>
        <w:rPr>
          <w:rFonts w:ascii="Arial" w:cs="Arial" w:eastAsia="Arial" w:hAnsi="Arial"/>
          <w:sz w:val="16"/>
          <w:szCs w:val="16"/>
          <w:b w:val="1"/>
          <w:bCs w:val="1"/>
          <w:color w:val="auto"/>
        </w:rPr>
        <w:t>Requisite Holders</w:t>
      </w:r>
      <w:r>
        <w:rPr>
          <w:rFonts w:ascii="Arial" w:cs="Arial" w:eastAsia="Arial" w:hAnsi="Arial"/>
          <w:sz w:val="16"/>
          <w:szCs w:val="16"/>
          <w:color w:val="auto"/>
        </w:rPr>
        <w:t>”) and</w:t>
      </w:r>
    </w:p>
    <w:p>
      <w:pPr>
        <w:ind w:right="600" w:firstLine="7"/>
        <w:spacing w:after="0" w:line="256" w:lineRule="auto"/>
        <w:tabs>
          <w:tab w:leader="none" w:pos="2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Requisite Series C Preferred (as defined below) elect otherwise by written notice sent to the Corporation at least five (5) days prior to the effective date of any such event:</w:t>
      </w:r>
    </w:p>
    <w:p>
      <w:pPr>
        <w:spacing w:after="0" w:line="80" w:lineRule="exact"/>
        <w:rPr>
          <w:rFonts w:ascii="Arial" w:cs="Arial" w:eastAsia="Arial" w:hAnsi="Arial"/>
          <w:sz w:val="18"/>
          <w:szCs w:val="18"/>
          <w:color w:val="auto"/>
        </w:rPr>
      </w:pPr>
    </w:p>
    <w:p>
      <w:pPr>
        <w:ind w:left="2660" w:hanging="252"/>
        <w:spacing w:after="0"/>
        <w:tabs>
          <w:tab w:leader="none" w:pos="2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27" w:lineRule="exact"/>
        <w:rPr>
          <w:rFonts w:ascii="Arial" w:cs="Arial" w:eastAsia="Arial" w:hAnsi="Arial"/>
          <w:sz w:val="18"/>
          <w:szCs w:val="18"/>
          <w:color w:val="auto"/>
        </w:rPr>
      </w:pPr>
    </w:p>
    <w:p>
      <w:pPr>
        <w:ind w:left="3380" w:hanging="537"/>
        <w:spacing w:after="0"/>
        <w:tabs>
          <w:tab w:leader="none" w:pos="33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27" w:lineRule="exact"/>
        <w:rPr>
          <w:rFonts w:ascii="Arial" w:cs="Arial" w:eastAsia="Arial" w:hAnsi="Arial"/>
          <w:sz w:val="18"/>
          <w:szCs w:val="18"/>
          <w:color w:val="auto"/>
        </w:rPr>
      </w:pPr>
    </w:p>
    <w:p>
      <w:pPr>
        <w:ind w:left="3380" w:hanging="537"/>
        <w:spacing w:after="0" w:line="271" w:lineRule="auto"/>
        <w:tabs>
          <w:tab w:leader="none" w:pos="33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69" w:lineRule="exact"/>
        <w:rPr>
          <w:sz w:val="20"/>
          <w:szCs w:val="20"/>
          <w:color w:val="auto"/>
        </w:rPr>
      </w:pPr>
    </w:p>
    <w:p>
      <w:pPr>
        <w:ind w:right="80" w:firstLine="2408"/>
        <w:spacing w:after="0" w:line="252" w:lineRule="auto"/>
        <w:tabs>
          <w:tab w:leader="none" w:pos="265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269" w:name="page270"/>
    <w:bookmarkEnd w:id="269"/>
    <w:p>
      <w:pPr>
        <w:ind w:left="1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4" w:lineRule="exact"/>
        <w:rPr>
          <w:sz w:val="20"/>
          <w:szCs w:val="20"/>
          <w:color w:val="auto"/>
        </w:rPr>
      </w:pPr>
    </w:p>
    <w:p>
      <w:pPr>
        <w:ind w:left="-20" w:right="140" w:firstLine="1972"/>
        <w:spacing w:after="0" w:line="255" w:lineRule="auto"/>
        <w:tabs>
          <w:tab w:leader="none" w:pos="21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Subsection 2.3.1(a)(i)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20" w:firstLine="1972"/>
        <w:spacing w:after="0" w:line="281" w:lineRule="auto"/>
        <w:tabs>
          <w:tab w:leader="none" w:pos="21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redeem first a pro rata portion of each holder’s shares of the Series C Preferred Stock and the Series B Preferred Stock on a pari passu basis until all such shares have been redeemed, and then a pro rata portion of each holder’s shares of the Series A Preferred Stock and the Series A-2 Preferred Stock on a pari passu basis to the fullest extent of such Available Proceeds, based on the respective amounts which would otherwise be payable in respect of the shares to be redeemed if the Available Proceeds were sufficient to redeem all such shares, and shall redeem the remaining shares in the same order as soon as it may lawfully do so under Delaware law governing distributions to stockholders. The Corporation shall send written notice of the mandatory redemption (the “</w:t>
      </w:r>
      <w:r>
        <w:rPr>
          <w:rFonts w:ascii="Arial" w:cs="Arial" w:eastAsia="Arial" w:hAnsi="Arial"/>
          <w:sz w:val="16"/>
          <w:szCs w:val="16"/>
          <w:b w:val="1"/>
          <w:bCs w:val="1"/>
          <w:color w:val="auto"/>
        </w:rPr>
        <w:t>Redemption Notice</w:t>
      </w:r>
      <w:r>
        <w:rPr>
          <w:rFonts w:ascii="Arial" w:cs="Arial" w:eastAsia="Arial" w:hAnsi="Arial"/>
          <w:sz w:val="16"/>
          <w:szCs w:val="16"/>
          <w:color w:val="auto"/>
        </w:rPr>
        <w:t>”) to each holder of record of Preferred Stock not less than forty (40) days prior to the date of any such redemption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The Redemption Notice shall state: (1) the number of shares of each series of Preferred Stock held by the holder that the Corporation shall redeem on the Redemption Date specified in the Redemption Notice; (2) the Redemption Date and the applicable Liquidation Amount; (3) 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(4) for holders of shares in certificated form, that the holder is to surrender to the Corporation, in the manner and at the place designated, his, her or its certificate or certificates representing the shares of Preferred Stock to be redeemed. 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500" w:top="272" w:right="519" w:bottom="1440" w:gutter="0" w:footer="0" w:header="0"/>
        </w:sectPr>
      </w:pPr>
    </w:p>
    <w:bookmarkStart w:id="270" w:name="page271"/>
    <w:bookmarkEnd w:id="270"/>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Liquidation Amount for such shares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 Preferred Stock shall promptly be issued to such holder. If the Redemption Notice shall have been duly given, and if on the Redemption Date the Liquidation Amount payable upon redemption of the Preferred Stock to be redeemed on the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of Preferred Stock shall forthwith after the Redemption Date terminate, except only the right of the holders to receive the Liquidation Amount without interest upon surrender of any such certificate or certificates therefor.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62" w:lineRule="exact"/>
        <w:rPr>
          <w:sz w:val="20"/>
          <w:szCs w:val="20"/>
          <w:color w:val="auto"/>
        </w:rPr>
      </w:pPr>
    </w:p>
    <w:p>
      <w:pPr>
        <w:ind w:right="120" w:firstLine="1964"/>
        <w:spacing w:after="0" w:line="25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of the Corporation, including the approval of at least a majority of the Preferred Directors.</w:t>
      </w:r>
    </w:p>
    <w:p>
      <w:pPr>
        <w:spacing w:after="0" w:line="86" w:lineRule="exact"/>
        <w:rPr>
          <w:sz w:val="20"/>
          <w:szCs w:val="20"/>
          <w:color w:val="auto"/>
        </w:rPr>
      </w:pPr>
    </w:p>
    <w:p>
      <w:pPr>
        <w:ind w:right="200" w:firstLine="1964"/>
        <w:spacing w:after="0" w:line="28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 Deemed Liquidation Event pursuant to </w:t>
      </w:r>
      <w:r>
        <w:rPr>
          <w:rFonts w:ascii="Arial" w:cs="Arial" w:eastAsia="Arial" w:hAnsi="Arial"/>
          <w:sz w:val="16"/>
          <w:szCs w:val="16"/>
          <w:u w:val="single" w:color="auto"/>
          <w:color w:val="auto"/>
        </w:rPr>
        <w:t>Subsection 2.3.1(a)(i)</w:t>
      </w:r>
      <w:r>
        <w:rPr>
          <w:rFonts w:ascii="Arial" w:cs="Arial" w:eastAsia="Arial" w:hAnsi="Arial"/>
          <w:sz w:val="16"/>
          <w:szCs w:val="16"/>
          <w:color w:val="auto"/>
        </w:rPr>
        <w:t>, if any portion of the consideration payable to the stockholders of the Corporation is payable only upon satisfaction of contingencies (the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 the Initial Consideration were the only consideration payable in connection with such Deemed Liquidation Event; and</w:t>
      </w:r>
    </w:p>
    <w:p>
      <w:pPr>
        <w:spacing w:after="0" w:line="2" w:lineRule="exact"/>
        <w:rPr>
          <w:sz w:val="20"/>
          <w:szCs w:val="20"/>
          <w:color w:val="auto"/>
        </w:rPr>
      </w:pPr>
    </w:p>
    <w:p>
      <w:pPr>
        <w:ind w:firstLine="7"/>
        <w:spacing w:after="0" w:line="284" w:lineRule="auto"/>
        <w:tabs>
          <w:tab w:leader="none" w:pos="25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after taking into account the previous payment of the Initial Consideration as part of the same transaction.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a holdback to be available for satisfaction of indemnification or similar obligations in connection with such Deemed Liquidation Event shall be deemed to be Additional Consideration. Without limiting the effects of the foregoing, holders of the Preferred Stock shall be entitled to the benefit of the Preference/Conversion Determination with respect to the payment of the Initial Consideration and the payment of the Additional Consideration. Any waiver of the Series A Liquidation Amount and the Series A-2 Liquidation Amount shall require the consent of at least seventy percent (70%) of the outstanding shares of the Series A Preferred Stock and the Series A-2 Preferred Stock, voting together as a single class 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72" w:right="539" w:bottom="1440" w:gutter="0" w:footer="0" w:header="0"/>
        </w:sectPr>
      </w:pPr>
    </w:p>
    <w:bookmarkStart w:id="271" w:name="page272"/>
    <w:bookmarkEnd w:id="271"/>
    <w:p>
      <w:pPr>
        <w:ind w:right="40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 as-converted basis (the “</w:t>
      </w:r>
      <w:r>
        <w:rPr>
          <w:rFonts w:ascii="Arial" w:cs="Arial" w:eastAsia="Arial" w:hAnsi="Arial"/>
          <w:sz w:val="17"/>
          <w:szCs w:val="17"/>
          <w:b w:val="1"/>
          <w:bCs w:val="1"/>
          <w:color w:val="auto"/>
        </w:rPr>
        <w:t>Requisite Series A Preferred</w:t>
      </w:r>
      <w:r>
        <w:rPr>
          <w:rFonts w:ascii="Arial" w:cs="Arial" w:eastAsia="Arial" w:hAnsi="Arial"/>
          <w:sz w:val="17"/>
          <w:szCs w:val="17"/>
          <w:color w:val="auto"/>
        </w:rPr>
        <w:t>”). Any waiver of the Series B Liquidation Amount shall require the consent of at least a majority of the outstanding shares of Series B Preferred Stock (the “</w:t>
      </w:r>
      <w:r>
        <w:rPr>
          <w:rFonts w:ascii="Arial" w:cs="Arial" w:eastAsia="Arial" w:hAnsi="Arial"/>
          <w:sz w:val="17"/>
          <w:szCs w:val="17"/>
          <w:b w:val="1"/>
          <w:bCs w:val="1"/>
          <w:color w:val="auto"/>
        </w:rPr>
        <w:t>Requisite Series B Preferred</w:t>
      </w:r>
      <w:r>
        <w:rPr>
          <w:rFonts w:ascii="Arial" w:cs="Arial" w:eastAsia="Arial" w:hAnsi="Arial"/>
          <w:sz w:val="17"/>
          <w:szCs w:val="17"/>
          <w:color w:val="auto"/>
        </w:rPr>
        <w:t>”). Any amendment or waiver of the Series C Liquidation Amount shall require the consent of at least a majority of the outstanding shares of Series C Preferred Stock, which such majority must include shares held by Avoro Capital and its affiliates (the “</w:t>
      </w:r>
      <w:r>
        <w:rPr>
          <w:rFonts w:ascii="Arial" w:cs="Arial" w:eastAsia="Arial" w:hAnsi="Arial"/>
          <w:sz w:val="17"/>
          <w:szCs w:val="17"/>
          <w:b w:val="1"/>
          <w:bCs w:val="1"/>
          <w:color w:val="auto"/>
        </w:rPr>
        <w:t>Requisite Series C Preferred</w:t>
      </w:r>
      <w:r>
        <w:rPr>
          <w:rFonts w:ascii="Arial" w:cs="Arial" w:eastAsia="Arial" w:hAnsi="Arial"/>
          <w:sz w:val="17"/>
          <w:szCs w:val="17"/>
          <w:color w:val="auto"/>
        </w:rPr>
        <w:t>”).</w:t>
      </w:r>
    </w:p>
    <w:p>
      <w:pPr>
        <w:spacing w:after="0" w:line="64" w:lineRule="exact"/>
        <w:rPr>
          <w:sz w:val="20"/>
          <w:szCs w:val="20"/>
          <w:color w:val="auto"/>
        </w:rPr>
      </w:pPr>
    </w:p>
    <w:p>
      <w:pPr>
        <w:ind w:left="1160" w:hanging="170"/>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4" w:lineRule="exact"/>
        <w:rPr>
          <w:sz w:val="20"/>
          <w:szCs w:val="20"/>
          <w:color w:val="auto"/>
        </w:rPr>
      </w:pPr>
    </w:p>
    <w:p>
      <w:pPr>
        <w:ind w:firstLine="1419"/>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Third Amended and Restated Certificate of Incorporation, holders of Preferred Stock shall vote together with the holders of Common Stock as a single class and on an as-converted to Common Stock basis.</w:t>
      </w:r>
    </w:p>
    <w:p>
      <w:pPr>
        <w:spacing w:after="0" w:line="87" w:lineRule="exact"/>
        <w:rPr>
          <w:sz w:val="20"/>
          <w:szCs w:val="20"/>
          <w:color w:val="auto"/>
        </w:rPr>
      </w:pPr>
    </w:p>
    <w:p>
      <w:pPr>
        <w:ind w:right="20" w:firstLine="1419"/>
        <w:spacing w:after="0" w:line="28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B Preferred Stock, exclusively and as a separate class, shall be entitled to elect two (2) directors of the Corporation (the “</w:t>
      </w:r>
      <w:r>
        <w:rPr>
          <w:rFonts w:ascii="Arial" w:cs="Arial" w:eastAsia="Arial" w:hAnsi="Arial"/>
          <w:sz w:val="16"/>
          <w:szCs w:val="16"/>
          <w:b w:val="1"/>
          <w:bCs w:val="1"/>
          <w:color w:val="auto"/>
        </w:rPr>
        <w:t>Series B Directors</w:t>
      </w:r>
      <w:r>
        <w:rPr>
          <w:rFonts w:ascii="Arial" w:cs="Arial" w:eastAsia="Arial" w:hAnsi="Arial"/>
          <w:sz w:val="16"/>
          <w:szCs w:val="16"/>
          <w:color w:val="auto"/>
        </w:rPr>
        <w:t>”), the holders of record of the shares of Series A Preferred Stock, exclusively and as a separate class, shall be entitled to elect two (2) directors of the Corporation (the “</w:t>
      </w:r>
      <w:r>
        <w:rPr>
          <w:rFonts w:ascii="Arial" w:cs="Arial" w:eastAsia="Arial" w:hAnsi="Arial"/>
          <w:sz w:val="16"/>
          <w:szCs w:val="16"/>
          <w:b w:val="1"/>
          <w:bCs w:val="1"/>
          <w:color w:val="auto"/>
        </w:rPr>
        <w:t>Series A Directors</w:t>
      </w:r>
      <w:r>
        <w:rPr>
          <w:rFonts w:ascii="Arial" w:cs="Arial" w:eastAsia="Arial" w:hAnsi="Arial"/>
          <w:sz w:val="16"/>
          <w:szCs w:val="16"/>
          <w:color w:val="auto"/>
        </w:rPr>
        <w:t>”), the holders of record of the shares of Series A-2 Preferred Stock, exclusively and as a separate class, shall be entitled to elect one (1) director of the Corporation (the “</w:t>
      </w:r>
      <w:r>
        <w:rPr>
          <w:rFonts w:ascii="Arial" w:cs="Arial" w:eastAsia="Arial" w:hAnsi="Arial"/>
          <w:sz w:val="16"/>
          <w:szCs w:val="16"/>
          <w:b w:val="1"/>
          <w:bCs w:val="1"/>
          <w:color w:val="auto"/>
        </w:rPr>
        <w:t>Series A-2</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and together with the Series B Directors and the Series A Directors,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the holders of record of the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exclusively and as a separate class, shall be entitled to elect one (1) 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B Preferred Stock, Series A Preferred Stock, Series A-2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B Preferred Stock, Series A Preferred Stock, Series A-2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272" w:name="page273"/>
    <w:bookmarkEnd w:id="272"/>
    <w:p>
      <w:pPr>
        <w:ind w:firstLine="1419"/>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shares of Preferred Stock are outstanding, the Corporation shall not, either directly or indirectly by amendment, merger, consolidation or otherwise, do any of the following without (in addition to any other vote required by law or this Third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3.3.1 alter or change the rights, preferences or privileges of a series of Preferred Stock;</w:t>
      </w:r>
    </w:p>
    <w:p>
      <w:pPr>
        <w:spacing w:after="0" w:line="114" w:lineRule="exact"/>
        <w:rPr>
          <w:sz w:val="20"/>
          <w:szCs w:val="20"/>
          <w:color w:val="auto"/>
        </w:rPr>
      </w:pPr>
    </w:p>
    <w:p>
      <w:pPr>
        <w:ind w:right="620" w:firstLine="1964"/>
        <w:spacing w:after="0" w:line="271" w:lineRule="auto"/>
        <w:rPr>
          <w:sz w:val="20"/>
          <w:szCs w:val="20"/>
          <w:color w:val="auto"/>
        </w:rPr>
      </w:pPr>
      <w:r>
        <w:rPr>
          <w:rFonts w:ascii="Arial" w:cs="Arial" w:eastAsia="Arial" w:hAnsi="Arial"/>
          <w:sz w:val="18"/>
          <w:szCs w:val="18"/>
          <w:color w:val="auto"/>
        </w:rPr>
        <w:t>3.3.2 liquidate, dissolve or wind-up the business and affairs of the Corporation, effect any merger or consolidation or corporate reorganization, or any other Deemed Liquidation Event, or consent to any of the foregoing;</w:t>
      </w:r>
    </w:p>
    <w:p>
      <w:pPr>
        <w:spacing w:after="0" w:line="68"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3.3.3 amend, alter, waive or repeal any provision of this Third Amended and Restated Certificate of Incorporation or Bylaws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of the Corporation;</w:t>
      </w:r>
    </w:p>
    <w:p>
      <w:pPr>
        <w:spacing w:after="0" w:line="101" w:lineRule="exact"/>
        <w:rPr>
          <w:sz w:val="20"/>
          <w:szCs w:val="20"/>
          <w:color w:val="auto"/>
        </w:rPr>
      </w:pPr>
    </w:p>
    <w:p>
      <w:pPr>
        <w:ind w:right="140" w:firstLine="1964"/>
        <w:spacing w:after="0" w:line="271" w:lineRule="auto"/>
        <w:rPr>
          <w:sz w:val="20"/>
          <w:szCs w:val="20"/>
          <w:color w:val="auto"/>
        </w:rPr>
      </w:pPr>
      <w:r>
        <w:rPr>
          <w:rFonts w:ascii="Arial" w:cs="Arial" w:eastAsia="Arial" w:hAnsi="Arial"/>
          <w:sz w:val="18"/>
          <w:szCs w:val="18"/>
          <w:color w:val="auto"/>
        </w:rPr>
        <w:t>3.3.4 create, or authorize the creation of, or issue or obligate itself to issue shares of, any additional class or series of capital stock having rights, preferences or privileges senior to or on a parity with the Preferred Stock;</w:t>
      </w:r>
    </w:p>
    <w:p>
      <w:pPr>
        <w:spacing w:after="0" w:line="68" w:lineRule="exact"/>
        <w:rPr>
          <w:sz w:val="20"/>
          <w:szCs w:val="20"/>
          <w:color w:val="auto"/>
        </w:rPr>
      </w:pPr>
    </w:p>
    <w:p>
      <w:pPr>
        <w:ind w:right="100" w:firstLine="1964"/>
        <w:spacing w:after="0" w:line="271" w:lineRule="auto"/>
        <w:rPr>
          <w:sz w:val="20"/>
          <w:szCs w:val="20"/>
          <w:color w:val="auto"/>
        </w:rPr>
      </w:pPr>
      <w:r>
        <w:rPr>
          <w:rFonts w:ascii="Arial" w:cs="Arial" w:eastAsia="Arial" w:hAnsi="Arial"/>
          <w:sz w:val="18"/>
          <w:szCs w:val="18"/>
          <w:color w:val="auto"/>
        </w:rPr>
        <w:t>3.3.5 increase or decrease the authorized number of shares of Preferred Stock or Common Stock, or increase or decrease the authorized number of shares of any additional class or series of capital stock of the Corporation;</w:t>
      </w:r>
    </w:p>
    <w:p>
      <w:pPr>
        <w:spacing w:after="0" w:line="68" w:lineRule="exact"/>
        <w:rPr>
          <w:sz w:val="20"/>
          <w:szCs w:val="20"/>
          <w:color w:val="auto"/>
        </w:rPr>
      </w:pPr>
    </w:p>
    <w:p>
      <w:pPr>
        <w:ind w:firstLine="1964"/>
        <w:spacing w:after="0" w:line="267" w:lineRule="auto"/>
        <w:rPr>
          <w:sz w:val="20"/>
          <w:szCs w:val="20"/>
          <w:color w:val="auto"/>
        </w:rPr>
      </w:pPr>
      <w:r>
        <w:rPr>
          <w:rFonts w:ascii="Arial" w:cs="Arial" w:eastAsia="Arial" w:hAnsi="Arial"/>
          <w:sz w:val="17"/>
          <w:szCs w:val="17"/>
          <w:color w:val="auto"/>
        </w:rPr>
        <w:t>3.3.6 (i) reclassify, alter or amend any existing security of the Corporation that is pari passu with the Series C Preferred Stock and the Series B Preferred Stock, or with the Series A Preferred Stock and Series A-2 Preferred Stock in respect of the distribution of assets on the liquidation, dissolution or winding up of the Corporation, the payment of dividends or rights of redemption, if such reclassification, alteration or amendment would render such other security senior to the Series C Preferred Stock and the Series B Preferred Stock, or Series A Preferred Stock and Series A-2 Preferred Stock, as the case may be, in respect of any such right, preference, or privilege or (ii) reclassify, alter or amend any existing security of the Corporation that is junior to the Series C Preferred Stock and the Series B Preferred Stock, or to the Series A Preferred Stock and Series A-2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C Preferred Stock and the Series B Preferred Stock, or Series A Preferred Stock and Series A-2 Preferred Stock, as the case may be, in respect of any such right, preference or privilege;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273" w:name="page274"/>
    <w:bookmarkEnd w:id="273"/>
    <w:p>
      <w:pPr>
        <w:ind w:firstLine="196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3.3.7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w:t>
      </w:r>
    </w:p>
    <w:p>
      <w:pPr>
        <w:spacing w:after="0" w:line="2" w:lineRule="exact"/>
        <w:rPr>
          <w:sz w:val="20"/>
          <w:szCs w:val="20"/>
          <w:color w:val="auto"/>
        </w:rPr>
      </w:pPr>
    </w:p>
    <w:p>
      <w:pPr>
        <w:ind w:right="60" w:firstLine="7"/>
        <w:spacing w:after="0" w:line="298" w:lineRule="auto"/>
        <w:tabs>
          <w:tab w:leader="none" w:pos="31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repurchases of stock from former employees, officers, directors, consultants or other persons who performed services for the Corporation or any subsidiary in connection with the cessation of such employment or service at no greater than the original purchase price thereof, and (iv) pursuant to the exercise of the Corporation’s right of first refusal approved by the Board of Directors, including the approval of a majority of the Preferred Directors;</w:t>
      </w:r>
    </w:p>
    <w:p>
      <w:pPr>
        <w:spacing w:after="0" w:line="51" w:lineRule="exact"/>
        <w:rPr>
          <w:sz w:val="20"/>
          <w:szCs w:val="20"/>
          <w:color w:val="auto"/>
        </w:rPr>
      </w:pPr>
    </w:p>
    <w:p>
      <w:pPr>
        <w:ind w:right="40" w:firstLine="1964"/>
        <w:spacing w:after="0" w:line="253"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86" w:lineRule="exact"/>
        <w:rPr>
          <w:sz w:val="20"/>
          <w:szCs w:val="20"/>
          <w:color w:val="auto"/>
        </w:rPr>
      </w:pPr>
    </w:p>
    <w:p>
      <w:pPr>
        <w:ind w:right="180" w:firstLine="1964"/>
        <w:spacing w:after="0" w:line="271" w:lineRule="auto"/>
        <w:rPr>
          <w:sz w:val="20"/>
          <w:szCs w:val="20"/>
          <w:color w:val="auto"/>
        </w:rPr>
      </w:pPr>
      <w:r>
        <w:rPr>
          <w:rFonts w:ascii="Arial" w:cs="Arial" w:eastAsia="Arial" w:hAnsi="Arial"/>
          <w:sz w:val="18"/>
          <w:szCs w:val="18"/>
          <w:color w:val="auto"/>
        </w:rPr>
        <w:t>3.3.9 sell, assign, license, pledge or encumber any material technology or material intellectual property of the Corporation, other than non-exclusive licenses granted or licenses granted in the ordinary course of business;</w:t>
      </w:r>
    </w:p>
    <w:p>
      <w:pPr>
        <w:spacing w:after="0" w:line="68" w:lineRule="exact"/>
        <w:rPr>
          <w:sz w:val="20"/>
          <w:szCs w:val="20"/>
          <w:color w:val="auto"/>
        </w:rPr>
      </w:pPr>
    </w:p>
    <w:p>
      <w:pPr>
        <w:ind w:right="160" w:firstLine="1964"/>
        <w:spacing w:after="0" w:line="271" w:lineRule="auto"/>
        <w:rPr>
          <w:sz w:val="20"/>
          <w:szCs w:val="20"/>
          <w:color w:val="auto"/>
        </w:rPr>
      </w:pPr>
      <w:r>
        <w:rPr>
          <w:rFonts w:ascii="Arial" w:cs="Arial" w:eastAsia="Arial" w:hAnsi="Arial"/>
          <w:sz w:val="18"/>
          <w:szCs w:val="18"/>
          <w:color w:val="auto"/>
        </w:rPr>
        <w:t>3.3.10 enter into any corporate strategic relationship involving the payment, contribution or assignment by the Corporation or to the Corporation of assets greater than $500,000; or</w:t>
      </w:r>
    </w:p>
    <w:p>
      <w:pPr>
        <w:spacing w:after="0" w:line="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3.3.11 increase or decrease the authorized number of directors constituting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shall similarly apply to each direct and indirect wholly-owned subsidiary of the Corporation.</w:t>
      </w:r>
    </w:p>
    <w:p>
      <w:pPr>
        <w:spacing w:after="0" w:line="114" w:lineRule="exact"/>
        <w:rPr>
          <w:sz w:val="20"/>
          <w:szCs w:val="20"/>
          <w:color w:val="auto"/>
        </w:rPr>
      </w:pPr>
    </w:p>
    <w:p>
      <w:pPr>
        <w:ind w:right="20" w:firstLine="1419"/>
        <w:spacing w:after="0" w:line="29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Preferred Stock Protective Provisions</w:t>
      </w:r>
      <w:r>
        <w:rPr>
          <w:rFonts w:ascii="Arial" w:cs="Arial" w:eastAsia="Arial" w:hAnsi="Arial"/>
          <w:sz w:val="16"/>
          <w:szCs w:val="16"/>
          <w:color w:val="auto"/>
        </w:rPr>
        <w:t xml:space="preserve">. At any time when at least 25% of the shares of the Series C Preferred Stock originally issued are outstanding, the Corporation shall not, either directly or indirectly by amendment, merger, consolidation or otherwise, do any of the following without (in addition to any other vote required by law or this Third Amended and Restated Certificate of Incorporation) the written consent or affirmative vote of the Requisite Series C Preferred, given in writing or by vote at a meeting, consenting or voting (as the case may be) as a single and separate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54" w:lineRule="exact"/>
        <w:rPr>
          <w:sz w:val="20"/>
          <w:szCs w:val="20"/>
          <w:color w:val="auto"/>
        </w:rPr>
      </w:pPr>
    </w:p>
    <w:p>
      <w:pPr>
        <w:ind w:right="40" w:firstLine="1964"/>
        <w:spacing w:after="0" w:line="307" w:lineRule="auto"/>
        <w:rPr>
          <w:sz w:val="20"/>
          <w:szCs w:val="20"/>
          <w:color w:val="auto"/>
        </w:rPr>
      </w:pPr>
      <w:r>
        <w:rPr>
          <w:rFonts w:ascii="Arial" w:cs="Arial" w:eastAsia="Arial" w:hAnsi="Arial"/>
          <w:sz w:val="16"/>
          <w:szCs w:val="16"/>
          <w:color w:val="auto"/>
        </w:rPr>
        <w:t>3.4.1 amend, alter, waive or repeal any provision of this Third Amended and Restated Certificate of Incorporation or Bylaws of the Corporation that would alter or change the voting or other powers, preferences, or other special rights, privileges or restrictions of the Series C Preferred Stock, so as to affect the Series C Preferred Stock adversely and in a manner different than on any other series of Preferred Stock;</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274" w:name="page275"/>
    <w:bookmarkEnd w:id="274"/>
    <w:p>
      <w:pPr>
        <w:ind w:firstLine="1964"/>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3.4.2 (i) reclassify, alter or amend any existing security of the Corporation that is pari passu with the Series C Preferred Stock in respect of the distribution of assets on the liquidation, dissolution or winding up of the Corporation, the payment of dividends or rights of redemption, if such reclassification, alteration or amendment would render such other security senior to the Series C Preferred Stock in respect of any such right, preference, or privilege or (ii) reclassify, alter or amend any existing security of the Corporation that is junior to the Series C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C Preferred Stock in respect of any such right, preference or privilege; or</w:t>
      </w:r>
    </w:p>
    <w:p>
      <w:pPr>
        <w:spacing w:after="0" w:line="90" w:lineRule="exact"/>
        <w:rPr>
          <w:sz w:val="20"/>
          <w:szCs w:val="20"/>
          <w:color w:val="auto"/>
        </w:rPr>
      </w:pPr>
    </w:p>
    <w:p>
      <w:pPr>
        <w:ind w:right="140" w:firstLine="1964"/>
        <w:spacing w:after="0" w:line="259" w:lineRule="auto"/>
        <w:rPr>
          <w:sz w:val="20"/>
          <w:szCs w:val="20"/>
          <w:color w:val="auto"/>
        </w:rPr>
      </w:pPr>
      <w:r>
        <w:rPr>
          <w:rFonts w:ascii="Arial" w:cs="Arial" w:eastAsia="Arial" w:hAnsi="Arial"/>
          <w:sz w:val="18"/>
          <w:szCs w:val="18"/>
          <w:color w:val="auto"/>
        </w:rPr>
        <w:t>3.4.3 increase the authorized number of shares of Series C Preferred Stock or issue shares of Series C Preferred Stock other than pursuant to the Series C Preferred Stock Purchase Agreement, dated on or around the date hereof, by and among the Corporation and the parties named therein, as may be amended from time to time.</w:t>
      </w:r>
    </w:p>
    <w:p>
      <w:pPr>
        <w:spacing w:after="0" w:line="186" w:lineRule="exact"/>
        <w:rPr>
          <w:sz w:val="20"/>
          <w:szCs w:val="20"/>
          <w:color w:val="auto"/>
        </w:rPr>
      </w:pPr>
    </w:p>
    <w:p>
      <w:pPr>
        <w:jc w:val="both"/>
        <w:ind w:right="120" w:firstLine="1419"/>
        <w:spacing w:after="0" w:line="275" w:lineRule="auto"/>
        <w:rPr>
          <w:sz w:val="20"/>
          <w:szCs w:val="20"/>
          <w:color w:val="auto"/>
        </w:rPr>
      </w:pPr>
      <w:r>
        <w:rPr>
          <w:rFonts w:ascii="Arial" w:cs="Arial" w:eastAsia="Arial" w:hAnsi="Arial"/>
          <w:sz w:val="17"/>
          <w:szCs w:val="17"/>
          <w:color w:val="auto"/>
        </w:rPr>
        <w:t>For the avoidance of doubt, an amendment, alteration or repeal of any provision of this Third Amended and Restated Certificate of Incorporation or Bylaws of the Corporation shall not be deemed to affect the Series C Preferred Stock adversely or in a manner different than any other series of Preferred Stock if the effect is due to proportional differences in the amounts of respective issue prices, liquidation preferences or redemption prices that arise out of differences in the original issue price vis-à-vis other series of Preferred Stock.</w:t>
      </w:r>
    </w:p>
    <w:p>
      <w:pPr>
        <w:spacing w:after="0" w:line="67" w:lineRule="exact"/>
        <w:rPr>
          <w:sz w:val="20"/>
          <w:szCs w:val="20"/>
          <w:color w:val="auto"/>
        </w:rPr>
      </w:pPr>
    </w:p>
    <w:p>
      <w:pPr>
        <w:ind w:right="40" w:firstLine="1419"/>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Series B Preferred Stock Protective Provisions</w:t>
      </w:r>
      <w:r>
        <w:rPr>
          <w:rFonts w:ascii="Arial" w:cs="Arial" w:eastAsia="Arial" w:hAnsi="Arial"/>
          <w:sz w:val="16"/>
          <w:szCs w:val="16"/>
          <w:color w:val="auto"/>
        </w:rPr>
        <w:t xml:space="preserve">. At any time when at least 25% of the shares of the Series B Preferred Stock originally issued are outstanding, the Corporation shall not, either directly or indirectly by amendment, merger, consolidation or otherwise, do any of the following without (in addition to any other vote required by law or this Third Amended and Restated Certificate of Incorporation) the written consent or affirmative vote of the Requisite Series B Preferred, given in writing or by vote at a meeting, consenting or voting (as the case may be) as a single and separate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54" w:lineRule="exact"/>
        <w:rPr>
          <w:sz w:val="20"/>
          <w:szCs w:val="20"/>
          <w:color w:val="auto"/>
        </w:rPr>
      </w:pPr>
    </w:p>
    <w:p>
      <w:pPr>
        <w:ind w:right="60" w:firstLine="1964"/>
        <w:spacing w:after="0" w:line="307" w:lineRule="auto"/>
        <w:rPr>
          <w:sz w:val="20"/>
          <w:szCs w:val="20"/>
          <w:color w:val="auto"/>
        </w:rPr>
      </w:pPr>
      <w:r>
        <w:rPr>
          <w:rFonts w:ascii="Arial" w:cs="Arial" w:eastAsia="Arial" w:hAnsi="Arial"/>
          <w:sz w:val="16"/>
          <w:szCs w:val="16"/>
          <w:color w:val="auto"/>
        </w:rPr>
        <w:t>3.5.1 amend, alter, waive or repeal any provision of this Third Amended and Restated Certificate of Incorporation or Bylaws of the Corporation that would alter or change the voting or other powers, preferences, or other special rights, privileges or restrictions of the Series B Preferred Stock, so as to affect the Series B Preferred Stock adversely and in a manner different than on any other series of Preferred Stock;</w:t>
      </w:r>
    </w:p>
    <w:p>
      <w:pPr>
        <w:spacing w:after="0" w:line="43" w:lineRule="exact"/>
        <w:rPr>
          <w:sz w:val="20"/>
          <w:szCs w:val="20"/>
          <w:color w:val="auto"/>
        </w:rPr>
      </w:pPr>
    </w:p>
    <w:p>
      <w:pPr>
        <w:ind w:firstLine="1964"/>
        <w:spacing w:after="0" w:line="251" w:lineRule="auto"/>
        <w:rPr>
          <w:sz w:val="20"/>
          <w:szCs w:val="20"/>
          <w:color w:val="auto"/>
        </w:rPr>
      </w:pPr>
      <w:r>
        <w:rPr>
          <w:rFonts w:ascii="Arial" w:cs="Arial" w:eastAsia="Arial" w:hAnsi="Arial"/>
          <w:sz w:val="18"/>
          <w:szCs w:val="18"/>
          <w:color w:val="auto"/>
        </w:rPr>
        <w:t>3.5.2 (i) reclassify, alter or amend any existing security of the Corporation that is pari passu with the Series B Preferred Stock in respect of the distribution of assets on the liquidation, dissolution or winding up of the Corporation, the payment of dividends or rights of redemption, if such reclassification, alteration or amendment would render such other security senior to the Series B Preferred Stock in respect of any such right, preference, or privilege or (ii) reclassify, alter or amend any existing security of the Corporation that is junior to the Series B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B Preferred Stock in respect of any such right, preference or privilege; or</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3.5.3 increase the authorized number of shares of Series B Preferred Stock or issue shares of Series B Preferred Stock.</w:t>
      </w:r>
    </w:p>
    <w:p>
      <w:pPr>
        <w:spacing w:after="0" w:line="17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275" w:name="page276"/>
    <w:bookmarkEnd w:id="275"/>
    <w:p>
      <w:pPr>
        <w:ind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the avoidance of doubt, an amendment, alteration or repeal of any provision of this Third Amended and Restated Certificate of Incorporation or Bylaws of the Corporation shall not be deemed to affect the Series B Preferred Stock adversely or in a manner different than any other series of Preferred Stock if the effect is due to proportional differences in the amounts of respective issue prices, liquidation preferences or redemption prices that arise out of differences in the original issue price vis-à-vis other series of Preferred Stock.</w:t>
      </w:r>
    </w:p>
    <w:p>
      <w:pPr>
        <w:spacing w:after="0" w:line="67" w:lineRule="exact"/>
        <w:rPr>
          <w:sz w:val="20"/>
          <w:szCs w:val="20"/>
          <w:color w:val="auto"/>
        </w:rPr>
      </w:pPr>
    </w:p>
    <w:p>
      <w:pPr>
        <w:ind w:right="120" w:firstLine="1419"/>
        <w:spacing w:after="0" w:line="27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Series A Preferred Stock and Series A-2 Preferred Stock Protective Provisions</w:t>
      </w:r>
      <w:r>
        <w:rPr>
          <w:rFonts w:ascii="Arial" w:cs="Arial" w:eastAsia="Arial" w:hAnsi="Arial"/>
          <w:sz w:val="17"/>
          <w:szCs w:val="17"/>
          <w:color w:val="auto"/>
        </w:rPr>
        <w:t xml:space="preserve">. At any time when at least 25% of the shares of the Series A Preferred Stock and Series A-2 Preferred Stock originally issued are outstanding, the Corporation shall not, either directly or indirectly by amendment, merger, consolidation or otherwise, do any of the following without (in addition to any other vote required by law or this Third Amended and Restated Certificate of Incorporation) the written consent or affirmative vote of the Requisite Series A Preferred, given in writing or by vote at a meeting, consenting or voting (as the case may be) as a single and separate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71" w:lineRule="exact"/>
        <w:rPr>
          <w:sz w:val="20"/>
          <w:szCs w:val="20"/>
          <w:color w:val="auto"/>
        </w:rPr>
      </w:pPr>
    </w:p>
    <w:p>
      <w:pPr>
        <w:ind w:right="20" w:firstLine="1964"/>
        <w:spacing w:after="0" w:line="255" w:lineRule="auto"/>
        <w:rPr>
          <w:sz w:val="20"/>
          <w:szCs w:val="20"/>
          <w:color w:val="auto"/>
        </w:rPr>
      </w:pPr>
      <w:r>
        <w:rPr>
          <w:rFonts w:ascii="Arial" w:cs="Arial" w:eastAsia="Arial" w:hAnsi="Arial"/>
          <w:sz w:val="18"/>
          <w:szCs w:val="18"/>
          <w:color w:val="auto"/>
        </w:rPr>
        <w:t>3.6.1 amend, alter, waive or repeal any provision of this Third Amended and Restated Certificate of Incorporation or Bylaws of the Corporation that would alter or change the voting or other powers, preferences, or other special rights, privileges or restrictions of the Series A Preferred Stock or the Series A-2 Preferred Stock, so as to affect the Series A Preferred Stock or the Series A-2 Preferred Stock adversely and in a manner different than on any other series of Preferred Stock; or</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3.6.2 increase the authorized number of shares of the Series A Preferred Stock or the Series A-2 Preferred Stock.</w:t>
      </w:r>
    </w:p>
    <w:p>
      <w:pPr>
        <w:spacing w:after="0" w:line="125" w:lineRule="exact"/>
        <w:rPr>
          <w:sz w:val="20"/>
          <w:szCs w:val="20"/>
          <w:color w:val="auto"/>
        </w:rPr>
      </w:pPr>
    </w:p>
    <w:p>
      <w:pPr>
        <w:ind w:firstLine="436"/>
        <w:spacing w:after="0" w:line="297" w:lineRule="auto"/>
        <w:rPr>
          <w:sz w:val="20"/>
          <w:szCs w:val="20"/>
          <w:color w:val="auto"/>
        </w:rPr>
      </w:pPr>
      <w:r>
        <w:rPr>
          <w:rFonts w:ascii="Arial" w:cs="Arial" w:eastAsia="Arial" w:hAnsi="Arial"/>
          <w:sz w:val="16"/>
          <w:szCs w:val="16"/>
          <w:color w:val="auto"/>
        </w:rPr>
        <w:t>For the avoidance of doubt, an amendment, alternation or repeal of any provision of this Third Amended and Restated Certificate of Incorporation or Bylaws of the Corporation shall not be deemed to affect the Series A Preferred Stock or the Series A-2 Preferred Stock adversely or in a manner different than any other series of Preferred Stock if the effect is due to proportional differences in the amounts of respective issue prices, liquidation preferences or redemption prices that arise out of differences in the original issue price vis-à-vis other series of Preferred Stock.</w:t>
      </w:r>
    </w:p>
    <w:p>
      <w:pPr>
        <w:spacing w:after="0" w:line="52" w:lineRule="exact"/>
        <w:rPr>
          <w:sz w:val="20"/>
          <w:szCs w:val="20"/>
          <w:color w:val="auto"/>
        </w:rPr>
      </w:pPr>
    </w:p>
    <w:p>
      <w:pPr>
        <w:ind w:left="1160" w:hanging="170"/>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4" w:lineRule="exact"/>
        <w:rPr>
          <w:sz w:val="20"/>
          <w:szCs w:val="20"/>
          <w:color w:val="auto"/>
        </w:rPr>
      </w:pPr>
    </w:p>
    <w:p>
      <w:pPr>
        <w:ind w:right="240" w:firstLine="1964"/>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 The “</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shall initially be equal to $2.9637.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shall initially be equal to $2.00.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shall initially be equal to $1.00. The “</w:t>
      </w:r>
      <w:r>
        <w:rPr>
          <w:rFonts w:ascii="Arial" w:cs="Arial" w:eastAsia="Arial" w:hAnsi="Arial"/>
          <w:sz w:val="17"/>
          <w:szCs w:val="17"/>
          <w:b w:val="1"/>
          <w:bCs w:val="1"/>
          <w:color w:val="auto"/>
        </w:rPr>
        <w:t>Series A-2 Conversion Price</w:t>
      </w:r>
      <w:r>
        <w:rPr>
          <w:rFonts w:ascii="Arial" w:cs="Arial" w:eastAsia="Arial" w:hAnsi="Arial"/>
          <w:sz w:val="17"/>
          <w:szCs w:val="17"/>
          <w:color w:val="auto"/>
        </w:rPr>
        <w:t>” shall initially be equal to $1.2984. The term “</w:t>
      </w:r>
      <w:r>
        <w:rPr>
          <w:rFonts w:ascii="Arial" w:cs="Arial" w:eastAsia="Arial" w:hAnsi="Arial"/>
          <w:sz w:val="17"/>
          <w:szCs w:val="17"/>
          <w:b w:val="1"/>
          <w:bCs w:val="1"/>
          <w:color w:val="auto"/>
        </w:rPr>
        <w:t>Conversion Price</w:t>
      </w:r>
      <w:r>
        <w:rPr>
          <w:rFonts w:ascii="Arial" w:cs="Arial" w:eastAsia="Arial" w:hAnsi="Arial"/>
          <w:sz w:val="17"/>
          <w:szCs w:val="17"/>
          <w:color w:val="auto"/>
        </w:rPr>
        <w:t>” shall refer to the Series C Conversion Price, the Series B Conversion Price, the Series A Conversion Price or the Series A-2 Conversion Price, as the case may be. Such initial Conversion Price, and the rate at which shares of Preferred Stock may be converted into shares of Common Stock, shall be subject to adjustment as provided below.</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72" w:right="539" w:bottom="1440" w:gutter="0" w:footer="0" w:header="0"/>
        </w:sectPr>
      </w:pPr>
    </w:p>
    <w:bookmarkStart w:id="276" w:name="page277"/>
    <w:bookmarkEnd w:id="276"/>
    <w:p>
      <w:pPr>
        <w:ind w:firstLine="1964"/>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notice of redemption of any shares of Preferred Stock pursuant to </w:t>
      </w:r>
      <w:r>
        <w:rPr>
          <w:rFonts w:ascii="Arial" w:cs="Arial" w:eastAsia="Arial" w:hAnsi="Arial"/>
          <w:sz w:val="18"/>
          <w:szCs w:val="18"/>
          <w:u w:val="single" w:color="auto"/>
          <w:color w:val="auto"/>
        </w:rPr>
        <w:t>Section 2.3.2(b)</w:t>
      </w:r>
      <w:r>
        <w:rPr>
          <w:rFonts w:ascii="Arial" w:cs="Arial" w:eastAsia="Arial" w:hAnsi="Arial"/>
          <w:sz w:val="18"/>
          <w:szCs w:val="18"/>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87" w:lineRule="exact"/>
        <w:rPr>
          <w:sz w:val="20"/>
          <w:szCs w:val="20"/>
          <w:color w:val="auto"/>
        </w:rPr>
      </w:pPr>
    </w:p>
    <w:p>
      <w:pPr>
        <w:ind w:right="60" w:firstLine="1419"/>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6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4" w:lineRule="exact"/>
        <w:rPr>
          <w:sz w:val="20"/>
          <w:szCs w:val="20"/>
          <w:color w:val="auto"/>
        </w:rPr>
      </w:pPr>
    </w:p>
    <w:p>
      <w:pPr>
        <w:ind w:firstLine="1964"/>
        <w:spacing w:after="0" w:line="283"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480" w:top="272" w:right="559" w:bottom="1440" w:gutter="0" w:footer="0" w:header="0"/>
        </w:sectPr>
      </w:pPr>
    </w:p>
    <w:bookmarkStart w:id="277" w:name="page278"/>
    <w:bookmarkEnd w:id="27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83" w:lineRule="exact"/>
        <w:rPr>
          <w:sz w:val="20"/>
          <w:szCs w:val="20"/>
          <w:color w:val="auto"/>
        </w:rPr>
      </w:pPr>
    </w:p>
    <w:p>
      <w:pPr>
        <w:ind w:firstLine="1964"/>
        <w:spacing w:after="0" w:line="285"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Third Amended and Restated Certificate of Incorporation. Before taking any action which would cause an adjustment reducing the Conversion Price of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62" w:lineRule="exact"/>
        <w:rPr>
          <w:sz w:val="20"/>
          <w:szCs w:val="20"/>
          <w:color w:val="auto"/>
        </w:rPr>
      </w:pPr>
    </w:p>
    <w:p>
      <w:pPr>
        <w:ind w:right="100" w:firstLine="1964"/>
        <w:spacing w:after="0" w:line="25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90" w:lineRule="exact"/>
        <w:rPr>
          <w:sz w:val="20"/>
          <w:szCs w:val="20"/>
          <w:color w:val="auto"/>
        </w:rPr>
      </w:pPr>
    </w:p>
    <w:p>
      <w:pPr>
        <w:ind w:right="500" w:firstLine="1964"/>
        <w:spacing w:after="0" w:line="335"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Conversion Price shall be made for any declared but unpaid dividends on such series of Preferred Stock surrendered for conversion or on the Common Stock delivered upon conversion.</w:t>
      </w:r>
    </w:p>
    <w:p>
      <w:pPr>
        <w:spacing w:after="0" w:line="21" w:lineRule="exact"/>
        <w:rPr>
          <w:sz w:val="20"/>
          <w:szCs w:val="20"/>
          <w:color w:val="auto"/>
        </w:rPr>
      </w:pPr>
    </w:p>
    <w:p>
      <w:pPr>
        <w:ind w:right="60" w:firstLine="1964"/>
        <w:spacing w:after="0" w:line="252"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278" w:name="page279"/>
    <w:bookmarkEnd w:id="278"/>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4.4 </w:t>
      </w:r>
      <w:r>
        <w:rPr>
          <w:rFonts w:ascii="Arial" w:cs="Arial" w:eastAsia="Arial" w:hAnsi="Arial"/>
          <w:sz w:val="18"/>
          <w:szCs w:val="18"/>
          <w:u w:val="single" w:color="auto"/>
          <w:color w:val="auto"/>
        </w:rPr>
        <w:t>Adjustments to Conversion Price for Diluting Issues</w:t>
      </w:r>
      <w:r>
        <w:rPr>
          <w:rFonts w:ascii="Arial" w:cs="Arial" w:eastAsia="Arial" w:hAnsi="Arial"/>
          <w:sz w:val="18"/>
          <w:szCs w:val="18"/>
          <w:color w:val="auto"/>
        </w:rPr>
        <w:t>.</w:t>
      </w:r>
    </w:p>
    <w:p>
      <w:pPr>
        <w:spacing w:after="0" w:line="11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0"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97" w:lineRule="exact"/>
        <w:rPr>
          <w:sz w:val="20"/>
          <w:szCs w:val="20"/>
          <w:color w:val="auto"/>
        </w:rPr>
      </w:pPr>
    </w:p>
    <w:p>
      <w:pPr>
        <w:ind w:left="2660" w:hanging="252"/>
        <w:spacing w:after="0"/>
        <w:tabs>
          <w:tab w:leader="none" w:pos="26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C Preferred Stock was issued.</w:t>
      </w:r>
    </w:p>
    <w:p>
      <w:pPr>
        <w:spacing w:after="0" w:line="125" w:lineRule="exact"/>
        <w:rPr>
          <w:rFonts w:ascii="Arial" w:cs="Arial" w:eastAsia="Arial" w:hAnsi="Arial"/>
          <w:sz w:val="17"/>
          <w:szCs w:val="17"/>
          <w:color w:val="auto"/>
        </w:rPr>
      </w:pPr>
    </w:p>
    <w:p>
      <w:pPr>
        <w:ind w:right="40" w:firstLine="2408"/>
        <w:spacing w:after="0" w:line="275" w:lineRule="auto"/>
        <w:tabs>
          <w:tab w:leader="none" w:pos="264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60" w:lineRule="exact"/>
        <w:rPr>
          <w:rFonts w:ascii="Arial" w:cs="Arial" w:eastAsia="Arial" w:hAnsi="Arial"/>
          <w:sz w:val="18"/>
          <w:szCs w:val="18"/>
          <w:color w:val="auto"/>
        </w:rPr>
      </w:pPr>
    </w:p>
    <w:p>
      <w:pPr>
        <w:ind w:right="20" w:firstLine="2408"/>
        <w:spacing w:after="0" w:line="290" w:lineRule="auto"/>
        <w:tabs>
          <w:tab w:leader="none" w:pos="265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w:t>
      </w:r>
    </w:p>
    <w:p>
      <w:pPr>
        <w:ind w:right="120" w:firstLine="7"/>
        <w:spacing w:after="0" w:line="256" w:lineRule="auto"/>
        <w:tabs>
          <w:tab w:leader="none" w:pos="2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3380" w:right="260" w:hanging="537"/>
        <w:spacing w:after="0" w:line="271" w:lineRule="auto"/>
        <w:tabs>
          <w:tab w:leader="none" w:pos="33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or upon conversion of, Preferred Stock;</w:t>
      </w:r>
    </w:p>
    <w:p>
      <w:pPr>
        <w:spacing w:after="0" w:line="80" w:lineRule="exact"/>
        <w:rPr>
          <w:rFonts w:ascii="Arial" w:cs="Arial" w:eastAsia="Arial" w:hAnsi="Arial"/>
          <w:sz w:val="18"/>
          <w:szCs w:val="18"/>
          <w:color w:val="auto"/>
        </w:rPr>
      </w:pPr>
    </w:p>
    <w:p>
      <w:pPr>
        <w:ind w:left="3380" w:right="200" w:hanging="537"/>
        <w:spacing w:after="0" w:line="255" w:lineRule="auto"/>
        <w:tabs>
          <w:tab w:leader="none" w:pos="33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 xml:space="preserve"> and approved by the Board of Directors, including the approval of a majority of the Preferred Directors;</w:t>
      </w:r>
    </w:p>
    <w:p>
      <w:pPr>
        <w:spacing w:after="0" w:line="96" w:lineRule="exact"/>
        <w:rPr>
          <w:rFonts w:ascii="Arial" w:cs="Arial" w:eastAsia="Arial" w:hAnsi="Arial"/>
          <w:sz w:val="18"/>
          <w:szCs w:val="18"/>
          <w:color w:val="auto"/>
        </w:rPr>
      </w:pPr>
    </w:p>
    <w:p>
      <w:pPr>
        <w:ind w:left="3380" w:hanging="537"/>
        <w:spacing w:after="0" w:line="307" w:lineRule="auto"/>
        <w:tabs>
          <w:tab w:leader="none" w:pos="338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 including the approval of a majority of the Preferred Directors;</w:t>
      </w:r>
    </w:p>
    <w:p>
      <w:pPr>
        <w:spacing w:after="0" w:line="56" w:lineRule="exact"/>
        <w:rPr>
          <w:rFonts w:ascii="Arial" w:cs="Arial" w:eastAsia="Arial" w:hAnsi="Arial"/>
          <w:sz w:val="16"/>
          <w:szCs w:val="16"/>
          <w:color w:val="auto"/>
        </w:rPr>
      </w:pPr>
    </w:p>
    <w:p>
      <w:pPr>
        <w:ind w:left="3380" w:right="20" w:hanging="537"/>
        <w:spacing w:after="0" w:line="275" w:lineRule="auto"/>
        <w:tabs>
          <w:tab w:leader="none" w:pos="3380" w:val="left"/>
        </w:tabs>
        <w:numPr>
          <w:ilvl w:val="2"/>
          <w:numId w:val="167"/>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outstanding as of the date hereof or shares of Common Stock actually issued upon the conversion or exchange of Convertible Securities outstanding as of the date hereof, in each case provided such issuance is pursuant to the terms of such Option or Convertible Security;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80" w:top="272" w:right="499" w:bottom="1440" w:gutter="0" w:footer="0" w:header="0"/>
        </w:sectPr>
      </w:pPr>
    </w:p>
    <w:bookmarkStart w:id="279" w:name="page280"/>
    <w:bookmarkEnd w:id="279"/>
    <w:p>
      <w:pPr>
        <w:ind w:left="2420" w:right="160" w:hanging="537"/>
        <w:spacing w:after="0" w:line="255" w:lineRule="auto"/>
        <w:tabs>
          <w:tab w:leader="none" w:pos="2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the approval of a majority of the Preferred Directors;</w:t>
      </w:r>
    </w:p>
    <w:p>
      <w:pPr>
        <w:spacing w:after="0" w:line="96" w:lineRule="exact"/>
        <w:rPr>
          <w:rFonts w:ascii="Arial" w:cs="Arial" w:eastAsia="Arial" w:hAnsi="Arial"/>
          <w:sz w:val="18"/>
          <w:szCs w:val="18"/>
          <w:color w:val="auto"/>
        </w:rPr>
      </w:pPr>
    </w:p>
    <w:p>
      <w:pPr>
        <w:ind w:left="2420" w:right="120" w:hanging="537"/>
        <w:spacing w:after="0" w:line="307" w:lineRule="auto"/>
        <w:tabs>
          <w:tab w:leader="none" w:pos="24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to suppliers or third party service providers in connection with the provision of goods or services pursuant to transactions approved by the Board of Directors of the Corporation, including the approval of a majority of the Preferred Directors;</w:t>
      </w:r>
    </w:p>
    <w:p>
      <w:pPr>
        <w:spacing w:after="0" w:line="56" w:lineRule="exact"/>
        <w:rPr>
          <w:rFonts w:ascii="Arial" w:cs="Arial" w:eastAsia="Arial" w:hAnsi="Arial"/>
          <w:sz w:val="16"/>
          <w:szCs w:val="16"/>
          <w:color w:val="auto"/>
        </w:rPr>
      </w:pPr>
    </w:p>
    <w:p>
      <w:pPr>
        <w:ind w:left="2420" w:right="100" w:hanging="537"/>
        <w:spacing w:after="0" w:line="253" w:lineRule="auto"/>
        <w:tabs>
          <w:tab w:leader="none" w:pos="2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issuances are approved by the Board of Directors of the Corporation, including the approval of a majority of the Preferred Directors;</w:t>
      </w:r>
    </w:p>
    <w:p>
      <w:pPr>
        <w:spacing w:after="0" w:line="99" w:lineRule="exact"/>
        <w:rPr>
          <w:rFonts w:ascii="Arial" w:cs="Arial" w:eastAsia="Arial" w:hAnsi="Arial"/>
          <w:sz w:val="18"/>
          <w:szCs w:val="18"/>
          <w:color w:val="auto"/>
        </w:rPr>
      </w:pPr>
    </w:p>
    <w:p>
      <w:pPr>
        <w:ind w:left="2420" w:hanging="537"/>
        <w:spacing w:after="0" w:line="255" w:lineRule="auto"/>
        <w:tabs>
          <w:tab w:leader="none" w:pos="2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the approval of a majority of the Preferred Directors;</w:t>
      </w:r>
    </w:p>
    <w:p>
      <w:pPr>
        <w:spacing w:after="0" w:line="96" w:lineRule="exact"/>
        <w:rPr>
          <w:rFonts w:ascii="Arial" w:cs="Arial" w:eastAsia="Arial" w:hAnsi="Arial"/>
          <w:sz w:val="18"/>
          <w:szCs w:val="18"/>
          <w:color w:val="auto"/>
        </w:rPr>
      </w:pPr>
    </w:p>
    <w:p>
      <w:pPr>
        <w:ind w:left="2420" w:right="120" w:hanging="537"/>
        <w:spacing w:after="0" w:line="271" w:lineRule="auto"/>
        <w:tabs>
          <w:tab w:leader="none" w:pos="2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shares of Common Stock issued in connection with a Qualified IPO or Qualified SPAC Transaction or a Direct Listing; or</w:t>
      </w:r>
    </w:p>
    <w:p>
      <w:pPr>
        <w:spacing w:after="0" w:line="1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60"/>
          </w:cols>
          <w:pgMar w:left="1440" w:top="272" w:right="499" w:bottom="1440" w:gutter="0" w:footer="0" w:header="0"/>
        </w:sectPr>
      </w:pPr>
    </w:p>
    <w:bookmarkStart w:id="280" w:name="page281"/>
    <w:bookmarkEnd w:id="280"/>
    <w:p>
      <w:pPr>
        <w:ind w:left="3380" w:right="120" w:hanging="537"/>
        <w:spacing w:after="0" w:line="271" w:lineRule="auto"/>
        <w:tabs>
          <w:tab w:leader="none" w:pos="3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deemed at the time of issuance to be Exempted Securities by the Requisite Series A Preferred, the Requisite Series B Preferred and the Requisite Series C Preferred.</w:t>
      </w:r>
    </w:p>
    <w:p>
      <w:pPr>
        <w:spacing w:after="0" w:line="68" w:lineRule="exact"/>
        <w:rPr>
          <w:sz w:val="20"/>
          <w:szCs w:val="20"/>
          <w:color w:val="auto"/>
        </w:rPr>
      </w:pPr>
    </w:p>
    <w:p>
      <w:pPr>
        <w:ind w:firstLine="1964"/>
        <w:spacing w:after="0" w:line="284"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No adjustment in the Series C Conversion Price shall be made as the result of the issuance or deemed issuance of Additional Shares of Common Stock if the Corporation receives written notice from the Requisite Series C Preferred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Requisite Series B Preferred agreeing that no such adjustment shall be made as the result of the issuance or deemed issuance of such Additional Shares of Common Stock. No adjustment in the Series A Conversion Price shall be made as the result of the issuance or deemed issuance of Additional Shares of Common Stock if the Corporation receives written notice from the holders of at least a majority of outstanding Series A Preferred Stock (the “</w:t>
      </w:r>
      <w:r>
        <w:rPr>
          <w:rFonts w:ascii="Arial" w:cs="Arial" w:eastAsia="Arial" w:hAnsi="Arial"/>
          <w:sz w:val="16"/>
          <w:szCs w:val="16"/>
          <w:b w:val="1"/>
          <w:bCs w:val="1"/>
          <w:color w:val="auto"/>
        </w:rPr>
        <w:t>Requisite Series A Vote</w:t>
      </w:r>
      <w:r>
        <w:rPr>
          <w:rFonts w:ascii="Arial" w:cs="Arial" w:eastAsia="Arial" w:hAnsi="Arial"/>
          <w:sz w:val="16"/>
          <w:szCs w:val="16"/>
          <w:color w:val="auto"/>
        </w:rPr>
        <w:t>”) agreeing that no such adjustment shall be made as the result of the issuance or deemed issuance of such Additional Shares of Common Stock. No adjustment in the Series A-2 Conversion Price shall be made as the result of the issuance or deemed issuance of Additional Shares of Common Stock if the Corporation receives written notice from the holders of at least a majority of outstanding Series A-2 Preferred Stock (the “</w:t>
      </w:r>
      <w:r>
        <w:rPr>
          <w:rFonts w:ascii="Arial" w:cs="Arial" w:eastAsia="Arial" w:hAnsi="Arial"/>
          <w:sz w:val="16"/>
          <w:szCs w:val="16"/>
          <w:b w:val="1"/>
          <w:bCs w:val="1"/>
          <w:color w:val="auto"/>
        </w:rPr>
        <w:t>Requisite Series A-2 Vote</w:t>
      </w:r>
      <w:r>
        <w:rPr>
          <w:rFonts w:ascii="Arial" w:cs="Arial" w:eastAsia="Arial" w:hAnsi="Arial"/>
          <w:sz w:val="16"/>
          <w:szCs w:val="16"/>
          <w:color w:val="auto"/>
        </w:rPr>
        <w:t>”) agreeing that no such adjustment shall be made as the result of the issuance or deemed issuance of such Additional Shares of Common Stock.</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4" w:lineRule="exact"/>
        <w:rPr>
          <w:sz w:val="20"/>
          <w:szCs w:val="20"/>
          <w:color w:val="auto"/>
        </w:rPr>
      </w:pPr>
    </w:p>
    <w:p>
      <w:pPr>
        <w:ind w:right="40" w:firstLine="2408"/>
        <w:spacing w:after="0" w:line="251" w:lineRule="auto"/>
        <w:tabs>
          <w:tab w:leader="none" w:pos="264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87" w:lineRule="exact"/>
        <w:rPr>
          <w:rFonts w:ascii="Arial" w:cs="Arial" w:eastAsia="Arial" w:hAnsi="Arial"/>
          <w:sz w:val="18"/>
          <w:szCs w:val="18"/>
          <w:color w:val="auto"/>
        </w:rPr>
      </w:pPr>
    </w:p>
    <w:p>
      <w:pPr>
        <w:ind w:firstLine="2408"/>
        <w:spacing w:after="0" w:line="252" w:lineRule="auto"/>
        <w:tabs>
          <w:tab w:leader="none" w:pos="265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If the terms of any Option or Convertible Security, the issuance of which resulted in an adjustment to the Conversion Price of a series of Preferred Stock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2" w:right="499" w:bottom="1440" w:gutter="0" w:footer="0" w:header="0"/>
        </w:sectPr>
      </w:pPr>
    </w:p>
    <w:bookmarkStart w:id="281" w:name="page282"/>
    <w:bookmarkEnd w:id="28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of a series of Preferred Stock to an amount which exceeds the lower of (i) the Conversion Price of such series of Preferred Stock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76" w:lineRule="exact"/>
        <w:rPr>
          <w:sz w:val="20"/>
          <w:szCs w:val="20"/>
          <w:color w:val="auto"/>
        </w:rPr>
      </w:pPr>
    </w:p>
    <w:p>
      <w:pPr>
        <w:ind w:firstLine="2408"/>
        <w:spacing w:after="0" w:line="266" w:lineRule="auto"/>
        <w:tabs>
          <w:tab w:leader="none" w:pos="264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the Conversion Price of such series of Preferred Stock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77" w:lineRule="exact"/>
        <w:rPr>
          <w:rFonts w:ascii="Arial" w:cs="Arial" w:eastAsia="Arial" w:hAnsi="Arial"/>
          <w:sz w:val="17"/>
          <w:szCs w:val="17"/>
          <w:color w:val="auto"/>
        </w:rPr>
      </w:pPr>
    </w:p>
    <w:p>
      <w:pPr>
        <w:ind w:firstLine="2408"/>
        <w:spacing w:after="0" w:line="255" w:lineRule="auto"/>
        <w:tabs>
          <w:tab w:leader="none" w:pos="26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applicable Conversion Price shall be readjusted to such Conversion Price as would have obtained had such Option or Convertible Security (or portion thereof) never been issued.</w:t>
      </w:r>
    </w:p>
    <w:p>
      <w:pPr>
        <w:spacing w:after="0" w:line="83" w:lineRule="exact"/>
        <w:rPr>
          <w:rFonts w:ascii="Arial" w:cs="Arial" w:eastAsia="Arial" w:hAnsi="Arial"/>
          <w:sz w:val="18"/>
          <w:szCs w:val="18"/>
          <w:color w:val="auto"/>
        </w:rPr>
      </w:pPr>
    </w:p>
    <w:p>
      <w:pPr>
        <w:ind w:right="20" w:firstLine="2408"/>
        <w:spacing w:after="0" w:line="290" w:lineRule="auto"/>
        <w:tabs>
          <w:tab w:leader="none" w:pos="264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If the number of shares of Common Stock issuable upon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282" w:name="page283"/>
    <w:bookmarkEnd w:id="282"/>
    <w:p>
      <w:pPr>
        <w:ind w:right="2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87" w:lineRule="exact"/>
        <w:rPr>
          <w:sz w:val="20"/>
          <w:szCs w:val="20"/>
          <w:color w:val="auto"/>
        </w:rPr>
      </w:pPr>
    </w:p>
    <w:p>
      <w:pPr>
        <w:ind w:firstLine="1964"/>
        <w:spacing w:after="0" w:line="293" w:lineRule="auto"/>
        <w:rPr>
          <w:sz w:val="20"/>
          <w:szCs w:val="20"/>
          <w:color w:val="auto"/>
        </w:rPr>
      </w:pPr>
      <w:r>
        <w:rPr>
          <w:rFonts w:ascii="Arial" w:cs="Arial" w:eastAsia="Arial" w:hAnsi="Arial"/>
          <w:sz w:val="16"/>
          <w:szCs w:val="16"/>
          <w:color w:val="auto"/>
        </w:rPr>
        <w:t>4.4.4 Adjustment of Conversion Price Upon Issuance of Additional Shares of Common Stock. In the event the Corporation shall at any time or from time to time after the Original Issue Date issue Additional Shares of Common Stock (including Additional Shares of Common Stock deemed to be issued pursuant to Subsection 4.4.3),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1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4" w:lineRule="exact"/>
        <w:rPr>
          <w:sz w:val="20"/>
          <w:szCs w:val="20"/>
          <w:color w:val="auto"/>
        </w:rPr>
      </w:pPr>
    </w:p>
    <w:p>
      <w:pPr>
        <w:ind w:right="100" w:firstLine="2408"/>
        <w:spacing w:after="0" w:line="271" w:lineRule="auto"/>
        <w:tabs>
          <w:tab w:leader="none" w:pos="264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in effect immediately after such issuance or deemed issuance of Additional Shares of Common Stock;</w:t>
      </w:r>
    </w:p>
    <w:p>
      <w:pPr>
        <w:spacing w:after="0" w:line="67" w:lineRule="exact"/>
        <w:rPr>
          <w:rFonts w:ascii="Arial" w:cs="Arial" w:eastAsia="Arial" w:hAnsi="Arial"/>
          <w:sz w:val="18"/>
          <w:szCs w:val="18"/>
          <w:color w:val="auto"/>
        </w:rPr>
      </w:pPr>
    </w:p>
    <w:p>
      <w:pPr>
        <w:ind w:right="80" w:firstLine="2408"/>
        <w:spacing w:after="0" w:line="271" w:lineRule="auto"/>
        <w:tabs>
          <w:tab w:leader="none" w:pos="26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immediately prior to such issuance or deemed issuance of Additional Shares of Common Stock;</w:t>
      </w:r>
    </w:p>
    <w:p>
      <w:pPr>
        <w:spacing w:after="0" w:line="67" w:lineRule="exact"/>
        <w:rPr>
          <w:rFonts w:ascii="Arial" w:cs="Arial" w:eastAsia="Arial" w:hAnsi="Arial"/>
          <w:sz w:val="18"/>
          <w:szCs w:val="18"/>
          <w:color w:val="auto"/>
        </w:rPr>
      </w:pPr>
    </w:p>
    <w:p>
      <w:pPr>
        <w:jc w:val="both"/>
        <w:ind w:right="60" w:firstLine="2408"/>
        <w:spacing w:after="0" w:line="275" w:lineRule="auto"/>
        <w:tabs>
          <w:tab w:leader="none" w:pos="264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66" w:lineRule="exact"/>
        <w:rPr>
          <w:rFonts w:ascii="Arial" w:cs="Arial" w:eastAsia="Arial" w:hAnsi="Arial"/>
          <w:sz w:val="17"/>
          <w:szCs w:val="17"/>
          <w:color w:val="auto"/>
        </w:rPr>
      </w:pPr>
    </w:p>
    <w:p>
      <w:pPr>
        <w:ind w:right="100" w:firstLine="2408"/>
        <w:spacing w:after="0" w:line="270" w:lineRule="auto"/>
        <w:tabs>
          <w:tab w:leader="none" w:pos="26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2660" w:hanging="252"/>
        <w:spacing w:after="0"/>
        <w:tabs>
          <w:tab w:leader="none" w:pos="2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14" w:lineRule="exact"/>
        <w:rPr>
          <w:sz w:val="20"/>
          <w:szCs w:val="20"/>
          <w:color w:val="auto"/>
        </w:rPr>
      </w:pPr>
    </w:p>
    <w:p>
      <w:pPr>
        <w:ind w:right="80" w:firstLine="1964"/>
        <w:spacing w:after="0" w:line="271"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68" w:lineRule="exact"/>
        <w:rPr>
          <w:sz w:val="20"/>
          <w:szCs w:val="20"/>
          <w:color w:val="auto"/>
        </w:rPr>
      </w:pPr>
    </w:p>
    <w:p>
      <w:pPr>
        <w:ind w:left="2660" w:hanging="252"/>
        <w:spacing w:after="0"/>
        <w:tabs>
          <w:tab w:leader="none" w:pos="26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27" w:lineRule="exact"/>
        <w:rPr>
          <w:rFonts w:ascii="Arial" w:cs="Arial" w:eastAsia="Arial" w:hAnsi="Arial"/>
          <w:sz w:val="18"/>
          <w:szCs w:val="18"/>
          <w:color w:val="auto"/>
        </w:rPr>
      </w:pPr>
    </w:p>
    <w:p>
      <w:pPr>
        <w:ind w:left="3380" w:right="160" w:hanging="537"/>
        <w:spacing w:after="0" w:line="271" w:lineRule="auto"/>
        <w:tabs>
          <w:tab w:leader="none" w:pos="33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2" w:right="499" w:bottom="1440" w:gutter="0" w:footer="0" w:header="0"/>
        </w:sectPr>
      </w:pPr>
    </w:p>
    <w:bookmarkStart w:id="283" w:name="page284"/>
    <w:bookmarkEnd w:id="283"/>
    <w:p>
      <w:pPr>
        <w:ind w:left="3340" w:right="40" w:hanging="537"/>
        <w:spacing w:after="0" w:line="335" w:lineRule="auto"/>
        <w:tabs>
          <w:tab w:leader="none" w:pos="33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of the Corporation; and</w:t>
      </w:r>
    </w:p>
    <w:p>
      <w:pPr>
        <w:spacing w:after="0" w:line="34" w:lineRule="exact"/>
        <w:rPr>
          <w:rFonts w:ascii="Arial" w:cs="Arial" w:eastAsia="Arial" w:hAnsi="Arial"/>
          <w:sz w:val="16"/>
          <w:szCs w:val="16"/>
          <w:color w:val="auto"/>
        </w:rPr>
      </w:pPr>
    </w:p>
    <w:p>
      <w:pPr>
        <w:ind w:left="3340" w:hanging="537"/>
        <w:spacing w:after="0" w:line="255" w:lineRule="auto"/>
        <w:tabs>
          <w:tab w:leader="none" w:pos="33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83" w:lineRule="exact"/>
        <w:rPr>
          <w:rFonts w:ascii="Arial" w:cs="Arial" w:eastAsia="Arial" w:hAnsi="Arial"/>
          <w:sz w:val="18"/>
          <w:szCs w:val="18"/>
          <w:color w:val="auto"/>
        </w:rPr>
      </w:pPr>
    </w:p>
    <w:p>
      <w:pPr>
        <w:ind w:left="-40" w:right="40" w:firstLine="2408"/>
        <w:spacing w:after="0" w:line="259" w:lineRule="auto"/>
        <w:tabs>
          <w:tab w:leader="none" w:pos="2613"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92" w:lineRule="exact"/>
        <w:rPr>
          <w:rFonts w:ascii="Arial" w:cs="Arial" w:eastAsia="Arial" w:hAnsi="Arial"/>
          <w:sz w:val="18"/>
          <w:szCs w:val="18"/>
          <w:color w:val="auto"/>
        </w:rPr>
      </w:pPr>
    </w:p>
    <w:p>
      <w:pPr>
        <w:ind w:left="3340" w:right="60" w:hanging="537"/>
        <w:spacing w:after="0" w:line="269" w:lineRule="auto"/>
        <w:tabs>
          <w:tab w:leader="none" w:pos="334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84" w:lineRule="exact"/>
        <w:rPr>
          <w:rFonts w:ascii="Arial" w:cs="Arial" w:eastAsia="Arial" w:hAnsi="Arial"/>
          <w:sz w:val="17"/>
          <w:szCs w:val="17"/>
          <w:color w:val="auto"/>
        </w:rPr>
      </w:pPr>
    </w:p>
    <w:p>
      <w:pPr>
        <w:ind w:left="3340" w:hanging="537"/>
        <w:spacing w:after="0" w:line="272" w:lineRule="auto"/>
        <w:tabs>
          <w:tab w:leader="none" w:pos="334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0"/>
          </w:cols>
          <w:pgMar w:left="520" w:top="272" w:right="539" w:bottom="1440" w:gutter="0" w:footer="0" w:header="0"/>
        </w:sectPr>
      </w:pPr>
    </w:p>
    <w:bookmarkStart w:id="284" w:name="page285"/>
    <w:bookmarkEnd w:id="284"/>
    <w:p>
      <w:pPr>
        <w:ind w:right="20" w:firstLine="1964"/>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87" w:lineRule="exact"/>
        <w:rPr>
          <w:sz w:val="20"/>
          <w:szCs w:val="20"/>
          <w:color w:val="auto"/>
        </w:rPr>
      </w:pPr>
    </w:p>
    <w:p>
      <w:pPr>
        <w:ind w:right="60" w:firstLine="1419"/>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59" w:lineRule="exact"/>
        <w:rPr>
          <w:sz w:val="20"/>
          <w:szCs w:val="20"/>
          <w:color w:val="auto"/>
        </w:rPr>
      </w:pPr>
    </w:p>
    <w:p>
      <w:pPr>
        <w:ind w:firstLine="1419"/>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69" w:lineRule="exact"/>
        <w:rPr>
          <w:sz w:val="20"/>
          <w:szCs w:val="20"/>
          <w:color w:val="auto"/>
        </w:rPr>
      </w:pPr>
    </w:p>
    <w:p>
      <w:pPr>
        <w:ind w:right="300" w:firstLine="2190"/>
        <w:spacing w:after="0" w:line="271" w:lineRule="auto"/>
        <w:tabs>
          <w:tab w:leader="none" w:pos="24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67" w:lineRule="exact"/>
        <w:rPr>
          <w:rFonts w:ascii="Arial" w:cs="Arial" w:eastAsia="Arial" w:hAnsi="Arial"/>
          <w:sz w:val="18"/>
          <w:szCs w:val="18"/>
          <w:color w:val="auto"/>
        </w:rPr>
      </w:pPr>
    </w:p>
    <w:p>
      <w:pPr>
        <w:jc w:val="both"/>
        <w:ind w:right="100" w:firstLine="2190"/>
        <w:spacing w:after="0" w:line="259" w:lineRule="auto"/>
        <w:tabs>
          <w:tab w:leader="none" w:pos="24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480" w:top="272" w:right="559" w:bottom="1440" w:gutter="0" w:footer="0" w:header="0"/>
        </w:sectPr>
      </w:pPr>
    </w:p>
    <w:bookmarkStart w:id="285" w:name="page286"/>
    <w:bookmarkEnd w:id="28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right="320" w:firstLine="7"/>
        <w:spacing w:after="0" w:line="274" w:lineRule="auto"/>
        <w:tabs>
          <w:tab w:leader="none" w:pos="25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that no such adjustment shall be made if the holders of the applicable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67" w:lineRule="exact"/>
        <w:rPr>
          <w:sz w:val="20"/>
          <w:szCs w:val="20"/>
          <w:color w:val="auto"/>
        </w:rPr>
      </w:pPr>
    </w:p>
    <w:p>
      <w:pPr>
        <w:ind w:right="80" w:firstLine="1419"/>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 distribution, then and in each such event the holders of the applicable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59" w:lineRule="exact"/>
        <w:rPr>
          <w:sz w:val="20"/>
          <w:szCs w:val="20"/>
          <w:color w:val="auto"/>
        </w:rPr>
      </w:pPr>
    </w:p>
    <w:p>
      <w:pPr>
        <w:ind w:firstLine="1419"/>
        <w:spacing w:after="0" w:line="26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a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such series of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such series of Preferred Stock.</w:t>
      </w:r>
    </w:p>
    <w:p>
      <w:pPr>
        <w:spacing w:after="0" w:line="75" w:lineRule="exact"/>
        <w:rPr>
          <w:sz w:val="20"/>
          <w:szCs w:val="20"/>
          <w:color w:val="auto"/>
        </w:rPr>
      </w:pPr>
    </w:p>
    <w:p>
      <w:pPr>
        <w:ind w:right="80" w:firstLine="1419"/>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the applicable Conversion Price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the applicable series of Preferred Stock a certificate setting forth such adjustment or readjustment (including the kind and amount of securities, cash or other property into which such series of Preferred Stock is convertible) and showing in detail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72" w:right="519" w:bottom="1440" w:gutter="0" w:footer="0" w:header="0"/>
        </w:sectPr>
      </w:pPr>
    </w:p>
    <w:bookmarkStart w:id="286" w:name="page287"/>
    <w:bookmarkEnd w:id="28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facts upon which such adjustment or readjustment is based. The Corporation shall, as promptly as reasonably practicable after the written request at any time of any holder of such series of Preferred Stock (but in any event not later than ten (10) days thereafter), furnish or cause to be furnished to such holder a certificate setting forth (i) the Conversion Price of such series of Preferred Stock then in effect, and (ii) the number of shares of Common Stock and the amount, if any, of other securities, cash or property which then would be received upon the conversion of such series of Preferred Stock.</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4" w:lineRule="exact"/>
        <w:rPr>
          <w:sz w:val="20"/>
          <w:szCs w:val="20"/>
          <w:color w:val="auto"/>
        </w:rPr>
      </w:pPr>
    </w:p>
    <w:p>
      <w:pPr>
        <w:jc w:val="both"/>
        <w:ind w:right="200" w:firstLine="2408"/>
        <w:spacing w:after="0" w:line="307" w:lineRule="auto"/>
        <w:tabs>
          <w:tab w:leader="none" w:pos="264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42" w:lineRule="exact"/>
        <w:rPr>
          <w:rFonts w:ascii="Arial" w:cs="Arial" w:eastAsia="Arial" w:hAnsi="Arial"/>
          <w:sz w:val="16"/>
          <w:szCs w:val="16"/>
          <w:color w:val="auto"/>
        </w:rPr>
      </w:pPr>
    </w:p>
    <w:p>
      <w:pPr>
        <w:ind w:left="2660" w:hanging="252"/>
        <w:spacing w:after="0"/>
        <w:tabs>
          <w:tab w:leader="none" w:pos="2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101" w:lineRule="exact"/>
        <w:rPr>
          <w:rFonts w:ascii="Arial" w:cs="Arial" w:eastAsia="Arial" w:hAnsi="Arial"/>
          <w:sz w:val="16"/>
          <w:szCs w:val="16"/>
          <w:color w:val="auto"/>
        </w:rPr>
      </w:pPr>
    </w:p>
    <w:p>
      <w:pPr>
        <w:ind w:left="2660" w:hanging="252"/>
        <w:spacing w:after="0"/>
        <w:tabs>
          <w:tab w:leader="none" w:pos="2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3" w:lineRule="exact"/>
        <w:rPr>
          <w:sz w:val="20"/>
          <w:szCs w:val="20"/>
          <w:color w:val="auto"/>
        </w:rPr>
      </w:pPr>
    </w:p>
    <w:p>
      <w:pPr>
        <w:ind w:firstLine="7"/>
        <w:spacing w:after="0" w:line="279" w:lineRule="auto"/>
        <w:tabs>
          <w:tab w:leader="none" w:pos="21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Arial" w:cs="Arial" w:eastAsia="Arial" w:hAnsi="Arial"/>
          <w:sz w:val="16"/>
          <w:szCs w:val="16"/>
          <w:color w:val="auto"/>
        </w:rPr>
      </w:pPr>
      <w:r>
        <w:rPr>
          <w:rFonts w:ascii="Arial" w:cs="Arial" w:eastAsia="Arial" w:hAnsi="Arial"/>
          <w:sz w:val="18"/>
          <w:szCs w:val="18"/>
          <w:color w:val="auto"/>
        </w:rPr>
        <w:t>(10) days prior to the record date or effective date for the event specified in such notice.</w:t>
      </w:r>
    </w:p>
    <w:p>
      <w:pPr>
        <w:spacing w:after="0" w:line="101" w:lineRule="exact"/>
        <w:rPr>
          <w:sz w:val="20"/>
          <w:szCs w:val="20"/>
          <w:color w:val="auto"/>
        </w:rPr>
      </w:pPr>
    </w:p>
    <w:p>
      <w:pPr>
        <w:ind w:left="1160" w:hanging="170"/>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4" w:lineRule="exact"/>
        <w:rPr>
          <w:sz w:val="20"/>
          <w:szCs w:val="20"/>
          <w:color w:val="auto"/>
        </w:rPr>
      </w:pPr>
    </w:p>
    <w:p>
      <w:pPr>
        <w:ind w:right="20" w:firstLine="1419"/>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$3.00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(before deduction of the underwriting expenses, discount and commissions) to the Corporation and in connection with such offering the Common Stock is listed for trading on the Nasdaq Stock Market’s National Market, the New York Stock Exchange or another exchange or marketplace approved by the Board of Directors, including approval of a majority of the Preferred Directors (a “</w:t>
      </w:r>
      <w:r>
        <w:rPr>
          <w:rFonts w:ascii="Arial" w:cs="Arial" w:eastAsia="Arial" w:hAnsi="Arial"/>
          <w:sz w:val="16"/>
          <w:szCs w:val="16"/>
          <w:b w:val="1"/>
          <w:bCs w:val="1"/>
          <w:color w:val="auto"/>
        </w:rPr>
        <w:t>Qualified IPO</w:t>
      </w:r>
      <w:r>
        <w:rPr>
          <w:rFonts w:ascii="Arial" w:cs="Arial" w:eastAsia="Arial" w:hAnsi="Arial"/>
          <w:sz w:val="16"/>
          <w:szCs w:val="16"/>
          <w:color w:val="auto"/>
        </w:rPr>
        <w:t>”) (b) the closing of a merger, consolidation, reorganization, recapitalization, capital stock exchange, stock sale, asset sale or other similar transaction or business combination (or series of related transactions or related business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480" w:top="272" w:right="559" w:bottom="1440" w:gutter="0" w:footer="0" w:header="0"/>
        </w:sectPr>
      </w:pPr>
    </w:p>
    <w:bookmarkStart w:id="287" w:name="page288"/>
    <w:bookmarkEnd w:id="28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combinations), in each such case, between the Corporation (or any of its subsidiaries) and a blank check company that is a special purpose acquisition company formed solely for the purpose of effecting any of the foregoing transactions with one or more businesses, which for the avoidance of doubt, is deemed to be a “blank check” company under applicable U.S. securities laws whose securities are listed for trading (or as a condition to such transaction will promptly following consummation thereof be listed for trading) on the Nasdaq Stock Market’s National Market, the New York Stock Exchange or another exchange or marketplace approved the Board of Directors, including approval of a majority of the Preferred Directors (a “</w:t>
      </w:r>
      <w:r>
        <w:rPr>
          <w:rFonts w:ascii="Arial" w:cs="Arial" w:eastAsia="Arial" w:hAnsi="Arial"/>
          <w:sz w:val="16"/>
          <w:szCs w:val="16"/>
          <w:b w:val="1"/>
          <w:bCs w:val="1"/>
          <w:color w:val="auto"/>
        </w:rPr>
        <w:t>SPAC Transaction</w:t>
      </w:r>
      <w:r>
        <w:rPr>
          <w:rFonts w:ascii="Arial" w:cs="Arial" w:eastAsia="Arial" w:hAnsi="Arial"/>
          <w:sz w:val="16"/>
          <w:szCs w:val="16"/>
          <w:color w:val="auto"/>
        </w:rPr>
        <w:t>”) whereby the holders of Preferred Stock and Common Stock receive securities in the SPAC Transaction having a value of at least $3.00 per share (subject to appropriate adjustment for any stock dividend, stock split, combination or other similar recapitalization or the like with respect to such Preferred Stock and/or Common Stock, as applicable) of Preferred Stock and Common Stock as of the date of consummation of the SPAC Transaction based on the implied “pre-money” valuation of the Corporation immediately prior to the consummation of the SPAC Transaction and (y) the aggregate cash proceeds available to the continuing operating entity in such SPAC Transaction, including the proceeds from any private placement or other financing conducted concurrently or in connection therewith, are at least $50,000,000 gross proceeds (before deduction of any discounts, commissions, taxes, fees, or disbursements in connection with such SPAC Transaction) (such SPAC Transaction, a “</w:t>
      </w:r>
      <w:r>
        <w:rPr>
          <w:rFonts w:ascii="Arial" w:cs="Arial" w:eastAsia="Arial" w:hAnsi="Arial"/>
          <w:sz w:val="16"/>
          <w:szCs w:val="16"/>
          <w:b w:val="1"/>
          <w:bCs w:val="1"/>
          <w:color w:val="auto"/>
        </w:rPr>
        <w:t>Qualified SPAC Transaction</w:t>
      </w:r>
      <w:r>
        <w:rPr>
          <w:rFonts w:ascii="Arial" w:cs="Arial" w:eastAsia="Arial" w:hAnsi="Arial"/>
          <w:sz w:val="16"/>
          <w:szCs w:val="16"/>
          <w:color w:val="auto"/>
        </w:rPr>
        <w:t>”), (c) immediately prior to the closing of the Corporation’s initial listing of its Common Stock for trading on the Nasdaq Stock Market’s National Market, the New York Stock Exchange or another exchange or marketplace approved by the Board of Directors, including approval of a majority of the Preferred Directors, by means of an effective registration statement on Form S-1 under the Securities Act of 1933, as amended (a “</w:t>
      </w:r>
      <w:r>
        <w:rPr>
          <w:rFonts w:ascii="Arial" w:cs="Arial" w:eastAsia="Arial" w:hAnsi="Arial"/>
          <w:sz w:val="16"/>
          <w:szCs w:val="16"/>
          <w:b w:val="1"/>
          <w:bCs w:val="1"/>
          <w:color w:val="auto"/>
        </w:rPr>
        <w:t>Direct Listing</w:t>
      </w:r>
      <w:r>
        <w:rPr>
          <w:rFonts w:ascii="Arial" w:cs="Arial" w:eastAsia="Arial" w:hAnsi="Arial"/>
          <w:sz w:val="16"/>
          <w:szCs w:val="16"/>
          <w:color w:val="auto"/>
        </w:rPr>
        <w:t>”) or (d) the date and time, or the occurrence of an event, specified by vote or written consent of the Requisite Series C Preferred, the Requisite Series B Preferred and the holders of at least a majority of the outstanding shares of Preferred Stock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 (i) all outstanding shares of all series of Preferred Stock shall automatically be converted into shares of Common Stock, at the then effective conversion rate of such series of Preferred Stock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and (ii) such shares may not be reissued by the Corporation.</w:t>
      </w:r>
    </w:p>
    <w:p>
      <w:pPr>
        <w:spacing w:after="0" w:line="63" w:lineRule="exact"/>
        <w:rPr>
          <w:sz w:val="20"/>
          <w:szCs w:val="20"/>
          <w:color w:val="auto"/>
        </w:rPr>
      </w:pPr>
    </w:p>
    <w:p>
      <w:pPr>
        <w:ind w:right="160" w:firstLine="1419"/>
        <w:spacing w:after="0" w:line="26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including the rights, if any, to receive notices and vote (other than as a holder of Common Stock), will terminate at the Mandatory Conversion Time (notwithstanding the failure of the holder or holders thereof to surrender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2" w:right="499" w:bottom="1440" w:gutter="0" w:footer="0" w:header="0"/>
        </w:sectPr>
      </w:pPr>
    </w:p>
    <w:bookmarkStart w:id="288" w:name="page289"/>
    <w:bookmarkEnd w:id="288"/>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76" w:lineRule="exact"/>
        <w:rPr>
          <w:sz w:val="20"/>
          <w:szCs w:val="20"/>
          <w:color w:val="auto"/>
        </w:rPr>
      </w:pPr>
    </w:p>
    <w:p>
      <w:pPr>
        <w:ind w:firstLine="990"/>
        <w:spacing w:after="0" w:line="307" w:lineRule="auto"/>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42" w:lineRule="exact"/>
        <w:rPr>
          <w:rFonts w:ascii="Arial" w:cs="Arial" w:eastAsia="Arial" w:hAnsi="Arial"/>
          <w:sz w:val="16"/>
          <w:szCs w:val="16"/>
          <w:color w:val="auto"/>
        </w:rPr>
      </w:pPr>
    </w:p>
    <w:p>
      <w:pPr>
        <w:ind w:firstLine="990"/>
        <w:spacing w:after="0" w:line="252" w:lineRule="auto"/>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Except as otherwise set forth herein, any of the rights, powers, preferences and other terms of the Preferred Stock set forth herein may be waived on behalf of all holders of Preferred Stock by the affirmative written consent or vote of the Requisite Holders; provided that a waiver of any provision requiring the affirmative written consent or vote of the Requisite Series C Preferred, the Requisite Series B Preferred, the Requisite Series A Preferred, the Requisite Series A Vote or the Requisite Series A-2 Vote, as the case may be, shall be waived by the affirmative written consent or vote of the Requisite Series C Preferred, the Requisite Series B Preferred, the Requisite Series A Preferred, the Requisite Series A Vote or the Requisite Series A-2 Vote, as the case may be.</w:t>
      </w:r>
    </w:p>
    <w:p>
      <w:pPr>
        <w:spacing w:after="0" w:line="86" w:lineRule="exact"/>
        <w:rPr>
          <w:rFonts w:ascii="Arial" w:cs="Arial" w:eastAsia="Arial" w:hAnsi="Arial"/>
          <w:sz w:val="18"/>
          <w:szCs w:val="18"/>
          <w:color w:val="auto"/>
        </w:rPr>
      </w:pPr>
    </w:p>
    <w:p>
      <w:pPr>
        <w:ind w:right="260" w:firstLine="990"/>
        <w:spacing w:after="0" w:line="307" w:lineRule="auto"/>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6" w:lineRule="exact"/>
        <w:rPr>
          <w:sz w:val="20"/>
          <w:szCs w:val="20"/>
          <w:color w:val="auto"/>
        </w:rPr>
      </w:pPr>
    </w:p>
    <w:p>
      <w:pPr>
        <w:ind w:right="360" w:firstLine="982"/>
        <w:spacing w:after="0" w:line="261"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Third Amended and Restated Certificate of Incorporation or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81" w:lineRule="exact"/>
        <w:rPr>
          <w:sz w:val="20"/>
          <w:szCs w:val="20"/>
          <w:color w:val="auto"/>
        </w:rPr>
      </w:pPr>
    </w:p>
    <w:p>
      <w:pPr>
        <w:ind w:right="80" w:firstLine="982"/>
        <w:spacing w:after="0" w:line="289" w:lineRule="auto"/>
        <w:rPr>
          <w:sz w:val="20"/>
          <w:szCs w:val="20"/>
          <w:color w:val="auto"/>
        </w:rPr>
      </w:pPr>
      <w:r>
        <w:rPr>
          <w:rFonts w:ascii="Arial" w:cs="Arial" w:eastAsia="Arial" w:hAnsi="Arial"/>
          <w:sz w:val="16"/>
          <w:szCs w:val="16"/>
          <w:b w:val="1"/>
          <w:bCs w:val="1"/>
          <w:color w:val="auto"/>
        </w:rPr>
        <w:t xml:space="preserve">SIXTH: </w:t>
      </w:r>
      <w:r>
        <w:rPr>
          <w:rFonts w:ascii="Arial" w:cs="Arial" w:eastAsia="Arial" w:hAnsi="Arial"/>
          <w:sz w:val="16"/>
          <w:szCs w:val="16"/>
          <w:color w:val="auto"/>
        </w:rPr>
        <w:t>Subject to any additional vote required by this Third Amended and Restated Certificate of Incorporation, the number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Corporation shall be determined in the manner set forth in the Bylaws of the Corporation. Each director shall be entitled to one vote on each matter presented to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the holders of Series B Preferred Stock are entitled to elect a Series B Director, the holders of Series A Preferred Stock are entitled to elect a Series A Director and the holders of Series A-2 Preferred Stock are entitled to elect a Series A-2 Director, the affirmative vote of a majority of the Preferred Directors shall be required for the authorization by the Board of Directors of any of the matters set forth in Section 5.5 of the Third Amended and Restated Investors’ Rights Agreement, dated on or around Original Issue Date, by and among the Corporation and the other parties thereto, as such agreement may be amended from time to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80" w:top="272" w:right="499" w:bottom="1440" w:gutter="0" w:footer="0" w:header="0"/>
        </w:sectPr>
      </w:pPr>
    </w:p>
    <w:bookmarkStart w:id="289" w:name="page290"/>
    <w:bookmarkEnd w:id="289"/>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1" w:lineRule="exact"/>
        <w:rPr>
          <w:sz w:val="20"/>
          <w:szCs w:val="20"/>
          <w:color w:val="auto"/>
        </w:rPr>
      </w:pPr>
    </w:p>
    <w:p>
      <w:pPr>
        <w:jc w:val="both"/>
        <w:ind w:firstLine="982"/>
        <w:spacing w:after="0" w:line="261"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81" w:lineRule="exact"/>
        <w:rPr>
          <w:sz w:val="20"/>
          <w:szCs w:val="20"/>
          <w:color w:val="auto"/>
        </w:rPr>
      </w:pPr>
    </w:p>
    <w:p>
      <w:pPr>
        <w:ind w:right="40" w:firstLine="982"/>
        <w:spacing w:after="0" w:line="255"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8" w:lineRule="exact"/>
        <w:rPr>
          <w:sz w:val="20"/>
          <w:szCs w:val="20"/>
          <w:color w:val="auto"/>
        </w:rPr>
      </w:pPr>
    </w:p>
    <w:p>
      <w:pPr>
        <w:jc w:val="both"/>
        <w:ind w:right="80" w:firstLine="436"/>
        <w:spacing w:after="0" w:line="259"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2" w:lineRule="exact"/>
        <w:rPr>
          <w:sz w:val="20"/>
          <w:szCs w:val="20"/>
          <w:color w:val="auto"/>
        </w:rPr>
      </w:pPr>
    </w:p>
    <w:p>
      <w:pPr>
        <w:ind w:right="40" w:firstLine="982"/>
        <w:spacing w:after="0" w:line="299"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of the General Corporation Law.</w:t>
      </w:r>
    </w:p>
    <w:p>
      <w:pPr>
        <w:spacing w:after="0" w:line="157"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86" w:lineRule="exact"/>
        <w:rPr>
          <w:sz w:val="20"/>
          <w:szCs w:val="20"/>
          <w:color w:val="auto"/>
        </w:rPr>
      </w:pPr>
    </w:p>
    <w:p>
      <w:pPr>
        <w:ind w:right="180" w:firstLine="982"/>
        <w:spacing w:after="0" w:line="291"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w:t>
      </w:r>
      <w:r>
        <w:rPr>
          <w:rFonts w:ascii="Arial" w:cs="Arial" w:eastAsia="Arial" w:hAnsi="Arial"/>
          <w:sz w:val="16"/>
          <w:szCs w:val="16"/>
          <w:b w:val="1"/>
          <w:bCs w:val="1"/>
          <w:color w:val="auto"/>
        </w:rPr>
        <w:t xml:space="preserve"> </w:t>
      </w:r>
      <w:r>
        <w:rPr>
          <w:rFonts w:ascii="Arial" w:cs="Arial" w:eastAsia="Arial" w:hAnsi="Arial"/>
          <w:sz w:val="16"/>
          <w:szCs w:val="16"/>
          <w:color w:val="auto"/>
        </w:rPr>
        <w:t>being 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 (i) and (ii) are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480" w:top="269" w:right="579" w:bottom="1440" w:gutter="0" w:footer="0" w:header="0"/>
        </w:sectPr>
      </w:pPr>
    </w:p>
    <w:bookmarkStart w:id="290" w:name="page291"/>
    <w:bookmarkEnd w:id="290"/>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Third Amended and Restated Certificate of Incorporation, the affirmative vote of the Requisite Holders and the Requisite Series B Preferred will be required to amend or repeal, or to adopt any provisions inconsistent with this Article Eleventh.</w:t>
      </w:r>
    </w:p>
    <w:p>
      <w:pPr>
        <w:spacing w:after="0" w:line="190" w:lineRule="exact"/>
        <w:rPr>
          <w:sz w:val="20"/>
          <w:szCs w:val="20"/>
          <w:color w:val="auto"/>
        </w:rPr>
      </w:pPr>
    </w:p>
    <w:p>
      <w:pPr>
        <w:ind w:right="40" w:firstLine="982"/>
        <w:spacing w:after="0" w:line="283"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firstLine="7"/>
        <w:spacing w:after="0" w:line="265" w:lineRule="auto"/>
        <w:tabs>
          <w:tab w:leader="none" w:pos="30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2" w:lineRule="exact"/>
        <w:rPr>
          <w:rFonts w:ascii="Arial" w:cs="Arial" w:eastAsia="Arial" w:hAnsi="Arial"/>
          <w:sz w:val="17"/>
          <w:szCs w:val="17"/>
          <w:color w:val="auto"/>
        </w:rPr>
      </w:pPr>
    </w:p>
    <w:p>
      <w:pPr>
        <w:ind w:left="5240"/>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113" w:lineRule="exact"/>
        <w:rPr>
          <w:rFonts w:ascii="Arial" w:cs="Arial" w:eastAsia="Arial" w:hAnsi="Arial"/>
          <w:sz w:val="17"/>
          <w:szCs w:val="17"/>
          <w:color w:val="auto"/>
        </w:rPr>
      </w:pPr>
    </w:p>
    <w:p>
      <w:pPr>
        <w:ind w:right="300" w:firstLine="990"/>
        <w:spacing w:after="0" w:line="271" w:lineRule="auto"/>
        <w:tabs>
          <w:tab w:leader="none" w:pos="116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67" w:lineRule="exact"/>
        <w:rPr>
          <w:rFonts w:ascii="Arial" w:cs="Arial" w:eastAsia="Arial" w:hAnsi="Arial"/>
          <w:sz w:val="18"/>
          <w:szCs w:val="18"/>
          <w:b w:val="1"/>
          <w:bCs w:val="1"/>
          <w:color w:val="auto"/>
        </w:rPr>
      </w:pPr>
    </w:p>
    <w:p>
      <w:pPr>
        <w:ind w:right="120" w:firstLine="990"/>
        <w:spacing w:after="0" w:line="259" w:lineRule="auto"/>
        <w:tabs>
          <w:tab w:leader="none" w:pos="116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That this Third Amended and Restated Certificate of Incorporation, which restates and integrates and further amends the provisions of Corporation’s Second Amended and Restated Certificate of Incorporation, has been duly adopted in accordance with Sections 242 and 245 of the General Corporation Law.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480" w:top="272" w:right="559" w:bottom="1440" w:gutter="0" w:footer="0" w:header="0"/>
        </w:sectPr>
      </w:pPr>
    </w:p>
    <w:bookmarkStart w:id="291" w:name="page292"/>
    <w:bookmarkEnd w:id="291"/>
    <w:p>
      <w:pPr>
        <w:ind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this Third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11</w:t>
      </w:r>
      <w:r>
        <w:rPr>
          <w:rFonts w:ascii="Arial" w:cs="Arial" w:eastAsia="Arial" w:hAnsi="Arial"/>
          <w:sz w:val="15"/>
          <w:szCs w:val="15"/>
          <w:color w:val="auto"/>
        </w:rPr>
        <w:t>th</w:t>
      </w:r>
      <w:r>
        <w:rPr>
          <w:rFonts w:ascii="Arial" w:cs="Arial" w:eastAsia="Arial" w:hAnsi="Arial"/>
          <w:sz w:val="18"/>
          <w:szCs w:val="18"/>
          <w:color w:val="auto"/>
        </w:rPr>
        <w:t xml:space="preserve"> day of March 2021.</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Markus Warmuth, President</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480" w:top="268" w:right="59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08"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Monte Rosa Therapeutics, Inc., a corporation organized and existing under the laws of the State of Delaware (the “Corporation”), hereby certifies as follows:</w:t>
      </w:r>
    </w:p>
    <w:p>
      <w:pPr>
        <w:spacing w:after="0" w:line="68" w:lineRule="exact"/>
        <w:rPr>
          <w:sz w:val="20"/>
          <w:szCs w:val="20"/>
          <w:color w:val="auto"/>
        </w:rPr>
      </w:pPr>
    </w:p>
    <w:p>
      <w:pPr>
        <w:ind w:right="640" w:firstLine="444"/>
        <w:spacing w:after="0" w:line="271" w:lineRule="auto"/>
        <w:tabs>
          <w:tab w:leader="none" w:pos="6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name of the Corporation is Monte Rosa Therapeutics, Inc. The date of the filing of its original Certificate of Incorporation with the Secretary of State of the State of Delaware was November 21, 2019 (the “Original Certificate”).</w:t>
      </w:r>
    </w:p>
    <w:p>
      <w:pPr>
        <w:spacing w:after="0" w:line="67" w:lineRule="exact"/>
        <w:rPr>
          <w:rFonts w:ascii="Arial" w:cs="Arial" w:eastAsia="Arial" w:hAnsi="Arial"/>
          <w:sz w:val="18"/>
          <w:szCs w:val="18"/>
          <w:color w:val="auto"/>
        </w:rPr>
      </w:pPr>
    </w:p>
    <w:p>
      <w:pPr>
        <w:ind w:firstLine="444"/>
        <w:spacing w:after="0" w:line="255" w:lineRule="auto"/>
        <w:tabs>
          <w:tab w:leader="none" w:pos="6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This Fourth Amended and Restated Certificate of Incorporation (the “Certificate”) amends, restates and integrates the provisions of the Third Amended and Restated Certificate of Incorporation that was filed with the Secretary of State of the State of Delaware on March 11, 2021 (the “Amended and Restated Certificate”), and was duly adopted in accordance with the provisions of Sections 228, 242 and 245 of the General Corporation Law of the State of Delaware (the “DGCL”).</w:t>
      </w:r>
    </w:p>
    <w:p>
      <w:pPr>
        <w:spacing w:after="0" w:line="83" w:lineRule="exact"/>
        <w:rPr>
          <w:rFonts w:ascii="Arial" w:cs="Arial" w:eastAsia="Arial" w:hAnsi="Arial"/>
          <w:sz w:val="18"/>
          <w:szCs w:val="18"/>
          <w:color w:val="auto"/>
        </w:rPr>
      </w:pPr>
    </w:p>
    <w:p>
      <w:pPr>
        <w:ind w:left="620" w:hanging="176"/>
        <w:spacing w:after="0"/>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text of the Amended and Restated Certificate is hereby amended and restated in its entirety to provide as herein set forth in full.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Monte Rosa Therapeutics, Inc.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in the City of Wilmington, County of New Castle, 19801. The name of its registered agent at such address is The Corporation Trust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1" w:lineRule="exact"/>
        <w:rPr>
          <w:sz w:val="20"/>
          <w:szCs w:val="20"/>
          <w:color w:val="auto"/>
        </w:rPr>
      </w:pPr>
    </w:p>
    <w:p>
      <w:pPr>
        <w:ind w:right="200" w:firstLine="436"/>
        <w:spacing w:after="0" w:line="255"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five hundred and ten million (510,000,000), of which (i) five hundred million (500,000,000) shares shall be a class designated as common stock, par value $0.0001 per share (the “Common Stock”), and (ii) ten million (10,000,000) shares shall be a class designated as undesignated preferred stock, par value $0.0001 per share (the “Undesignated Preferred Stock”).</w:t>
      </w:r>
    </w:p>
    <w:p>
      <w:pPr>
        <w:sectPr>
          <w:pgSz w:w="11900" w:h="16838" w:orient="portrait"/>
          <w:cols w:equalWidth="0" w:num="1">
            <w:col w:w="10920"/>
          </w:cols>
          <w:pgMar w:left="480" w:top="121" w:right="499" w:bottom="1440" w:gutter="0" w:footer="0" w:header="0"/>
        </w:sectPr>
      </w:pPr>
    </w:p>
    <w:bookmarkStart w:id="293" w:name="page294"/>
    <w:bookmarkEnd w:id="293"/>
    <w:p>
      <w:pPr>
        <w:ind w:right="10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90"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221" w:lineRule="exact"/>
        <w:rPr>
          <w:sz w:val="20"/>
          <w:szCs w:val="20"/>
          <w:color w:val="auto"/>
        </w:rPr>
      </w:pPr>
    </w:p>
    <w:p>
      <w:pPr>
        <w:ind w:right="180" w:firstLine="982"/>
        <w:spacing w:after="0" w:line="271"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68" w:lineRule="exact"/>
        <w:rPr>
          <w:sz w:val="20"/>
          <w:szCs w:val="20"/>
          <w:color w:val="auto"/>
        </w:rPr>
      </w:pPr>
    </w:p>
    <w:p>
      <w:pPr>
        <w:ind w:firstLine="1426"/>
        <w:spacing w:after="0" w:line="268" w:lineRule="auto"/>
        <w:tabs>
          <w:tab w:leader="none" w:pos="166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72" w:lineRule="exact"/>
        <w:rPr>
          <w:rFonts w:ascii="Arial" w:cs="Arial" w:eastAsia="Arial" w:hAnsi="Arial"/>
          <w:sz w:val="17"/>
          <w:szCs w:val="17"/>
          <w:color w:val="auto"/>
        </w:rPr>
      </w:pPr>
    </w:p>
    <w:p>
      <w:pPr>
        <w:ind w:right="520" w:firstLine="1426"/>
        <w:spacing w:after="0" w:line="259" w:lineRule="auto"/>
        <w:tabs>
          <w:tab w:leader="none" w:pos="16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78" w:lineRule="exact"/>
        <w:rPr>
          <w:rFonts w:ascii="Arial" w:cs="Arial" w:eastAsia="Arial" w:hAnsi="Arial"/>
          <w:sz w:val="18"/>
          <w:szCs w:val="18"/>
          <w:color w:val="auto"/>
        </w:rPr>
      </w:pPr>
    </w:p>
    <w:p>
      <w:pPr>
        <w:ind w:right="360" w:firstLine="1426"/>
        <w:spacing w:after="0" w:line="271" w:lineRule="auto"/>
        <w:tabs>
          <w:tab w:leader="none" w:pos="166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UNDESIGNATED PREFERRED STOCK</w:t>
      </w:r>
    </w:p>
    <w:p>
      <w:pPr>
        <w:spacing w:after="0" w:line="221" w:lineRule="exact"/>
        <w:rPr>
          <w:sz w:val="20"/>
          <w:szCs w:val="20"/>
          <w:color w:val="auto"/>
        </w:rPr>
      </w:pPr>
    </w:p>
    <w:p>
      <w:pPr>
        <w:ind w:right="160" w:firstLine="982"/>
        <w:spacing w:after="0" w:line="252" w:lineRule="auto"/>
        <w:rPr>
          <w:sz w:val="20"/>
          <w:szCs w:val="20"/>
          <w:color w:val="auto"/>
        </w:rPr>
      </w:pPr>
      <w:r>
        <w:rPr>
          <w:rFonts w:ascii="Arial" w:cs="Arial" w:eastAsia="Arial" w:hAnsi="Arial"/>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 ACTION</w:t>
      </w:r>
    </w:p>
    <w:p>
      <w:pPr>
        <w:spacing w:after="0" w:line="221" w:lineRule="exact"/>
        <w:rPr>
          <w:sz w:val="20"/>
          <w:szCs w:val="20"/>
          <w:color w:val="auto"/>
        </w:rPr>
      </w:pPr>
    </w:p>
    <w:p>
      <w:pPr>
        <w:ind w:right="180" w:firstLine="444"/>
        <w:spacing w:after="0" w:line="259" w:lineRule="auto"/>
        <w:tabs>
          <w:tab w:leader="none" w:pos="61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78" w:lineRule="exact"/>
        <w:rPr>
          <w:rFonts w:ascii="Arial" w:cs="Arial" w:eastAsia="Arial" w:hAnsi="Arial"/>
          <w:sz w:val="18"/>
          <w:szCs w:val="18"/>
          <w:color w:val="auto"/>
        </w:rPr>
      </w:pPr>
    </w:p>
    <w:p>
      <w:pPr>
        <w:ind w:firstLine="444"/>
        <w:spacing w:after="0" w:line="253" w:lineRule="auto"/>
        <w:tabs>
          <w:tab w:leader="none" w:pos="61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1" w:lineRule="exact"/>
        <w:rPr>
          <w:sz w:val="20"/>
          <w:szCs w:val="20"/>
          <w:color w:val="auto"/>
        </w:rPr>
      </w:pPr>
    </w:p>
    <w:p>
      <w:pPr>
        <w:ind w:right="200" w:firstLine="444"/>
        <w:spacing w:after="0" w:line="271" w:lineRule="auto"/>
        <w:tabs>
          <w:tab w:leader="none" w:pos="61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67" w:lineRule="exact"/>
        <w:rPr>
          <w:rFonts w:ascii="Arial" w:cs="Arial" w:eastAsia="Arial" w:hAnsi="Arial"/>
          <w:sz w:val="18"/>
          <w:szCs w:val="18"/>
          <w:color w:val="auto"/>
        </w:rPr>
      </w:pPr>
    </w:p>
    <w:p>
      <w:pPr>
        <w:ind w:left="620" w:hanging="176"/>
        <w:spacing w:after="0"/>
        <w:tabs>
          <w:tab w:leader="none" w:pos="62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“By-laws”) shall so</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w:t>
      </w:r>
    </w:p>
    <w:p>
      <w:pPr>
        <w:spacing w:after="0" w:line="101" w:lineRule="exact"/>
        <w:rPr>
          <w:rFonts w:ascii="Arial" w:cs="Arial" w:eastAsia="Arial" w:hAnsi="Arial"/>
          <w:sz w:val="17"/>
          <w:szCs w:val="17"/>
          <w:color w:val="auto"/>
        </w:rPr>
      </w:pPr>
    </w:p>
    <w:p>
      <w:pPr>
        <w:ind w:right="40" w:firstLine="444"/>
        <w:spacing w:after="0" w:line="266" w:lineRule="auto"/>
        <w:tabs>
          <w:tab w:leader="none" w:pos="615"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Christine Siu, Kimberly Blackwell and Bradley Bolzon; the initial Class II Directors of the Corporation shall be Andrew Schiff and Chandra Leo; and the initial Class III Directors of the Corporation shall be Markus Warmuth, Alexander Mayweg and Ali Behbahani. The mailing address of each person who is to serve initially as a director is c/o Monte Rosa Therapeutics, Inc., 645 Summer Street, Suite 102, Boston, MA 02210.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295" w:name="page296"/>
    <w:bookmarkEnd w:id="295"/>
    <w:p>
      <w:pPr>
        <w:ind w:right="14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83" w:lineRule="exact"/>
        <w:rPr>
          <w:sz w:val="20"/>
          <w:szCs w:val="20"/>
          <w:color w:val="auto"/>
        </w:rPr>
      </w:pPr>
    </w:p>
    <w:p>
      <w:pPr>
        <w:ind w:firstLine="444"/>
        <w:spacing w:after="0" w:line="284" w:lineRule="auto"/>
        <w:tabs>
          <w:tab w:leader="none" w:pos="61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65" w:lineRule="exact"/>
        <w:rPr>
          <w:rFonts w:ascii="Arial" w:cs="Arial" w:eastAsia="Arial" w:hAnsi="Arial"/>
          <w:sz w:val="16"/>
          <w:szCs w:val="16"/>
          <w:color w:val="auto"/>
        </w:rPr>
      </w:pPr>
    </w:p>
    <w:p>
      <w:pPr>
        <w:ind w:right="20" w:firstLine="444"/>
        <w:spacing w:after="0" w:line="252" w:lineRule="auto"/>
        <w:tabs>
          <w:tab w:leader="none" w:pos="61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OF LIABILITY</w:t>
      </w:r>
    </w:p>
    <w:p>
      <w:pPr>
        <w:spacing w:after="0" w:line="221" w:lineRule="exact"/>
        <w:rPr>
          <w:sz w:val="20"/>
          <w:szCs w:val="20"/>
          <w:color w:val="auto"/>
        </w:rPr>
      </w:pPr>
    </w:p>
    <w:p>
      <w:pPr>
        <w:ind w:right="60" w:firstLine="436"/>
        <w:spacing w:after="0" w:line="252"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4" w:lineRule="exact"/>
        <w:rPr>
          <w:sz w:val="20"/>
          <w:szCs w:val="20"/>
          <w:color w:val="auto"/>
        </w:rPr>
      </w:pPr>
    </w:p>
    <w:p>
      <w:pPr>
        <w:ind w:right="60" w:firstLine="436"/>
        <w:spacing w:after="0" w:line="307"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221" w:lineRule="exact"/>
        <w:rPr>
          <w:sz w:val="20"/>
          <w:szCs w:val="20"/>
          <w:color w:val="auto"/>
        </w:rPr>
      </w:pPr>
    </w:p>
    <w:p>
      <w:pPr>
        <w:ind w:right="200" w:firstLine="444"/>
        <w:spacing w:after="0" w:line="271" w:lineRule="auto"/>
        <w:tabs>
          <w:tab w:leader="none" w:pos="61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67" w:lineRule="exact"/>
        <w:rPr>
          <w:rFonts w:ascii="Arial" w:cs="Arial" w:eastAsia="Arial" w:hAnsi="Arial"/>
          <w:sz w:val="18"/>
          <w:szCs w:val="18"/>
          <w:color w:val="auto"/>
        </w:rPr>
      </w:pPr>
    </w:p>
    <w:p>
      <w:pPr>
        <w:ind w:firstLine="444"/>
        <w:spacing w:after="0" w:line="293" w:lineRule="auto"/>
        <w:tabs>
          <w:tab w:leader="none" w:pos="61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xml:space="preserve">.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IX</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21"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affirmative vote of not less than two-thirds (2/3) of the outstanding shares of capital stock entitled to vote on such amendment or repeal, and the affirmative vote of not less than two-thirds (2/3) of the outstanding shares of each class entitled to vote thereon as a class, shall be required to amend or repeal any provision of Article V, Article VI, Article VII, Article VIII or Article IX of this Certificate.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Text</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FOURTH AMENDED AND RESTATED CERTIFICATE OF INCORPORATION is executed as of this ____ day of ___________, 2021.</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MONTE ROSA THERAPEUTICS, INC.</w:t>
      </w:r>
    </w:p>
    <w:p>
      <w:pPr>
        <w:spacing w:after="0" w:line="2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ind w:left="6120"/>
        <w:spacing w:after="0"/>
        <w:tabs>
          <w:tab w:leader="none" w:pos="66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280"/>
          </w:cols>
          <w:pgMar w:left="920" w:top="272" w:right="69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25" w:lineRule="exact"/>
        <w:rPr>
          <w:sz w:val="20"/>
          <w:szCs w:val="20"/>
          <w:color w:val="auto"/>
        </w:rPr>
      </w:pPr>
    </w:p>
    <w:p>
      <w:pPr>
        <w:ind w:left="620" w:hanging="176"/>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Stockholders</w:t>
      </w:r>
    </w:p>
    <w:p>
      <w:pPr>
        <w:spacing w:after="0" w:line="113" w:lineRule="exact"/>
        <w:rPr>
          <w:rFonts w:ascii="Arial" w:cs="Arial" w:eastAsia="Arial" w:hAnsi="Arial"/>
          <w:sz w:val="18"/>
          <w:szCs w:val="18"/>
          <w:color w:val="auto"/>
        </w:rPr>
      </w:pPr>
    </w:p>
    <w:p>
      <w:pPr>
        <w:ind w:right="20" w:firstLine="990"/>
        <w:spacing w:after="0" w:line="272" w:lineRule="auto"/>
        <w:tabs>
          <w:tab w:leader="none" w:pos="1224"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w:t>
      </w:r>
    </w:p>
    <w:p>
      <w:pPr>
        <w:spacing w:after="0" w:line="69" w:lineRule="exact"/>
        <w:rPr>
          <w:rFonts w:ascii="Arial" w:cs="Arial" w:eastAsia="Arial" w:hAnsi="Arial"/>
          <w:sz w:val="17"/>
          <w:szCs w:val="17"/>
          <w:color w:val="auto"/>
        </w:rPr>
      </w:pPr>
    </w:p>
    <w:p>
      <w:pPr>
        <w:ind w:right="100" w:firstLine="990"/>
        <w:spacing w:after="0" w:line="255" w:lineRule="auto"/>
        <w:tabs>
          <w:tab w:leader="none" w:pos="1234"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83" w:lineRule="exact"/>
        <w:rPr>
          <w:rFonts w:ascii="Arial" w:cs="Arial" w:eastAsia="Arial" w:hAnsi="Arial"/>
          <w:sz w:val="18"/>
          <w:szCs w:val="18"/>
          <w:color w:val="auto"/>
        </w:rPr>
      </w:pPr>
    </w:p>
    <w:p>
      <w:pPr>
        <w:ind w:right="100" w:firstLine="990"/>
        <w:spacing w:after="0" w:line="287" w:lineRule="auto"/>
        <w:tabs>
          <w:tab w:leader="none" w:pos="1224"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stating the place, if any, date and hour of the meeting, the means of remote communications, if any, by which stockholders and proxy 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66"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If a meeting is adjourned to another time or place, notice need not be given of the adjourned meeting if the time and place, if any, and the means of remote communications, if any, by which stockholders and proxy 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0920"/>
          </w:cols>
          <w:pgMar w:left="480" w:top="121" w:right="499" w:bottom="1440" w:gutter="0" w:footer="0" w:header="0"/>
        </w:sectPr>
      </w:pPr>
    </w:p>
    <w:bookmarkStart w:id="300" w:name="page301"/>
    <w:bookmarkEnd w:id="300"/>
    <w:p>
      <w:pPr>
        <w:jc w:val="both"/>
        <w:ind w:left="-20" w:firstLine="990"/>
        <w:spacing w:after="0" w:line="275" w:lineRule="auto"/>
        <w:tabs>
          <w:tab w:leader="none" w:pos="1214"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Quorum</w:t>
      </w:r>
      <w:r>
        <w:rPr>
          <w:rFonts w:ascii="Arial" w:cs="Arial" w:eastAsia="Arial" w:hAnsi="Arial"/>
          <w:sz w:val="17"/>
          <w:szCs w:val="17"/>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66" w:lineRule="exact"/>
        <w:rPr>
          <w:rFonts w:ascii="Arial" w:cs="Arial" w:eastAsia="Arial" w:hAnsi="Arial"/>
          <w:sz w:val="17"/>
          <w:szCs w:val="17"/>
          <w:color w:val="auto"/>
        </w:rPr>
      </w:pPr>
    </w:p>
    <w:p>
      <w:pPr>
        <w:ind w:left="-20" w:right="60" w:firstLine="990"/>
        <w:spacing w:after="0" w:line="269" w:lineRule="auto"/>
        <w:tabs>
          <w:tab w:leader="none" w:pos="1204"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Voting and Proxies</w:t>
      </w:r>
      <w:r>
        <w:rPr>
          <w:rFonts w:ascii="Arial" w:cs="Arial" w:eastAsia="Arial" w:hAnsi="Arial"/>
          <w:sz w:val="17"/>
          <w:szCs w:val="17"/>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71" w:lineRule="exact"/>
        <w:rPr>
          <w:rFonts w:ascii="Arial" w:cs="Arial" w:eastAsia="Arial" w:hAnsi="Arial"/>
          <w:sz w:val="17"/>
          <w:szCs w:val="17"/>
          <w:color w:val="auto"/>
        </w:rPr>
      </w:pPr>
    </w:p>
    <w:p>
      <w:pPr>
        <w:ind w:left="-20" w:right="20" w:firstLine="990"/>
        <w:spacing w:after="0" w:line="272" w:lineRule="auto"/>
        <w:tabs>
          <w:tab w:leader="none" w:pos="1185"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69" w:lineRule="exact"/>
        <w:rPr>
          <w:rFonts w:ascii="Arial" w:cs="Arial" w:eastAsia="Arial" w:hAnsi="Arial"/>
          <w:sz w:val="17"/>
          <w:szCs w:val="17"/>
          <w:color w:val="auto"/>
        </w:rPr>
      </w:pPr>
    </w:p>
    <w:p>
      <w:pPr>
        <w:ind w:left="-20" w:right="120" w:firstLine="990"/>
        <w:spacing w:after="0" w:line="255" w:lineRule="auto"/>
        <w:tabs>
          <w:tab w:leader="none" w:pos="1214"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Presiding Officer</w:t>
      </w:r>
      <w:r>
        <w:rPr>
          <w:rFonts w:ascii="Arial" w:cs="Arial" w:eastAsia="Arial" w:hAnsi="Arial"/>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83" w:lineRule="exact"/>
        <w:rPr>
          <w:rFonts w:ascii="Arial" w:cs="Arial" w:eastAsia="Arial" w:hAnsi="Arial"/>
          <w:sz w:val="18"/>
          <w:szCs w:val="18"/>
          <w:color w:val="auto"/>
        </w:rPr>
      </w:pPr>
    </w:p>
    <w:p>
      <w:pPr>
        <w:ind w:left="-20" w:right="80" w:firstLine="990"/>
        <w:spacing w:after="0" w:line="270" w:lineRule="auto"/>
        <w:tabs>
          <w:tab w:leader="none" w:pos="1214"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3" w:right="499" w:bottom="1440" w:gutter="0" w:footer="0" w:header="0"/>
        </w:sectPr>
      </w:pPr>
    </w:p>
    <w:bookmarkStart w:id="301" w:name="page302"/>
    <w:bookmarkEnd w:id="301"/>
    <w:p>
      <w:pPr>
        <w:ind w:righ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w:t>
      </w:r>
    </w:p>
    <w:p>
      <w:pPr>
        <w:spacing w:after="0" w:line="1" w:lineRule="exact"/>
        <w:rPr>
          <w:sz w:val="20"/>
          <w:szCs w:val="20"/>
          <w:color w:val="auto"/>
        </w:rPr>
      </w:pPr>
    </w:p>
    <w:p>
      <w:pPr>
        <w:ind w:right="520" w:firstLine="7"/>
        <w:spacing w:after="0" w:line="252" w:lineRule="auto"/>
        <w:tabs>
          <w:tab w:leader="none" w:pos="30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84" w:lineRule="exact"/>
        <w:rPr>
          <w:rFonts w:ascii="Arial" w:cs="Arial" w:eastAsia="Arial" w:hAnsi="Arial"/>
          <w:sz w:val="18"/>
          <w:szCs w:val="18"/>
          <w:color w:val="auto"/>
        </w:rPr>
      </w:pPr>
    </w:p>
    <w:p>
      <w:pPr>
        <w:ind w:firstLine="990"/>
        <w:spacing w:after="0" w:line="267" w:lineRule="auto"/>
        <w:tabs>
          <w:tab w:leader="none" w:pos="1195" w:val="left"/>
        </w:tabs>
        <w:numPr>
          <w:ilvl w:val="2"/>
          <w:numId w:val="191"/>
        </w:numPr>
        <w:rPr>
          <w:rFonts w:ascii="Arial" w:cs="Arial" w:eastAsia="Arial" w:hAnsi="Arial"/>
          <w:sz w:val="17"/>
          <w:szCs w:val="17"/>
          <w:color w:val="auto"/>
        </w:rPr>
      </w:pP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72" w:lineRule="exact"/>
        <w:rPr>
          <w:rFonts w:ascii="Arial" w:cs="Arial" w:eastAsia="Arial" w:hAnsi="Arial"/>
          <w:sz w:val="17"/>
          <w:szCs w:val="17"/>
          <w:color w:val="auto"/>
        </w:rPr>
      </w:pPr>
    </w:p>
    <w:p>
      <w:pPr>
        <w:ind w:right="60" w:firstLine="990"/>
        <w:spacing w:after="0" w:line="290" w:lineRule="auto"/>
        <w:tabs>
          <w:tab w:leader="none" w:pos="1195"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Stockholder Lists</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56" w:lineRule="exact"/>
        <w:rPr>
          <w:rFonts w:ascii="Arial" w:cs="Arial" w:eastAsia="Arial" w:hAnsi="Arial"/>
          <w:sz w:val="16"/>
          <w:szCs w:val="16"/>
          <w:color w:val="auto"/>
        </w:rPr>
      </w:pPr>
    </w:p>
    <w:p>
      <w:pPr>
        <w:ind w:left="620" w:hanging="176"/>
        <w:spacing w:after="0"/>
        <w:tabs>
          <w:tab w:leader="none" w:pos="6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Directors</w:t>
      </w:r>
    </w:p>
    <w:p>
      <w:pPr>
        <w:spacing w:after="0" w:line="113" w:lineRule="exact"/>
        <w:rPr>
          <w:rFonts w:ascii="Arial" w:cs="Arial" w:eastAsia="Arial" w:hAnsi="Arial"/>
          <w:sz w:val="18"/>
          <w:szCs w:val="18"/>
          <w:color w:val="auto"/>
        </w:rPr>
      </w:pPr>
    </w:p>
    <w:p>
      <w:pPr>
        <w:ind w:right="60" w:firstLine="990"/>
        <w:spacing w:after="0" w:line="307" w:lineRule="auto"/>
        <w:tabs>
          <w:tab w:leader="none" w:pos="1224"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Powers</w:t>
      </w:r>
      <w:r>
        <w:rPr>
          <w:rFonts w:ascii="Arial" w:cs="Arial" w:eastAsia="Arial" w:hAnsi="Arial"/>
          <w:sz w:val="16"/>
          <w:szCs w:val="16"/>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3" w:right="519" w:bottom="1440" w:gutter="0" w:footer="0" w:header="0"/>
        </w:sectPr>
      </w:pPr>
    </w:p>
    <w:bookmarkStart w:id="302" w:name="page303"/>
    <w:bookmarkEnd w:id="302"/>
    <w:p>
      <w:pPr>
        <w:ind w:left="-20" w:firstLine="990"/>
        <w:spacing w:after="0" w:line="335" w:lineRule="auto"/>
        <w:tabs>
          <w:tab w:leader="none" w:pos="1214"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Number and Qualification</w:t>
      </w:r>
      <w:r>
        <w:rPr>
          <w:rFonts w:ascii="Arial" w:cs="Arial" w:eastAsia="Arial" w:hAnsi="Arial"/>
          <w:sz w:val="16"/>
          <w:szCs w:val="16"/>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21" w:lineRule="exact"/>
        <w:rPr>
          <w:rFonts w:ascii="Arial" w:cs="Arial" w:eastAsia="Arial" w:hAnsi="Arial"/>
          <w:sz w:val="16"/>
          <w:szCs w:val="16"/>
          <w:color w:val="auto"/>
        </w:rPr>
      </w:pPr>
    </w:p>
    <w:p>
      <w:pPr>
        <w:ind w:left="-20" w:right="260" w:firstLine="990"/>
        <w:spacing w:after="0" w:line="281" w:lineRule="auto"/>
        <w:tabs>
          <w:tab w:leader="none" w:pos="1204"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Vacancies; Reduction of Board</w:t>
      </w:r>
      <w:r>
        <w:rPr>
          <w:rFonts w:ascii="Arial" w:cs="Arial" w:eastAsia="Arial" w:hAnsi="Arial"/>
          <w:sz w:val="17"/>
          <w:szCs w:val="17"/>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62" w:lineRule="exact"/>
        <w:rPr>
          <w:rFonts w:ascii="Arial" w:cs="Arial" w:eastAsia="Arial" w:hAnsi="Arial"/>
          <w:sz w:val="17"/>
          <w:szCs w:val="17"/>
          <w:color w:val="auto"/>
        </w:rPr>
      </w:pPr>
    </w:p>
    <w:p>
      <w:pPr>
        <w:jc w:val="both"/>
        <w:ind w:left="-20" w:right="120" w:firstLine="990"/>
        <w:spacing w:after="0" w:line="255" w:lineRule="auto"/>
        <w:tabs>
          <w:tab w:leader="none" w:pos="121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83" w:lineRule="exact"/>
        <w:rPr>
          <w:rFonts w:ascii="Arial" w:cs="Arial" w:eastAsia="Arial" w:hAnsi="Arial"/>
          <w:sz w:val="18"/>
          <w:szCs w:val="18"/>
          <w:color w:val="auto"/>
        </w:rPr>
      </w:pPr>
    </w:p>
    <w:p>
      <w:pPr>
        <w:ind w:left="-20" w:right="440" w:firstLine="990"/>
        <w:spacing w:after="0" w:line="271" w:lineRule="auto"/>
        <w:tabs>
          <w:tab w:leader="none" w:pos="12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67" w:lineRule="exact"/>
        <w:rPr>
          <w:rFonts w:ascii="Arial" w:cs="Arial" w:eastAsia="Arial" w:hAnsi="Arial"/>
          <w:sz w:val="18"/>
          <w:szCs w:val="18"/>
          <w:color w:val="auto"/>
        </w:rPr>
      </w:pPr>
    </w:p>
    <w:p>
      <w:pPr>
        <w:ind w:left="-20" w:right="40" w:firstLine="990"/>
        <w:spacing w:after="0" w:line="252" w:lineRule="auto"/>
        <w:tabs>
          <w:tab w:leader="none" w:pos="118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86" w:lineRule="exact"/>
        <w:rPr>
          <w:rFonts w:ascii="Arial" w:cs="Arial" w:eastAsia="Arial" w:hAnsi="Arial"/>
          <w:sz w:val="18"/>
          <w:szCs w:val="18"/>
          <w:color w:val="auto"/>
        </w:rPr>
      </w:pPr>
    </w:p>
    <w:p>
      <w:pPr>
        <w:ind w:left="-20" w:right="100" w:firstLine="990"/>
        <w:spacing w:after="0" w:line="272" w:lineRule="auto"/>
        <w:tabs>
          <w:tab w:leader="none" w:pos="1214"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69" w:lineRule="exact"/>
        <w:rPr>
          <w:rFonts w:ascii="Arial" w:cs="Arial" w:eastAsia="Arial" w:hAnsi="Arial"/>
          <w:sz w:val="17"/>
          <w:szCs w:val="17"/>
          <w:color w:val="auto"/>
        </w:rPr>
      </w:pPr>
    </w:p>
    <w:p>
      <w:pPr>
        <w:ind w:left="-20" w:right="140" w:firstLine="990"/>
        <w:spacing w:after="0" w:line="255" w:lineRule="auto"/>
        <w:tabs>
          <w:tab w:leader="none" w:pos="121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the greater of (a) a majority of the directors then in office at the time quorum is to be determined and (b) one-third of the total number of directors fixed pursuant to Section 2(b) of these By-laws shall constitute a quorum for the transaction of business. Less than a quorum may adjourn any meeting from time to time and the meeting may be held as adjourned without further notice.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3" w:right="499" w:bottom="1440" w:gutter="0" w:footer="0" w:header="0"/>
        </w:sectPr>
      </w:pPr>
    </w:p>
    <w:bookmarkStart w:id="303" w:name="page304"/>
    <w:bookmarkEnd w:id="303"/>
    <w:p>
      <w:pPr>
        <w:ind w:right="100" w:firstLine="990"/>
        <w:spacing w:after="0" w:line="255" w:lineRule="auto"/>
        <w:tabs>
          <w:tab w:leader="none" w:pos="119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Action at Meeting</w:t>
      </w:r>
      <w:r>
        <w:rPr>
          <w:rFonts w:ascii="Arial" w:cs="Arial" w:eastAsia="Arial" w:hAnsi="Arial"/>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83" w:lineRule="exact"/>
        <w:rPr>
          <w:rFonts w:ascii="Arial" w:cs="Arial" w:eastAsia="Arial" w:hAnsi="Arial"/>
          <w:sz w:val="18"/>
          <w:szCs w:val="18"/>
          <w:color w:val="auto"/>
        </w:rPr>
      </w:pPr>
    </w:p>
    <w:p>
      <w:pPr>
        <w:jc w:val="both"/>
        <w:ind w:right="160" w:firstLine="990"/>
        <w:spacing w:after="0" w:line="275" w:lineRule="auto"/>
        <w:tabs>
          <w:tab w:leader="none" w:pos="1195"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66" w:lineRule="exact"/>
        <w:rPr>
          <w:rFonts w:ascii="Arial" w:cs="Arial" w:eastAsia="Arial" w:hAnsi="Arial"/>
          <w:sz w:val="17"/>
          <w:szCs w:val="17"/>
          <w:color w:val="auto"/>
        </w:rPr>
      </w:pPr>
    </w:p>
    <w:p>
      <w:pPr>
        <w:ind w:right="40" w:firstLine="990"/>
        <w:spacing w:after="0" w:line="252" w:lineRule="auto"/>
        <w:tabs>
          <w:tab w:leader="none" w:pos="1234"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94" w:lineRule="exact"/>
        <w:rPr>
          <w:sz w:val="20"/>
          <w:szCs w:val="20"/>
          <w:color w:val="auto"/>
        </w:rPr>
      </w:pPr>
    </w:p>
    <w:p>
      <w:pPr>
        <w:ind w:right="60" w:firstLine="436"/>
        <w:spacing w:after="0" w:line="272" w:lineRule="auto"/>
        <w:rPr>
          <w:sz w:val="20"/>
          <w:szCs w:val="20"/>
          <w:color w:val="auto"/>
        </w:rPr>
      </w:pPr>
      <w:r>
        <w:rPr>
          <w:rFonts w:ascii="Arial" w:cs="Arial" w:eastAsia="Arial" w:hAnsi="Arial"/>
          <w:sz w:val="17"/>
          <w:szCs w:val="17"/>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w:t>
      </w:r>
    </w:p>
    <w:p>
      <w:pPr>
        <w:spacing w:after="0" w:line="176"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83" w:lineRule="exact"/>
        <w:rPr>
          <w:sz w:val="20"/>
          <w:szCs w:val="20"/>
          <w:color w:val="auto"/>
        </w:rPr>
      </w:pPr>
    </w:p>
    <w:p>
      <w:pPr>
        <w:ind w:left="620" w:hanging="176"/>
        <w:spacing w:after="0"/>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Officers</w:t>
      </w:r>
    </w:p>
    <w:p>
      <w:pPr>
        <w:spacing w:after="0" w:line="113" w:lineRule="exact"/>
        <w:rPr>
          <w:rFonts w:ascii="Arial" w:cs="Arial" w:eastAsia="Arial" w:hAnsi="Arial"/>
          <w:sz w:val="18"/>
          <w:szCs w:val="18"/>
          <w:color w:val="auto"/>
        </w:rPr>
      </w:pPr>
    </w:p>
    <w:p>
      <w:pPr>
        <w:ind w:right="20" w:firstLine="990"/>
        <w:spacing w:after="0" w:line="253" w:lineRule="auto"/>
        <w:tabs>
          <w:tab w:leader="none" w:pos="1224"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480" w:top="272" w:right="559" w:bottom="1440" w:gutter="0" w:footer="0" w:header="0"/>
        </w:sectPr>
      </w:pPr>
    </w:p>
    <w:bookmarkStart w:id="304" w:name="page305"/>
    <w:bookmarkEnd w:id="304"/>
    <w:p>
      <w:pPr>
        <w:ind w:right="240" w:firstLine="990"/>
        <w:spacing w:after="0" w:line="335" w:lineRule="auto"/>
        <w:tabs>
          <w:tab w:leader="none" w:pos="1234"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Election</w:t>
      </w:r>
      <w:r>
        <w:rPr>
          <w:rFonts w:ascii="Arial" w:cs="Arial" w:eastAsia="Arial" w:hAnsi="Arial"/>
          <w:sz w:val="16"/>
          <w:szCs w:val="16"/>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21" w:lineRule="exact"/>
        <w:rPr>
          <w:rFonts w:ascii="Arial" w:cs="Arial" w:eastAsia="Arial" w:hAnsi="Arial"/>
          <w:sz w:val="16"/>
          <w:szCs w:val="16"/>
          <w:color w:val="auto"/>
        </w:rPr>
      </w:pPr>
    </w:p>
    <w:p>
      <w:pPr>
        <w:ind w:right="60" w:firstLine="990"/>
        <w:spacing w:after="0" w:line="259" w:lineRule="auto"/>
        <w:tabs>
          <w:tab w:leader="none" w:pos="1224"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78" w:lineRule="exact"/>
        <w:rPr>
          <w:rFonts w:ascii="Arial" w:cs="Arial" w:eastAsia="Arial" w:hAnsi="Arial"/>
          <w:sz w:val="18"/>
          <w:szCs w:val="18"/>
          <w:color w:val="auto"/>
        </w:rPr>
      </w:pPr>
    </w:p>
    <w:p>
      <w:pPr>
        <w:ind w:right="120" w:firstLine="990"/>
        <w:spacing w:after="0" w:line="253" w:lineRule="auto"/>
        <w:tabs>
          <w:tab w:leader="none" w:pos="1234"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85" w:lineRule="exact"/>
        <w:rPr>
          <w:rFonts w:ascii="Arial" w:cs="Arial" w:eastAsia="Arial" w:hAnsi="Arial"/>
          <w:sz w:val="18"/>
          <w:szCs w:val="18"/>
          <w:color w:val="auto"/>
        </w:rPr>
      </w:pPr>
    </w:p>
    <w:p>
      <w:pPr>
        <w:ind w:left="1240" w:hanging="250"/>
        <w:spacing w:after="0"/>
        <w:tabs>
          <w:tab w:leader="none" w:pos="12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The Board of Directors may remove any officer with or without cause by a vote of a majority of the directors then in office.</w:t>
      </w:r>
    </w:p>
    <w:p>
      <w:pPr>
        <w:spacing w:after="0" w:line="136" w:lineRule="exact"/>
        <w:rPr>
          <w:rFonts w:ascii="Arial" w:cs="Arial" w:eastAsia="Arial" w:hAnsi="Arial"/>
          <w:sz w:val="16"/>
          <w:szCs w:val="16"/>
          <w:color w:val="auto"/>
        </w:rPr>
      </w:pPr>
    </w:p>
    <w:p>
      <w:pPr>
        <w:ind w:left="1220" w:hanging="230"/>
        <w:spacing w:after="0"/>
        <w:tabs>
          <w:tab w:leader="none" w:pos="122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13" w:lineRule="exact"/>
        <w:rPr>
          <w:rFonts w:ascii="Arial" w:cs="Arial" w:eastAsia="Arial" w:hAnsi="Arial"/>
          <w:sz w:val="18"/>
          <w:szCs w:val="18"/>
          <w:color w:val="auto"/>
        </w:rPr>
      </w:pPr>
    </w:p>
    <w:p>
      <w:pPr>
        <w:ind w:right="100" w:firstLine="990"/>
        <w:spacing w:after="0" w:line="281" w:lineRule="auto"/>
        <w:tabs>
          <w:tab w:leader="none" w:pos="1234"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Chairman of the Board and Vice Chairman</w:t>
      </w:r>
      <w:r>
        <w:rPr>
          <w:rFonts w:ascii="Arial" w:cs="Arial" w:eastAsia="Arial" w:hAnsi="Arial"/>
          <w:sz w:val="17"/>
          <w:szCs w:val="17"/>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62" w:lineRule="exact"/>
        <w:rPr>
          <w:sz w:val="20"/>
          <w:szCs w:val="20"/>
          <w:color w:val="auto"/>
        </w:rPr>
      </w:pPr>
    </w:p>
    <w:p>
      <w:pPr>
        <w:jc w:val="both"/>
        <w:ind w:right="340" w:firstLine="436"/>
        <w:spacing w:after="0" w:line="281" w:lineRule="auto"/>
        <w:rPr>
          <w:sz w:val="20"/>
          <w:szCs w:val="20"/>
          <w:color w:val="auto"/>
        </w:rPr>
      </w:pPr>
      <w:r>
        <w:rPr>
          <w:rFonts w:ascii="Arial" w:cs="Arial" w:eastAsia="Arial" w:hAnsi="Arial"/>
          <w:sz w:val="17"/>
          <w:szCs w:val="17"/>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62" w:lineRule="exact"/>
        <w:rPr>
          <w:sz w:val="20"/>
          <w:szCs w:val="20"/>
          <w:color w:val="auto"/>
        </w:rPr>
      </w:pPr>
    </w:p>
    <w:p>
      <w:pPr>
        <w:ind w:right="300" w:firstLine="990"/>
        <w:spacing w:after="0" w:line="271" w:lineRule="auto"/>
        <w:tabs>
          <w:tab w:leader="none" w:pos="123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67" w:lineRule="exact"/>
        <w:rPr>
          <w:rFonts w:ascii="Arial" w:cs="Arial" w:eastAsia="Arial" w:hAnsi="Arial"/>
          <w:sz w:val="18"/>
          <w:szCs w:val="18"/>
          <w:color w:val="auto"/>
        </w:rPr>
      </w:pPr>
    </w:p>
    <w:p>
      <w:pPr>
        <w:jc w:val="both"/>
        <w:ind w:firstLine="990"/>
        <w:spacing w:after="0" w:line="275" w:lineRule="auto"/>
        <w:tabs>
          <w:tab w:leader="none" w:pos="1195"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Presidents</w:t>
      </w:r>
      <w:r>
        <w:rPr>
          <w:rFonts w:ascii="Arial" w:cs="Arial" w:eastAsia="Arial" w:hAnsi="Arial"/>
          <w:sz w:val="17"/>
          <w:szCs w:val="17"/>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05" w:name="page306"/>
    <w:bookmarkEnd w:id="305"/>
    <w:p>
      <w:pPr>
        <w:ind w:left="-40" w:right="220" w:firstLine="990"/>
        <w:spacing w:after="0" w:line="335" w:lineRule="auto"/>
        <w:tabs>
          <w:tab w:leader="none" w:pos="1155"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Vice Presidents and Assistant Vice Presidents</w:t>
      </w:r>
      <w:r>
        <w:rPr>
          <w:rFonts w:ascii="Arial" w:cs="Arial" w:eastAsia="Arial" w:hAnsi="Arial"/>
          <w:sz w:val="16"/>
          <w:szCs w:val="16"/>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21" w:lineRule="exact"/>
        <w:rPr>
          <w:rFonts w:ascii="Arial" w:cs="Arial" w:eastAsia="Arial" w:hAnsi="Arial"/>
          <w:sz w:val="16"/>
          <w:szCs w:val="16"/>
          <w:color w:val="auto"/>
        </w:rPr>
      </w:pPr>
    </w:p>
    <w:p>
      <w:pPr>
        <w:jc w:val="both"/>
        <w:ind w:left="-40" w:right="160" w:firstLine="990"/>
        <w:spacing w:after="0" w:line="275" w:lineRule="auto"/>
        <w:tabs>
          <w:tab w:leader="none" w:pos="1194"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Treasurer and Assistant Treasurers</w:t>
      </w:r>
      <w:r>
        <w:rPr>
          <w:rFonts w:ascii="Arial" w:cs="Arial" w:eastAsia="Arial" w:hAnsi="Arial"/>
          <w:sz w:val="17"/>
          <w:szCs w:val="17"/>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Assistant Treasurer shall have such powers and perform such duties as the Board of Directors may from time to time designate.</w:t>
      </w:r>
    </w:p>
    <w:p>
      <w:pPr>
        <w:spacing w:after="0" w:line="125" w:lineRule="exact"/>
        <w:rPr>
          <w:sz w:val="20"/>
          <w:szCs w:val="20"/>
          <w:color w:val="auto"/>
        </w:rPr>
      </w:pPr>
    </w:p>
    <w:p>
      <w:pPr>
        <w:ind w:left="-40" w:right="60" w:firstLine="990"/>
        <w:spacing w:after="0" w:line="253" w:lineRule="auto"/>
        <w:tabs>
          <w:tab w:leader="none" w:pos="115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Assistant Secretary shall have such powers and perform such duties as the Board of Directors may from time to time designate.</w:t>
      </w:r>
    </w:p>
    <w:p>
      <w:pPr>
        <w:spacing w:after="0" w:line="125" w:lineRule="exact"/>
        <w:rPr>
          <w:sz w:val="20"/>
          <w:szCs w:val="20"/>
          <w:color w:val="auto"/>
        </w:rPr>
      </w:pPr>
    </w:p>
    <w:p>
      <w:pPr>
        <w:ind w:left="-40" w:right="40" w:firstLine="990"/>
        <w:spacing w:after="0" w:line="259" w:lineRule="auto"/>
        <w:tabs>
          <w:tab w:leader="none" w:pos="1244"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78" w:lineRule="exact"/>
        <w:rPr>
          <w:rFonts w:ascii="Arial" w:cs="Arial" w:eastAsia="Arial" w:hAnsi="Arial"/>
          <w:sz w:val="18"/>
          <w:szCs w:val="18"/>
          <w:color w:val="auto"/>
        </w:rPr>
      </w:pPr>
    </w:p>
    <w:p>
      <w:pPr>
        <w:ind w:left="580" w:hanging="176"/>
        <w:spacing w:after="0"/>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13" w:lineRule="exact"/>
        <w:rPr>
          <w:rFonts w:ascii="Arial" w:cs="Arial" w:eastAsia="Arial" w:hAnsi="Arial"/>
          <w:sz w:val="18"/>
          <w:szCs w:val="18"/>
          <w:color w:val="auto"/>
        </w:rPr>
      </w:pPr>
    </w:p>
    <w:p>
      <w:pPr>
        <w:ind w:left="-40" w:firstLine="990"/>
        <w:spacing w:after="0" w:line="288" w:lineRule="auto"/>
        <w:tabs>
          <w:tab w:leader="none" w:pos="1184"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or in the name of, the Corporation by any two (2) authorized officers of the Corporation.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20" w:top="272" w:right="519" w:bottom="1440" w:gutter="0" w:footer="0" w:header="0"/>
        </w:sectPr>
      </w:pPr>
    </w:p>
    <w:bookmarkStart w:id="306" w:name="page307"/>
    <w:bookmarkEnd w:id="306"/>
    <w:p>
      <w:pPr>
        <w:ind w:right="20" w:firstLine="990"/>
        <w:spacing w:after="0" w:line="255" w:lineRule="auto"/>
        <w:tabs>
          <w:tab w:leader="none" w:pos="123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Transfers</w:t>
      </w:r>
      <w:r>
        <w:rPr>
          <w:rFonts w:ascii="Arial" w:cs="Arial" w:eastAsia="Arial" w:hAnsi="Arial"/>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83" w:lineRule="exact"/>
        <w:rPr>
          <w:rFonts w:ascii="Arial" w:cs="Arial" w:eastAsia="Arial" w:hAnsi="Arial"/>
          <w:sz w:val="18"/>
          <w:szCs w:val="18"/>
          <w:color w:val="auto"/>
        </w:rPr>
      </w:pPr>
    </w:p>
    <w:p>
      <w:pPr>
        <w:ind w:right="60" w:firstLine="990"/>
        <w:spacing w:after="0" w:line="275" w:lineRule="auto"/>
        <w:tabs>
          <w:tab w:leader="none" w:pos="1224"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shall be the duty of each stockholder to notify the Corporation of such stockholder’s post office address.</w:t>
      </w:r>
    </w:p>
    <w:p>
      <w:pPr>
        <w:spacing w:after="0" w:line="114" w:lineRule="exact"/>
        <w:rPr>
          <w:sz w:val="20"/>
          <w:szCs w:val="20"/>
          <w:color w:val="auto"/>
        </w:rPr>
      </w:pPr>
    </w:p>
    <w:p>
      <w:pPr>
        <w:ind w:right="40" w:firstLine="990"/>
        <w:spacing w:after="0" w:line="251" w:lineRule="auto"/>
        <w:tabs>
          <w:tab w:leader="none" w:pos="1234"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94"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87" w:lineRule="exact"/>
        <w:rPr>
          <w:sz w:val="20"/>
          <w:szCs w:val="20"/>
          <w:color w:val="auto"/>
        </w:rPr>
      </w:pPr>
    </w:p>
    <w:p>
      <w:pPr>
        <w:ind w:firstLine="990"/>
        <w:spacing w:after="0" w:line="255" w:lineRule="auto"/>
        <w:tabs>
          <w:tab w:leader="none" w:pos="1224"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307" w:name="page308"/>
    <w:bookmarkEnd w:id="307"/>
    <w:p>
      <w:pPr>
        <w:ind w:left="180" w:hanging="176"/>
        <w:spacing w:after="0"/>
        <w:tabs>
          <w:tab w:leader="none" w:pos="1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Indemnification</w:t>
      </w:r>
    </w:p>
    <w:p>
      <w:pPr>
        <w:spacing w:after="0" w:line="113" w:lineRule="exact"/>
        <w:rPr>
          <w:rFonts w:ascii="Arial" w:cs="Arial" w:eastAsia="Arial" w:hAnsi="Arial"/>
          <w:sz w:val="18"/>
          <w:szCs w:val="18"/>
          <w:color w:val="auto"/>
        </w:rPr>
      </w:pPr>
    </w:p>
    <w:p>
      <w:pPr>
        <w:ind w:left="660" w:hanging="237"/>
        <w:spacing w:after="0"/>
        <w:tabs>
          <w:tab w:leader="none" w:pos="660"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w:t>
      </w:r>
    </w:p>
    <w:p>
      <w:pPr>
        <w:spacing w:after="0" w:line="113" w:lineRule="exact"/>
        <w:rPr>
          <w:rFonts w:ascii="Arial" w:cs="Arial" w:eastAsia="Arial" w:hAnsi="Arial"/>
          <w:sz w:val="18"/>
          <w:szCs w:val="18"/>
          <w:color w:val="auto"/>
        </w:rPr>
      </w:pPr>
    </w:p>
    <w:p>
      <w:pPr>
        <w:ind w:right="40" w:firstLine="947"/>
        <w:spacing w:after="0" w:line="267" w:lineRule="auto"/>
        <w:tabs>
          <w:tab w:leader="none" w:pos="1156" w:val="left"/>
        </w:tabs>
        <w:numPr>
          <w:ilvl w:val="2"/>
          <w:numId w:val="205"/>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75" w:lineRule="exact"/>
        <w:rPr>
          <w:rFonts w:ascii="Arial" w:cs="Arial" w:eastAsia="Arial" w:hAnsi="Arial"/>
          <w:sz w:val="17"/>
          <w:szCs w:val="17"/>
          <w:color w:val="auto"/>
        </w:rPr>
      </w:pPr>
    </w:p>
    <w:p>
      <w:pPr>
        <w:ind w:left="1200" w:hanging="253"/>
        <w:spacing w:after="0"/>
        <w:tabs>
          <w:tab w:leader="none" w:pos="120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“Director” means any person who serves or has served the Corporation as a director on the Board of Directors of the Corporation;</w:t>
      </w:r>
    </w:p>
    <w:p>
      <w:pPr>
        <w:spacing w:after="0" w:line="136" w:lineRule="exact"/>
        <w:rPr>
          <w:rFonts w:ascii="Arial" w:cs="Arial" w:eastAsia="Arial" w:hAnsi="Arial"/>
          <w:sz w:val="16"/>
          <w:szCs w:val="16"/>
          <w:color w:val="auto"/>
        </w:rPr>
      </w:pPr>
    </w:p>
    <w:p>
      <w:pPr>
        <w:ind w:right="440" w:firstLine="947"/>
        <w:spacing w:after="0" w:line="271" w:lineRule="auto"/>
        <w:tabs>
          <w:tab w:leader="none" w:pos="1255" w:val="left"/>
        </w:tabs>
        <w:numPr>
          <w:ilvl w:val="2"/>
          <w:numId w:val="205"/>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7" w:lineRule="exact"/>
        <w:rPr>
          <w:rFonts w:ascii="Arial" w:cs="Arial" w:eastAsia="Arial" w:hAnsi="Arial"/>
          <w:sz w:val="18"/>
          <w:szCs w:val="18"/>
          <w:color w:val="auto"/>
        </w:rPr>
      </w:pPr>
    </w:p>
    <w:p>
      <w:pPr>
        <w:ind w:right="300" w:firstLine="947"/>
        <w:spacing w:after="0" w:line="290" w:lineRule="auto"/>
        <w:tabs>
          <w:tab w:leader="none" w:pos="1245" w:val="left"/>
        </w:tabs>
        <w:numPr>
          <w:ilvl w:val="2"/>
          <w:numId w:val="205"/>
        </w:numPr>
        <w:rPr>
          <w:rFonts w:ascii="Arial" w:cs="Arial" w:eastAsia="Arial" w:hAnsi="Arial"/>
          <w:sz w:val="16"/>
          <w:szCs w:val="16"/>
          <w:color w:val="auto"/>
        </w:rPr>
      </w:pPr>
      <w:r>
        <w:rPr>
          <w:rFonts w:ascii="Arial" w:cs="Arial" w:eastAsia="Arial" w:hAnsi="Arial"/>
          <w:sz w:val="16"/>
          <w:szCs w:val="16"/>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56" w:lineRule="exact"/>
        <w:rPr>
          <w:rFonts w:ascii="Arial" w:cs="Arial" w:eastAsia="Arial" w:hAnsi="Arial"/>
          <w:sz w:val="16"/>
          <w:szCs w:val="16"/>
          <w:color w:val="auto"/>
        </w:rPr>
      </w:pPr>
    </w:p>
    <w:p>
      <w:pPr>
        <w:ind w:left="1200" w:hanging="253"/>
        <w:spacing w:after="0"/>
        <w:tabs>
          <w:tab w:leader="none" w:pos="1200" w:val="left"/>
        </w:tabs>
        <w:numPr>
          <w:ilvl w:val="2"/>
          <w:numId w:val="205"/>
        </w:numPr>
        <w:rPr>
          <w:rFonts w:ascii="Arial" w:cs="Arial" w:eastAsia="Arial" w:hAnsi="Arial"/>
          <w:sz w:val="17"/>
          <w:szCs w:val="17"/>
          <w:color w:val="auto"/>
        </w:rPr>
      </w:pPr>
      <w:r>
        <w:rPr>
          <w:rFonts w:ascii="Arial" w:cs="Arial" w:eastAsia="Arial" w:hAnsi="Arial"/>
          <w:sz w:val="17"/>
          <w:szCs w:val="17"/>
          <w:color w:val="auto"/>
        </w:rPr>
        <w:t>“Liabilities” means judgments, damages, liabilities, losses, penalties, excise taxes, fines and amounts paid in settlement;</w:t>
      </w:r>
    </w:p>
    <w:p>
      <w:pPr>
        <w:spacing w:after="0" w:line="125" w:lineRule="exact"/>
        <w:rPr>
          <w:rFonts w:ascii="Arial" w:cs="Arial" w:eastAsia="Arial" w:hAnsi="Arial"/>
          <w:sz w:val="17"/>
          <w:szCs w:val="17"/>
          <w:color w:val="auto"/>
        </w:rPr>
      </w:pPr>
    </w:p>
    <w:p>
      <w:pPr>
        <w:ind w:right="40" w:firstLine="947"/>
        <w:spacing w:after="0" w:line="271" w:lineRule="auto"/>
        <w:tabs>
          <w:tab w:leader="none" w:pos="1245" w:val="left"/>
        </w:tabs>
        <w:numPr>
          <w:ilvl w:val="2"/>
          <w:numId w:val="205"/>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920" w:top="272" w:right="499" w:bottom="1440" w:gutter="0" w:footer="0" w:header="0"/>
        </w:sectPr>
      </w:pPr>
    </w:p>
    <w:bookmarkStart w:id="308" w:name="page309"/>
    <w:bookmarkEnd w:id="308"/>
    <w:p>
      <w:pPr>
        <w:ind w:left="420" w:firstLine="947"/>
        <w:spacing w:after="0" w:line="271" w:lineRule="auto"/>
        <w:tabs>
          <w:tab w:leader="none" w:pos="1714" w:val="left"/>
        </w:tabs>
        <w:numPr>
          <w:ilvl w:val="1"/>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“Officer” means any person who serves or has served the Corporation as an officer of the Corporation appointed by the Board of Directors of the Corporation;</w:t>
      </w:r>
    </w:p>
    <w:p>
      <w:pPr>
        <w:spacing w:after="0" w:line="67" w:lineRule="exact"/>
        <w:rPr>
          <w:rFonts w:ascii="Arial" w:cs="Arial" w:eastAsia="Arial" w:hAnsi="Arial"/>
          <w:sz w:val="18"/>
          <w:szCs w:val="18"/>
          <w:color w:val="auto"/>
        </w:rPr>
      </w:pPr>
    </w:p>
    <w:p>
      <w:pPr>
        <w:ind w:left="420" w:right="360" w:firstLine="947"/>
        <w:spacing w:after="0" w:line="335" w:lineRule="auto"/>
        <w:tabs>
          <w:tab w:leader="none" w:pos="176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21" w:lineRule="exact"/>
        <w:rPr>
          <w:rFonts w:ascii="Arial" w:cs="Arial" w:eastAsia="Arial" w:hAnsi="Arial"/>
          <w:sz w:val="16"/>
          <w:szCs w:val="16"/>
          <w:color w:val="auto"/>
        </w:rPr>
      </w:pPr>
    </w:p>
    <w:p>
      <w:pPr>
        <w:ind w:left="420" w:right="40" w:firstLine="947"/>
        <w:spacing w:after="0" w:line="253" w:lineRule="auto"/>
        <w:tabs>
          <w:tab w:leader="none" w:pos="166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85" w:lineRule="exact"/>
        <w:rPr>
          <w:rFonts w:ascii="Arial" w:cs="Arial" w:eastAsia="Arial" w:hAnsi="Arial"/>
          <w:sz w:val="18"/>
          <w:szCs w:val="18"/>
          <w:color w:val="auto"/>
        </w:rPr>
      </w:pPr>
    </w:p>
    <w:p>
      <w:pPr>
        <w:jc w:val="both"/>
        <w:ind w:left="-20" w:right="60" w:firstLine="990"/>
        <w:spacing w:after="0" w:line="297" w:lineRule="auto"/>
        <w:tabs>
          <w:tab w:leader="none" w:pos="1214"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 Subject to the operation of Section 5(d)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Section 5(b).</w:t>
      </w:r>
    </w:p>
    <w:p>
      <w:pPr>
        <w:spacing w:after="0" w:line="52" w:lineRule="exact"/>
        <w:rPr>
          <w:rFonts w:ascii="Arial" w:cs="Arial" w:eastAsia="Arial" w:hAnsi="Arial"/>
          <w:sz w:val="16"/>
          <w:szCs w:val="16"/>
          <w:color w:val="auto"/>
        </w:rPr>
      </w:pPr>
    </w:p>
    <w:p>
      <w:pPr>
        <w:ind w:left="420" w:firstLine="947"/>
        <w:spacing w:after="0" w:line="251" w:lineRule="auto"/>
        <w:tabs>
          <w:tab w:leader="none" w:pos="1576"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Other than By or In the Right of the Corporation</w:t>
      </w:r>
      <w:r>
        <w:rPr>
          <w:rFonts w:ascii="Arial" w:cs="Arial" w:eastAsia="Arial" w:hAnsi="Arial"/>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9" w:lineRule="exact"/>
        <w:rPr>
          <w:rFonts w:ascii="Arial" w:cs="Arial" w:eastAsia="Arial" w:hAnsi="Arial"/>
          <w:sz w:val="18"/>
          <w:szCs w:val="18"/>
          <w:color w:val="auto"/>
        </w:rPr>
      </w:pPr>
    </w:p>
    <w:p>
      <w:pPr>
        <w:ind w:left="420" w:right="60" w:firstLine="947"/>
        <w:spacing w:after="0" w:line="252" w:lineRule="auto"/>
        <w:tabs>
          <w:tab w:leader="none" w:pos="1625"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By or In the Right of the Corporation</w:t>
      </w:r>
      <w:r>
        <w:rPr>
          <w:rFonts w:ascii="Arial" w:cs="Arial" w:eastAsia="Arial" w:hAnsi="Arial"/>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500" w:top="272" w:right="499" w:bottom="1440" w:gutter="0" w:footer="0" w:header="0"/>
        </w:sectPr>
      </w:pPr>
    </w:p>
    <w:bookmarkStart w:id="309" w:name="page310"/>
    <w:bookmarkEnd w:id="309"/>
    <w:p>
      <w:pPr>
        <w:ind w:left="440"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52" w:lineRule="exact"/>
        <w:rPr>
          <w:sz w:val="20"/>
          <w:szCs w:val="20"/>
          <w:color w:val="auto"/>
        </w:rPr>
      </w:pPr>
    </w:p>
    <w:p>
      <w:pPr>
        <w:ind w:left="440" w:right="100" w:firstLine="947"/>
        <w:spacing w:after="0" w:line="259" w:lineRule="auto"/>
        <w:tabs>
          <w:tab w:leader="none" w:pos="1695"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of indemnification provided by this Section 5(b) shall continue as to a Director or Officer after he or she has ceased to be a Director or Officer and shall inure to the benefit of his or her heirs, executors, administrators and personal representatives.</w:t>
      </w:r>
    </w:p>
    <w:p>
      <w:pPr>
        <w:spacing w:after="0" w:line="78" w:lineRule="exact"/>
        <w:rPr>
          <w:rFonts w:ascii="Arial" w:cs="Arial" w:eastAsia="Arial" w:hAnsi="Arial"/>
          <w:sz w:val="18"/>
          <w:szCs w:val="18"/>
          <w:color w:val="auto"/>
        </w:rPr>
      </w:pPr>
    </w:p>
    <w:p>
      <w:pPr>
        <w:ind w:left="440" w:firstLine="947"/>
        <w:spacing w:after="0" w:line="253" w:lineRule="auto"/>
        <w:tabs>
          <w:tab w:leader="none" w:pos="1685"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85" w:lineRule="exact"/>
        <w:rPr>
          <w:rFonts w:ascii="Arial" w:cs="Arial" w:eastAsia="Arial" w:hAnsi="Arial"/>
          <w:sz w:val="18"/>
          <w:szCs w:val="18"/>
          <w:color w:val="auto"/>
        </w:rPr>
      </w:pPr>
    </w:p>
    <w:p>
      <w:pPr>
        <w:ind w:right="80" w:firstLine="990"/>
        <w:spacing w:after="0" w:line="284" w:lineRule="auto"/>
        <w:tabs>
          <w:tab w:leader="none" w:pos="122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Indemnification of Non-Officer Employees</w:t>
      </w:r>
      <w:r>
        <w:rPr>
          <w:rFonts w:ascii="Arial" w:cs="Arial" w:eastAsia="Arial" w:hAnsi="Arial"/>
          <w:sz w:val="16"/>
          <w:szCs w:val="16"/>
          <w:color w:val="auto"/>
        </w:rPr>
        <w:t>. Subject to the operation of Section 5(d)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65" w:lineRule="exact"/>
        <w:rPr>
          <w:rFonts w:ascii="Arial" w:cs="Arial" w:eastAsia="Arial" w:hAnsi="Arial"/>
          <w:sz w:val="16"/>
          <w:szCs w:val="16"/>
          <w:color w:val="auto"/>
        </w:rPr>
      </w:pPr>
    </w:p>
    <w:p>
      <w:pPr>
        <w:ind w:right="40" w:firstLine="990"/>
        <w:spacing w:after="0" w:line="253" w:lineRule="auto"/>
        <w:tabs>
          <w:tab w:leader="none" w:pos="1234"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310" w:name="page311"/>
    <w:bookmarkEnd w:id="31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79" w:lineRule="exact"/>
        <w:rPr>
          <w:sz w:val="20"/>
          <w:szCs w:val="20"/>
          <w:color w:val="auto"/>
        </w:rPr>
      </w:pPr>
    </w:p>
    <w:p>
      <w:pPr>
        <w:ind w:left="1240" w:hanging="250"/>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20" w:firstLine="947"/>
        <w:spacing w:after="0" w:line="286" w:lineRule="auto"/>
        <w:tabs>
          <w:tab w:leader="none" w:pos="1596"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59" w:lineRule="exact"/>
        <w:rPr>
          <w:rFonts w:ascii="Arial" w:cs="Arial" w:eastAsia="Arial" w:hAnsi="Arial"/>
          <w:sz w:val="16"/>
          <w:szCs w:val="16"/>
          <w:color w:val="auto"/>
        </w:rPr>
      </w:pPr>
    </w:p>
    <w:p>
      <w:pPr>
        <w:ind w:left="440" w:firstLine="947"/>
        <w:spacing w:after="0" w:line="251" w:lineRule="auto"/>
        <w:tabs>
          <w:tab w:leader="none" w:pos="164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7" w:lineRule="exact"/>
        <w:rPr>
          <w:rFonts w:ascii="Arial" w:cs="Arial" w:eastAsia="Arial" w:hAnsi="Arial"/>
          <w:sz w:val="18"/>
          <w:szCs w:val="18"/>
          <w:color w:val="auto"/>
        </w:rPr>
      </w:pPr>
    </w:p>
    <w:p>
      <w:pPr>
        <w:ind w:left="440" w:right="480" w:firstLine="947"/>
        <w:spacing w:after="0" w:line="259" w:lineRule="auto"/>
        <w:tabs>
          <w:tab w:leader="none" w:pos="169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11" w:name="page312"/>
    <w:bookmarkEnd w:id="311"/>
    <w:p>
      <w:pPr>
        <w:ind w:left="780" w:hanging="230"/>
        <w:spacing w:after="0"/>
        <w:tabs>
          <w:tab w:leader="none" w:pos="7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Advancement of Expenses to Officers and Non-Officer Employees Prior to Final Disposition.</w:t>
      </w:r>
    </w:p>
    <w:p>
      <w:pPr>
        <w:spacing w:after="0" w:line="113" w:lineRule="exact"/>
        <w:rPr>
          <w:rFonts w:ascii="Arial" w:cs="Arial" w:eastAsia="Arial" w:hAnsi="Arial"/>
          <w:sz w:val="18"/>
          <w:szCs w:val="18"/>
          <w:color w:val="auto"/>
        </w:rPr>
      </w:pPr>
    </w:p>
    <w:p>
      <w:pPr>
        <w:ind w:firstLine="947"/>
        <w:spacing w:after="0" w:line="269" w:lineRule="auto"/>
        <w:tabs>
          <w:tab w:leader="none" w:pos="115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71" w:lineRule="exact"/>
        <w:rPr>
          <w:rFonts w:ascii="Arial" w:cs="Arial" w:eastAsia="Arial" w:hAnsi="Arial"/>
          <w:sz w:val="17"/>
          <w:szCs w:val="17"/>
          <w:color w:val="auto"/>
        </w:rPr>
      </w:pPr>
    </w:p>
    <w:p>
      <w:pPr>
        <w:ind w:right="540" w:firstLine="947"/>
        <w:spacing w:after="0" w:line="259" w:lineRule="auto"/>
        <w:tabs>
          <w:tab w:leader="none" w:pos="120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78" w:lineRule="exact"/>
        <w:rPr>
          <w:rFonts w:ascii="Arial" w:cs="Arial" w:eastAsia="Arial" w:hAnsi="Arial"/>
          <w:sz w:val="18"/>
          <w:szCs w:val="18"/>
          <w:color w:val="auto"/>
        </w:rPr>
      </w:pPr>
    </w:p>
    <w:p>
      <w:pPr>
        <w:ind w:left="800" w:hanging="250"/>
        <w:spacing w:after="0"/>
        <w:tabs>
          <w:tab w:leader="none" w:pos="8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47"/>
        <w:spacing w:after="0" w:line="266" w:lineRule="auto"/>
        <w:tabs>
          <w:tab w:leader="none" w:pos="115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w:t>
      </w:r>
    </w:p>
    <w:p>
      <w:pPr>
        <w:spacing w:after="0" w:line="77" w:lineRule="exact"/>
        <w:rPr>
          <w:rFonts w:ascii="Arial" w:cs="Arial" w:eastAsia="Arial" w:hAnsi="Arial"/>
          <w:sz w:val="17"/>
          <w:szCs w:val="17"/>
          <w:color w:val="auto"/>
        </w:rPr>
      </w:pPr>
    </w:p>
    <w:p>
      <w:pPr>
        <w:ind w:right="40" w:firstLine="947"/>
        <w:spacing w:after="0" w:line="251" w:lineRule="auto"/>
        <w:tabs>
          <w:tab w:leader="none" w:pos="120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0"/>
          </w:cols>
          <w:pgMar w:left="920" w:top="272" w:right="499" w:bottom="1440" w:gutter="0" w:footer="0" w:header="0"/>
        </w:sectPr>
      </w:pPr>
    </w:p>
    <w:bookmarkStart w:id="312" w:name="page313"/>
    <w:bookmarkEnd w:id="312"/>
    <w:p>
      <w:pPr>
        <w:ind w:left="440" w:right="560" w:firstLine="947"/>
        <w:spacing w:after="0" w:line="271" w:lineRule="auto"/>
        <w:tabs>
          <w:tab w:leader="none" w:pos="1695" w:val="left"/>
        </w:tabs>
        <w:numPr>
          <w:ilvl w:val="2"/>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67" w:lineRule="exact"/>
        <w:rPr>
          <w:rFonts w:ascii="Arial" w:cs="Arial" w:eastAsia="Arial" w:hAnsi="Arial"/>
          <w:sz w:val="18"/>
          <w:szCs w:val="18"/>
          <w:color w:val="auto"/>
        </w:rPr>
      </w:pPr>
    </w:p>
    <w:p>
      <w:pPr>
        <w:ind w:firstLine="990"/>
        <w:spacing w:after="0" w:line="259" w:lineRule="auto"/>
        <w:tabs>
          <w:tab w:leader="none" w:pos="1234"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advancement of Expenses set forth in this Section 5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78" w:lineRule="exact"/>
        <w:rPr>
          <w:rFonts w:ascii="Arial" w:cs="Arial" w:eastAsia="Arial" w:hAnsi="Arial"/>
          <w:sz w:val="18"/>
          <w:szCs w:val="18"/>
          <w:color w:val="auto"/>
        </w:rPr>
      </w:pPr>
    </w:p>
    <w:p>
      <w:pPr>
        <w:ind w:right="40" w:firstLine="990"/>
        <w:spacing w:after="0" w:line="255" w:lineRule="auto"/>
        <w:tabs>
          <w:tab w:leader="none" w:pos="119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w:t>
      </w:r>
    </w:p>
    <w:p>
      <w:pPr>
        <w:spacing w:after="0" w:line="83" w:lineRule="exact"/>
        <w:rPr>
          <w:rFonts w:ascii="Arial" w:cs="Arial" w:eastAsia="Arial" w:hAnsi="Arial"/>
          <w:sz w:val="18"/>
          <w:szCs w:val="18"/>
          <w:color w:val="auto"/>
        </w:rPr>
      </w:pPr>
    </w:p>
    <w:p>
      <w:pPr>
        <w:ind w:right="20" w:firstLine="990"/>
        <w:spacing w:after="0" w:line="268" w:lineRule="auto"/>
        <w:tabs>
          <w:tab w:leader="none" w:pos="1195"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72" w:lineRule="exact"/>
        <w:rPr>
          <w:rFonts w:ascii="Arial" w:cs="Arial" w:eastAsia="Arial" w:hAnsi="Arial"/>
          <w:sz w:val="17"/>
          <w:szCs w:val="17"/>
          <w:color w:val="auto"/>
        </w:rPr>
      </w:pPr>
    </w:p>
    <w:p>
      <w:pPr>
        <w:ind w:left="620" w:hanging="176"/>
        <w:spacing w:after="0"/>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Fiscal Year</w:t>
      </w:r>
      <w:r>
        <w:rPr>
          <w:rFonts w:ascii="Arial" w:cs="Arial" w:eastAsia="Arial" w:hAnsi="Arial"/>
          <w:sz w:val="16"/>
          <w:szCs w:val="16"/>
          <w:color w:val="auto"/>
        </w:rPr>
        <w:t>. Except as otherwise determined by the Board of Directors, the fiscal year of the Corporation shall end on December 31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year.</w:t>
      </w:r>
    </w:p>
    <w:p>
      <w:pPr>
        <w:spacing w:after="0" w:line="101" w:lineRule="exact"/>
        <w:rPr>
          <w:rFonts w:ascii="Arial" w:cs="Arial" w:eastAsia="Arial" w:hAnsi="Arial"/>
          <w:sz w:val="16"/>
          <w:szCs w:val="16"/>
          <w:color w:val="auto"/>
        </w:rPr>
      </w:pPr>
    </w:p>
    <w:p>
      <w:pPr>
        <w:ind w:left="1240" w:hanging="250"/>
        <w:spacing w:after="0"/>
        <w:tabs>
          <w:tab w:leader="none" w:pos="124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113" w:lineRule="exact"/>
        <w:rPr>
          <w:rFonts w:ascii="Arial" w:cs="Arial" w:eastAsia="Arial" w:hAnsi="Arial"/>
          <w:sz w:val="18"/>
          <w:szCs w:val="18"/>
          <w:color w:val="auto"/>
        </w:rPr>
      </w:pPr>
    </w:p>
    <w:p>
      <w:pPr>
        <w:ind w:right="20" w:firstLine="990"/>
        <w:spacing w:after="0" w:line="255" w:lineRule="auto"/>
        <w:tabs>
          <w:tab w:leader="none" w:pos="1224"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313" w:name="page314"/>
    <w:bookmarkEnd w:id="313"/>
    <w:p>
      <w:pPr>
        <w:ind w:right="140" w:firstLine="990"/>
        <w:spacing w:after="0" w:line="255" w:lineRule="auto"/>
        <w:tabs>
          <w:tab w:leader="none" w:pos="123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 of Securities</w:t>
      </w:r>
      <w:r>
        <w:rPr>
          <w:rFonts w:ascii="Arial" w:cs="Arial" w:eastAsia="Arial" w:hAnsi="Arial"/>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83" w:lineRule="exact"/>
        <w:rPr>
          <w:rFonts w:ascii="Arial" w:cs="Arial" w:eastAsia="Arial" w:hAnsi="Arial"/>
          <w:sz w:val="18"/>
          <w:szCs w:val="18"/>
          <w:color w:val="auto"/>
        </w:rPr>
      </w:pPr>
    </w:p>
    <w:p>
      <w:pPr>
        <w:ind w:right="600" w:firstLine="990"/>
        <w:spacing w:after="0" w:line="271" w:lineRule="auto"/>
        <w:tabs>
          <w:tab w:leader="none" w:pos="122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67" w:lineRule="exact"/>
        <w:rPr>
          <w:rFonts w:ascii="Arial" w:cs="Arial" w:eastAsia="Arial" w:hAnsi="Arial"/>
          <w:sz w:val="18"/>
          <w:szCs w:val="18"/>
          <w:color w:val="auto"/>
        </w:rPr>
      </w:pPr>
    </w:p>
    <w:p>
      <w:pPr>
        <w:ind w:right="20" w:firstLine="990"/>
        <w:spacing w:after="0" w:line="255" w:lineRule="auto"/>
        <w:tabs>
          <w:tab w:leader="none" w:pos="120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83" w:lineRule="exact"/>
        <w:rPr>
          <w:rFonts w:ascii="Arial" w:cs="Arial" w:eastAsia="Arial" w:hAnsi="Arial"/>
          <w:sz w:val="18"/>
          <w:szCs w:val="18"/>
          <w:color w:val="auto"/>
        </w:rPr>
      </w:pPr>
    </w:p>
    <w:p>
      <w:pPr>
        <w:ind w:right="700" w:firstLine="990"/>
        <w:spacing w:after="0" w:line="271" w:lineRule="auto"/>
        <w:tabs>
          <w:tab w:leader="none" w:pos="123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67" w:lineRule="exact"/>
        <w:rPr>
          <w:rFonts w:ascii="Arial" w:cs="Arial" w:eastAsia="Arial" w:hAnsi="Arial"/>
          <w:sz w:val="18"/>
          <w:szCs w:val="18"/>
          <w:color w:val="auto"/>
        </w:rPr>
      </w:pPr>
    </w:p>
    <w:p>
      <w:pPr>
        <w:ind w:right="20" w:firstLine="990"/>
        <w:spacing w:after="0" w:line="297" w:lineRule="auto"/>
        <w:tabs>
          <w:tab w:leader="none" w:pos="123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52" w:lineRule="exact"/>
        <w:rPr>
          <w:rFonts w:ascii="Arial" w:cs="Arial" w:eastAsia="Arial" w:hAnsi="Arial"/>
          <w:sz w:val="16"/>
          <w:szCs w:val="16"/>
          <w:color w:val="auto"/>
        </w:rPr>
      </w:pPr>
    </w:p>
    <w:p>
      <w:pPr>
        <w:jc w:val="both"/>
        <w:ind w:firstLine="990"/>
        <w:spacing w:after="0" w:line="252" w:lineRule="auto"/>
        <w:tabs>
          <w:tab w:leader="none" w:pos="119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u w:val="single" w:color="auto"/>
          <w:color w:val="auto"/>
        </w:rPr>
        <w:t>Adopted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November 21, 2019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480" w:top="272" w:right="5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1" w:lineRule="exact"/>
        <w:rPr>
          <w:sz w:val="20"/>
          <w:szCs w:val="20"/>
          <w:color w:val="auto"/>
        </w:rPr>
      </w:pPr>
    </w:p>
    <w:p>
      <w:pPr>
        <w:ind w:right="20" w:firstLine="43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4" w:lineRule="exact"/>
        <w:rPr>
          <w:sz w:val="20"/>
          <w:szCs w:val="20"/>
          <w:color w:val="auto"/>
        </w:rPr>
      </w:pPr>
    </w:p>
    <w:p>
      <w:pPr>
        <w:ind w:left="680" w:hanging="236"/>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40" w:firstLine="423"/>
        <w:spacing w:after="0" w:line="267" w:lineRule="auto"/>
        <w:tabs>
          <w:tab w:leader="none" w:pos="1111" w:val="left"/>
        </w:tabs>
        <w:numPr>
          <w:ilvl w:val="1"/>
          <w:numId w:val="216"/>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0920"/>
          </w:cols>
          <w:pgMar w:left="480" w:top="121" w:right="499" w:bottom="1440" w:gutter="0" w:footer="0" w:header="0"/>
        </w:sectPr>
      </w:pPr>
    </w:p>
    <w:bookmarkStart w:id="315" w:name="page316"/>
    <w:bookmarkEnd w:id="315"/>
    <w:p>
      <w:pPr>
        <w:ind w:firstLine="423"/>
        <w:spacing w:after="0" w:line="282" w:lineRule="auto"/>
        <w:tabs>
          <w:tab w:leader="none" w:pos="671"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71" w:lineRule="exact"/>
        <w:rPr>
          <w:rFonts w:ascii="Arial" w:cs="Arial" w:eastAsia="Arial" w:hAnsi="Arial"/>
          <w:sz w:val="16"/>
          <w:szCs w:val="16"/>
          <w:color w:val="auto"/>
        </w:rPr>
      </w:pPr>
    </w:p>
    <w:p>
      <w:pPr>
        <w:ind w:left="540" w:right="20" w:firstLine="407"/>
        <w:spacing w:after="0" w:line="283" w:lineRule="auto"/>
        <w:tabs>
          <w:tab w:leader="none" w:pos="1229"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20" w:top="272" w:right="519" w:bottom="1440" w:gutter="0" w:footer="0" w:header="0"/>
        </w:sectPr>
      </w:pPr>
    </w:p>
    <w:bookmarkStart w:id="316" w:name="page317"/>
    <w:bookmarkEnd w:id="316"/>
    <w:p>
      <w:pPr>
        <w:ind w:left="20" w:firstLine="407"/>
        <w:spacing w:after="0" w:line="307" w:lineRule="auto"/>
        <w:tabs>
          <w:tab w:leader="none" w:pos="699"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to any other business that the stockholder proposes to bring before the meeting, a brief description of the business desired to be brought before the meeting, the text, if any, of any resolutions or By-law amendment proposed for adoption, the reasons for conducting such business at the meeting, and any material interest in such business of each Proposing Person (as defined below);</w:t>
      </w:r>
    </w:p>
    <w:p>
      <w:pPr>
        <w:spacing w:after="0" w:line="42" w:lineRule="exact"/>
        <w:rPr>
          <w:rFonts w:ascii="Arial" w:cs="Arial" w:eastAsia="Arial" w:hAnsi="Arial"/>
          <w:sz w:val="16"/>
          <w:szCs w:val="16"/>
          <w:color w:val="auto"/>
        </w:rPr>
      </w:pPr>
    </w:p>
    <w:p>
      <w:pPr>
        <w:ind w:left="20" w:firstLine="407"/>
        <w:spacing w:after="0" w:line="281" w:lineRule="auto"/>
        <w:tabs>
          <w:tab w:leader="none" w:pos="69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60"/>
          </w:cols>
          <w:pgMar w:left="1440" w:top="272" w:right="499" w:bottom="1440" w:gutter="0" w:footer="0" w:header="0"/>
        </w:sectPr>
      </w:pPr>
    </w:p>
    <w:bookmarkStart w:id="317" w:name="page318"/>
    <w:bookmarkEnd w:id="317"/>
    <w:p>
      <w:pPr>
        <w:ind w:left="540" w:firstLine="407"/>
        <w:spacing w:after="0" w:line="251" w:lineRule="auto"/>
        <w:tabs>
          <w:tab w:leader="none" w:pos="1229"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89" w:lineRule="exact"/>
        <w:rPr>
          <w:rFonts w:ascii="Arial" w:cs="Arial" w:eastAsia="Arial" w:hAnsi="Arial"/>
          <w:sz w:val="18"/>
          <w:szCs w:val="18"/>
          <w:color w:val="auto"/>
        </w:rPr>
      </w:pPr>
    </w:p>
    <w:p>
      <w:pPr>
        <w:ind w:left="540" w:right="80" w:firstLine="407"/>
        <w:spacing w:after="0" w:line="252" w:lineRule="auto"/>
        <w:tabs>
          <w:tab w:leader="none" w:pos="120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87" w:lineRule="exact"/>
        <w:rPr>
          <w:sz w:val="20"/>
          <w:szCs w:val="20"/>
          <w:color w:val="auto"/>
        </w:rPr>
      </w:pPr>
    </w:p>
    <w:p>
      <w:pPr>
        <w:ind w:right="20" w:firstLine="419"/>
        <w:spacing w:after="0" w:line="265" w:lineRule="auto"/>
        <w:rPr>
          <w:sz w:val="20"/>
          <w:szCs w:val="20"/>
          <w:color w:val="auto"/>
        </w:rPr>
      </w:pPr>
      <w:r>
        <w:rPr>
          <w:rFonts w:ascii="Arial" w:cs="Arial" w:eastAsia="Arial" w:hAnsi="Arial"/>
          <w:sz w:val="17"/>
          <w:szCs w:val="17"/>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920" w:top="272" w:right="499" w:bottom="1440" w:gutter="0" w:footer="0" w:header="0"/>
        </w:sectPr>
      </w:pPr>
    </w:p>
    <w:bookmarkStart w:id="318" w:name="page319"/>
    <w:bookmarkEnd w:id="318"/>
    <w:p>
      <w:pPr>
        <w:ind w:right="60" w:firstLine="423"/>
        <w:spacing w:after="0" w:line="268" w:lineRule="auto"/>
        <w:tabs>
          <w:tab w:leader="none" w:pos="671" w:val="left"/>
        </w:tabs>
        <w:numPr>
          <w:ilvl w:val="1"/>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72" w:lineRule="exact"/>
        <w:rPr>
          <w:rFonts w:ascii="Arial" w:cs="Arial" w:eastAsia="Arial" w:hAnsi="Arial"/>
          <w:sz w:val="17"/>
          <w:szCs w:val="17"/>
          <w:color w:val="auto"/>
        </w:rPr>
      </w:pPr>
    </w:p>
    <w:p>
      <w:pPr>
        <w:ind w:firstLine="423"/>
        <w:spacing w:after="0" w:line="269" w:lineRule="auto"/>
        <w:tabs>
          <w:tab w:leader="none" w:pos="671"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71" w:lineRule="exact"/>
        <w:rPr>
          <w:rFonts w:ascii="Arial" w:cs="Arial" w:eastAsia="Arial" w:hAnsi="Arial"/>
          <w:sz w:val="17"/>
          <w:szCs w:val="17"/>
          <w:color w:val="auto"/>
        </w:rPr>
      </w:pPr>
    </w:p>
    <w:p>
      <w:pPr>
        <w:ind w:left="260" w:hanging="256"/>
        <w:spacing w:after="0"/>
        <w:tabs>
          <w:tab w:leader="none" w:pos="2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20" w:firstLine="423"/>
        <w:spacing w:after="0" w:line="267" w:lineRule="auto"/>
        <w:tabs>
          <w:tab w:leader="none" w:pos="671" w:val="left"/>
        </w:tabs>
        <w:numPr>
          <w:ilvl w:val="1"/>
          <w:numId w:val="221"/>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920" w:top="272" w:right="499" w:bottom="1440" w:gutter="0" w:footer="0" w:header="0"/>
        </w:sectPr>
      </w:pPr>
    </w:p>
    <w:bookmarkStart w:id="319" w:name="page320"/>
    <w:bookmarkEnd w:id="319"/>
    <w:p>
      <w:pPr>
        <w:ind w:left="440" w:right="40" w:firstLine="423"/>
        <w:spacing w:after="0" w:line="259" w:lineRule="auto"/>
        <w:tabs>
          <w:tab w:leader="none" w:pos="11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78" w:lineRule="exact"/>
        <w:rPr>
          <w:rFonts w:ascii="Arial" w:cs="Arial" w:eastAsia="Arial" w:hAnsi="Arial"/>
          <w:sz w:val="18"/>
          <w:szCs w:val="18"/>
          <w:color w:val="auto"/>
        </w:rPr>
      </w:pPr>
    </w:p>
    <w:p>
      <w:pPr>
        <w:ind w:left="440" w:firstLine="423"/>
        <w:spacing w:after="0" w:line="269" w:lineRule="auto"/>
        <w:tabs>
          <w:tab w:leader="none" w:pos="111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71" w:lineRule="exact"/>
        <w:rPr>
          <w:rFonts w:ascii="Arial" w:cs="Arial" w:eastAsia="Arial" w:hAnsi="Arial"/>
          <w:sz w:val="17"/>
          <w:szCs w:val="17"/>
          <w:color w:val="auto"/>
        </w:rPr>
      </w:pPr>
    </w:p>
    <w:p>
      <w:pPr>
        <w:ind w:left="440" w:right="180" w:firstLine="423"/>
        <w:spacing w:after="0" w:line="259" w:lineRule="auto"/>
        <w:tabs>
          <w:tab w:leader="none" w:pos="11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78" w:lineRule="exact"/>
        <w:rPr>
          <w:rFonts w:ascii="Arial" w:cs="Arial" w:eastAsia="Arial" w:hAnsi="Arial"/>
          <w:sz w:val="18"/>
          <w:szCs w:val="18"/>
          <w:color w:val="auto"/>
        </w:rPr>
      </w:pPr>
    </w:p>
    <w:p>
      <w:pPr>
        <w:ind w:left="440" w:right="40" w:firstLine="423"/>
        <w:spacing w:after="0" w:line="293" w:lineRule="auto"/>
        <w:tabs>
          <w:tab w:leader="none" w:pos="1111"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1"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323" w:lineRule="auto"/>
        <w:tabs>
          <w:tab w:leader="none" w:pos="679" w:val="left"/>
        </w:tabs>
        <w:numPr>
          <w:ilvl w:val="1"/>
          <w:numId w:val="223"/>
        </w:numPr>
        <w:rPr>
          <w:rFonts w:ascii="Arial" w:cs="Arial" w:eastAsia="Arial" w:hAnsi="Arial"/>
          <w:sz w:val="14"/>
          <w:szCs w:val="14"/>
          <w:color w:val="auto"/>
        </w:rPr>
      </w:pPr>
      <w:r>
        <w:rPr>
          <w:rFonts w:ascii="Arial" w:cs="Arial" w:eastAsia="Arial" w:hAnsi="Arial"/>
          <w:sz w:val="14"/>
          <w:szCs w:val="14"/>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w:t>
      </w:r>
    </w:p>
    <w:p>
      <w:pPr>
        <w:spacing w:after="0" w:line="2" w:lineRule="exact"/>
        <w:rPr>
          <w:rFonts w:ascii="Arial" w:cs="Arial" w:eastAsia="Arial" w:hAnsi="Arial"/>
          <w:sz w:val="14"/>
          <w:szCs w:val="14"/>
          <w:color w:val="auto"/>
        </w:rPr>
      </w:pPr>
    </w:p>
    <w:p>
      <w:pPr>
        <w:ind w:right="860"/>
        <w:spacing w:after="0" w:line="256" w:lineRule="auto"/>
        <w:rPr>
          <w:rFonts w:ascii="Arial" w:cs="Arial" w:eastAsia="Arial" w:hAnsi="Arial"/>
          <w:sz w:val="14"/>
          <w:szCs w:val="14"/>
          <w:color w:val="auto"/>
        </w:rPr>
      </w:pPr>
      <w:r>
        <w:rPr>
          <w:rFonts w:ascii="Arial" w:cs="Arial" w:eastAsia="Arial" w:hAnsi="Arial"/>
          <w:sz w:val="18"/>
          <w:szCs w:val="18"/>
          <w:color w:val="auto"/>
        </w:rPr>
        <w:t>Without limiting the manner by which notice may otherwise be given to stockholders, any notice to stockholders may be given by electronic transmission in the manner provided in Section 232 of the Delaware General Corporation Law (“DGCL”).</w:t>
      </w:r>
    </w:p>
    <w:p>
      <w:pPr>
        <w:spacing w:after="0" w:line="80" w:lineRule="exact"/>
        <w:rPr>
          <w:rFonts w:ascii="Arial" w:cs="Arial" w:eastAsia="Arial" w:hAnsi="Arial"/>
          <w:sz w:val="14"/>
          <w:szCs w:val="14"/>
          <w:color w:val="auto"/>
        </w:rPr>
      </w:pPr>
    </w:p>
    <w:p>
      <w:pPr>
        <w:ind w:right="400" w:firstLine="444"/>
        <w:spacing w:after="0" w:line="335" w:lineRule="auto"/>
        <w:tabs>
          <w:tab w:leader="none" w:pos="68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21" w:lineRule="exact"/>
        <w:rPr>
          <w:rFonts w:ascii="Arial" w:cs="Arial" w:eastAsia="Arial" w:hAnsi="Arial"/>
          <w:sz w:val="16"/>
          <w:szCs w:val="16"/>
          <w:color w:val="auto"/>
        </w:rPr>
      </w:pPr>
    </w:p>
    <w:p>
      <w:pPr>
        <w:ind w:right="40" w:firstLine="444"/>
        <w:spacing w:after="0" w:line="255" w:lineRule="auto"/>
        <w:tabs>
          <w:tab w:leader="none" w:pos="67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83" w:lineRule="exact"/>
        <w:rPr>
          <w:rFonts w:ascii="Arial" w:cs="Arial" w:eastAsia="Arial" w:hAnsi="Arial"/>
          <w:sz w:val="18"/>
          <w:szCs w:val="18"/>
          <w:color w:val="auto"/>
        </w:rPr>
      </w:pPr>
    </w:p>
    <w:p>
      <w:pPr>
        <w:ind w:right="20" w:firstLine="444"/>
        <w:spacing w:after="0" w:line="253" w:lineRule="auto"/>
        <w:tabs>
          <w:tab w:leader="none" w:pos="68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85" w:lineRule="exact"/>
        <w:rPr>
          <w:rFonts w:ascii="Arial" w:cs="Arial" w:eastAsia="Arial" w:hAnsi="Arial"/>
          <w:sz w:val="18"/>
          <w:szCs w:val="18"/>
          <w:color w:val="auto"/>
        </w:rPr>
      </w:pPr>
    </w:p>
    <w:p>
      <w:pPr>
        <w:ind w:left="680" w:hanging="236"/>
        <w:spacing w:after="0"/>
        <w:tabs>
          <w:tab w:leader="none" w:pos="68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When any meeting is convened, the presiding officer may adjourn the meeting if (i) no quorum is present for the transaction of business,</w:t>
      </w:r>
    </w:p>
    <w:p>
      <w:pPr>
        <w:spacing w:after="0" w:line="42" w:lineRule="exact"/>
        <w:rPr>
          <w:rFonts w:ascii="Arial" w:cs="Arial" w:eastAsia="Arial" w:hAnsi="Arial"/>
          <w:sz w:val="16"/>
          <w:szCs w:val="16"/>
          <w:color w:val="auto"/>
        </w:rPr>
      </w:pPr>
    </w:p>
    <w:p>
      <w:pPr>
        <w:ind w:right="60" w:firstLine="7"/>
        <w:spacing w:after="0" w:line="283" w:lineRule="auto"/>
        <w:tabs>
          <w:tab w:leader="none" w:pos="26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72" w:right="539" w:bottom="1440" w:gutter="0" w:footer="0" w:header="0"/>
        </w:sectPr>
      </w:pPr>
    </w:p>
    <w:bookmarkStart w:id="321" w:name="page322"/>
    <w:bookmarkEnd w:id="321"/>
    <w:p>
      <w:pPr>
        <w:ind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78"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85"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322" w:name="page323"/>
    <w:bookmarkEnd w:id="322"/>
    <w:p>
      <w:pPr>
        <w:ind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78"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80"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23" w:name="page324"/>
    <w:bookmarkEnd w:id="32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1"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5" w:lineRule="exact"/>
        <w:rPr>
          <w:sz w:val="20"/>
          <w:szCs w:val="20"/>
          <w:color w:val="auto"/>
        </w:rPr>
      </w:pPr>
    </w:p>
    <w:p>
      <w:pPr>
        <w:ind w:right="320" w:firstLine="436"/>
        <w:spacing w:after="0" w:line="27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221" w:lineRule="exact"/>
        <w:rPr>
          <w:sz w:val="20"/>
          <w:szCs w:val="20"/>
          <w:color w:val="auto"/>
        </w:rPr>
      </w:pPr>
    </w:p>
    <w:p>
      <w:pPr>
        <w:ind w:right="100" w:firstLine="436"/>
        <w:spacing w:after="0" w:line="30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Resignation</w:t>
      </w:r>
      <w:r>
        <w:rPr>
          <w:rFonts w:ascii="Arial" w:cs="Arial" w:eastAsia="Arial" w:hAnsi="Arial"/>
          <w:sz w:val="17"/>
          <w:szCs w:val="17"/>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52"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Regular Meetings</w:t>
      </w:r>
      <w:r>
        <w:rPr>
          <w:rFonts w:ascii="Arial" w:cs="Arial" w:eastAsia="Arial" w:hAnsi="Arial"/>
          <w:sz w:val="17"/>
          <w:szCs w:val="17"/>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4"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86"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80" w:top="272" w:right="539" w:bottom="1440" w:gutter="0" w:footer="0" w:header="0"/>
        </w:sectPr>
      </w:pPr>
    </w:p>
    <w:bookmarkStart w:id="324" w:name="page325"/>
    <w:bookmarkEnd w:id="324"/>
    <w:p>
      <w:pPr>
        <w:ind w:right="120" w:firstLine="43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93" w:lineRule="exact"/>
        <w:rPr>
          <w:sz w:val="20"/>
          <w:szCs w:val="20"/>
          <w:color w:val="auto"/>
        </w:rPr>
      </w:pPr>
    </w:p>
    <w:p>
      <w:pPr>
        <w:ind w:right="240" w:firstLine="436"/>
        <w:spacing w:after="0" w:line="301"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52"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93"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6" w:lineRule="exact"/>
        <w:rPr>
          <w:sz w:val="20"/>
          <w:szCs w:val="20"/>
          <w:color w:val="auto"/>
        </w:rPr>
      </w:pPr>
    </w:p>
    <w:p>
      <w:pPr>
        <w:ind w:right="120" w:firstLine="436"/>
        <w:spacing w:after="0" w:line="272"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Presiding Director</w:t>
      </w:r>
      <w:r>
        <w:rPr>
          <w:rFonts w:ascii="Arial" w:cs="Arial" w:eastAsia="Arial" w:hAnsi="Arial"/>
          <w:sz w:val="17"/>
          <w:szCs w:val="17"/>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325" w:name="page326"/>
    <w:bookmarkEnd w:id="325"/>
    <w:p>
      <w:pPr>
        <w:ind w:right="40"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by vote of a majority of the directors then in office, may elect one or more committees, including, without limitation, a Compensation, Nomination and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80" w:lineRule="exact"/>
        <w:rPr>
          <w:sz w:val="20"/>
          <w:szCs w:val="20"/>
          <w:color w:val="auto"/>
        </w:rPr>
      </w:pPr>
    </w:p>
    <w:p>
      <w:pPr>
        <w:ind w:firstLine="436"/>
        <w:spacing w:after="0" w:line="307"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III</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Officers</w:t>
      </w:r>
    </w:p>
    <w:p>
      <w:pPr>
        <w:spacing w:after="0" w:line="221"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90"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8"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80" w:top="272" w:right="559" w:bottom="1440" w:gutter="0" w:footer="0" w:header="0"/>
        </w:sectPr>
      </w:pPr>
    </w:p>
    <w:bookmarkStart w:id="326" w:name="page327"/>
    <w:bookmarkEnd w:id="326"/>
    <w:p>
      <w:pPr>
        <w:ind w:right="38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5. </w:t>
      </w:r>
      <w:r>
        <w:rPr>
          <w:rFonts w:ascii="Arial" w:cs="Arial" w:eastAsia="Arial" w:hAnsi="Arial"/>
          <w:sz w:val="16"/>
          <w:szCs w:val="16"/>
          <w:u w:val="single" w:color="auto"/>
          <w:color w:val="auto"/>
        </w:rPr>
        <w:t>Resignation</w:t>
      </w:r>
      <w:r>
        <w:rPr>
          <w:rFonts w:ascii="Arial" w:cs="Arial" w:eastAsia="Arial" w:hAnsi="Arial"/>
          <w:sz w:val="16"/>
          <w:szCs w:val="16"/>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28"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1"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5"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5"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5" w:lineRule="exact"/>
        <w:rPr>
          <w:sz w:val="20"/>
          <w:szCs w:val="20"/>
          <w:color w:val="auto"/>
        </w:rPr>
      </w:pPr>
    </w:p>
    <w:p>
      <w:pPr>
        <w:ind w:right="460" w:firstLine="43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6"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2" w:right="519" w:bottom="1440" w:gutter="0" w:footer="0" w:header="0"/>
        </w:sectPr>
      </w:pPr>
    </w:p>
    <w:bookmarkStart w:id="327" w:name="page328"/>
    <w:bookmarkEnd w:id="327"/>
    <w:p>
      <w:pPr>
        <w:ind w:right="40" w:firstLine="436"/>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14.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99"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21"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328" w:name="page329"/>
    <w:bookmarkEnd w:id="328"/>
    <w:p>
      <w:pPr>
        <w:ind w:right="80"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6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90"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69" w:lineRule="exact"/>
        <w:rPr>
          <w:sz w:val="20"/>
          <w:szCs w:val="20"/>
          <w:color w:val="auto"/>
        </w:rPr>
      </w:pPr>
    </w:p>
    <w:p>
      <w:pPr>
        <w:ind w:right="500" w:firstLine="436"/>
        <w:spacing w:after="0" w:line="271"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14" w:lineRule="exact"/>
        <w:rPr>
          <w:sz w:val="20"/>
          <w:szCs w:val="20"/>
          <w:color w:val="auto"/>
        </w:rPr>
      </w:pPr>
    </w:p>
    <w:p>
      <w:pPr>
        <w:ind w:left="-20" w:firstLine="444"/>
        <w:spacing w:after="0" w:line="287" w:lineRule="auto"/>
        <w:tabs>
          <w:tab w:leader="none" w:pos="65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58" w:lineRule="exact"/>
        <w:rPr>
          <w:rFonts w:ascii="Arial" w:cs="Arial" w:eastAsia="Arial" w:hAnsi="Arial"/>
          <w:sz w:val="16"/>
          <w:szCs w:val="16"/>
          <w:color w:val="auto"/>
        </w:rPr>
      </w:pPr>
    </w:p>
    <w:p>
      <w:pPr>
        <w:ind w:left="680" w:hanging="256"/>
        <w:spacing w:after="0"/>
        <w:tabs>
          <w:tab w:leader="none" w:pos="6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 Directors of the Corporation;</w:t>
      </w:r>
    </w:p>
    <w:p>
      <w:pPr>
        <w:spacing w:after="0" w:line="125" w:lineRule="exact"/>
        <w:rPr>
          <w:rFonts w:ascii="Arial" w:cs="Arial" w:eastAsia="Arial" w:hAnsi="Arial"/>
          <w:sz w:val="17"/>
          <w:szCs w:val="17"/>
          <w:color w:val="auto"/>
        </w:rPr>
      </w:pPr>
    </w:p>
    <w:p>
      <w:pPr>
        <w:ind w:left="-20" w:right="340" w:firstLine="444"/>
        <w:spacing w:after="0" w:line="271" w:lineRule="auto"/>
        <w:tabs>
          <w:tab w:leader="none" w:pos="65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7" w:lineRule="exact"/>
        <w:rPr>
          <w:rFonts w:ascii="Arial" w:cs="Arial" w:eastAsia="Arial" w:hAnsi="Arial"/>
          <w:sz w:val="18"/>
          <w:szCs w:val="18"/>
          <w:color w:val="auto"/>
        </w:rPr>
      </w:pPr>
    </w:p>
    <w:p>
      <w:pPr>
        <w:ind w:left="-20" w:right="100" w:firstLine="444"/>
        <w:spacing w:after="0" w:line="270" w:lineRule="auto"/>
        <w:tabs>
          <w:tab w:leader="none" w:pos="66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1" w:lineRule="exact"/>
        <w:rPr>
          <w:rFonts w:ascii="Arial" w:cs="Arial" w:eastAsia="Arial" w:hAnsi="Arial"/>
          <w:sz w:val="17"/>
          <w:szCs w:val="17"/>
          <w:color w:val="auto"/>
        </w:rPr>
      </w:pPr>
    </w:p>
    <w:p>
      <w:pPr>
        <w:ind w:left="660" w:hanging="236"/>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3" w:lineRule="exact"/>
        <w:rPr>
          <w:rFonts w:ascii="Arial" w:cs="Arial" w:eastAsia="Arial" w:hAnsi="Arial"/>
          <w:sz w:val="18"/>
          <w:szCs w:val="18"/>
          <w:color w:val="auto"/>
        </w:rPr>
      </w:pPr>
    </w:p>
    <w:p>
      <w:pPr>
        <w:ind w:left="-20" w:right="140" w:firstLine="444"/>
        <w:spacing w:after="0" w:line="271" w:lineRule="auto"/>
        <w:tabs>
          <w:tab w:leader="none" w:pos="63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67" w:lineRule="exact"/>
        <w:rPr>
          <w:rFonts w:ascii="Arial" w:cs="Arial" w:eastAsia="Arial" w:hAnsi="Arial"/>
          <w:sz w:val="18"/>
          <w:szCs w:val="18"/>
          <w:color w:val="auto"/>
        </w:rPr>
      </w:pPr>
    </w:p>
    <w:p>
      <w:pPr>
        <w:ind w:left="-20" w:right="120" w:firstLine="444"/>
        <w:spacing w:after="0" w:line="271" w:lineRule="auto"/>
        <w:tabs>
          <w:tab w:leader="none" w:pos="66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67" w:lineRule="exact"/>
        <w:rPr>
          <w:rFonts w:ascii="Arial" w:cs="Arial" w:eastAsia="Arial" w:hAnsi="Arial"/>
          <w:sz w:val="18"/>
          <w:szCs w:val="18"/>
          <w:color w:val="auto"/>
        </w:rPr>
      </w:pPr>
    </w:p>
    <w:p>
      <w:pPr>
        <w:ind w:left="-20" w:right="840" w:firstLine="444"/>
        <w:spacing w:after="0" w:line="335" w:lineRule="auto"/>
        <w:tabs>
          <w:tab w:leader="none" w:pos="66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21" w:lineRule="exact"/>
        <w:rPr>
          <w:rFonts w:ascii="Arial" w:cs="Arial" w:eastAsia="Arial" w:hAnsi="Arial"/>
          <w:sz w:val="16"/>
          <w:szCs w:val="16"/>
          <w:color w:val="auto"/>
        </w:rPr>
      </w:pPr>
    </w:p>
    <w:p>
      <w:pPr>
        <w:ind w:left="-20" w:right="40" w:firstLine="444"/>
        <w:spacing w:after="0" w:line="272" w:lineRule="auto"/>
        <w:tabs>
          <w:tab w:leader="none" w:pos="62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500" w:top="272" w:right="519" w:bottom="1440" w:gutter="0" w:footer="0" w:header="0"/>
        </w:sectPr>
      </w:pPr>
    </w:p>
    <w:bookmarkStart w:id="330" w:name="page331"/>
    <w:bookmarkEnd w:id="33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4" w:lineRule="exact"/>
        <w:rPr>
          <w:sz w:val="20"/>
          <w:szCs w:val="20"/>
          <w:color w:val="auto"/>
        </w:rPr>
      </w:pPr>
    </w:p>
    <w:p>
      <w:pPr>
        <w:ind w:left="-20" w:right="120" w:firstLine="444"/>
        <w:spacing w:after="0" w:line="255" w:lineRule="auto"/>
        <w:tabs>
          <w:tab w:leader="none" w:pos="6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83" w:lineRule="exact"/>
        <w:rPr>
          <w:rFonts w:ascii="Arial" w:cs="Arial" w:eastAsia="Arial" w:hAnsi="Arial"/>
          <w:sz w:val="18"/>
          <w:szCs w:val="18"/>
          <w:color w:val="auto"/>
        </w:rPr>
      </w:pPr>
    </w:p>
    <w:p>
      <w:pPr>
        <w:ind w:left="420" w:firstLine="423"/>
        <w:spacing w:after="0" w:line="251" w:lineRule="auto"/>
        <w:tabs>
          <w:tab w:leader="none" w:pos="1091"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Other than By or In the Right of the Corporation</w:t>
      </w:r>
      <w:r>
        <w:rPr>
          <w:rFonts w:ascii="Arial" w:cs="Arial" w:eastAsia="Arial" w:hAnsi="Arial"/>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9" w:lineRule="exact"/>
        <w:rPr>
          <w:rFonts w:ascii="Arial" w:cs="Arial" w:eastAsia="Arial" w:hAnsi="Arial"/>
          <w:sz w:val="18"/>
          <w:szCs w:val="18"/>
          <w:color w:val="auto"/>
        </w:rPr>
      </w:pPr>
    </w:p>
    <w:p>
      <w:pPr>
        <w:ind w:left="420" w:right="40" w:firstLine="423"/>
        <w:spacing w:after="0" w:line="267" w:lineRule="auto"/>
        <w:tabs>
          <w:tab w:leader="none" w:pos="1091"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By or In the Right of the Corporation</w:t>
      </w:r>
      <w:r>
        <w:rPr>
          <w:rFonts w:ascii="Arial" w:cs="Arial" w:eastAsia="Arial" w:hAnsi="Arial"/>
          <w:sz w:val="17"/>
          <w:szCs w:val="17"/>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72" w:lineRule="exact"/>
        <w:rPr>
          <w:rFonts w:ascii="Arial" w:cs="Arial" w:eastAsia="Arial" w:hAnsi="Arial"/>
          <w:sz w:val="17"/>
          <w:szCs w:val="17"/>
          <w:color w:val="auto"/>
        </w:rPr>
      </w:pPr>
    </w:p>
    <w:p>
      <w:pPr>
        <w:ind w:left="420" w:right="140" w:firstLine="423"/>
        <w:spacing w:after="0" w:line="335" w:lineRule="auto"/>
        <w:tabs>
          <w:tab w:leader="none" w:pos="1091"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500" w:top="272" w:right="499" w:bottom="1440" w:gutter="0" w:footer="0" w:header="0"/>
        </w:sectPr>
      </w:pPr>
    </w:p>
    <w:bookmarkStart w:id="331" w:name="page332"/>
    <w:bookmarkEnd w:id="331"/>
    <w:p>
      <w:pPr>
        <w:ind w:left="440" w:right="300" w:firstLine="423"/>
        <w:spacing w:after="0" w:line="253" w:lineRule="auto"/>
        <w:tabs>
          <w:tab w:leader="none" w:pos="111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93" w:lineRule="exact"/>
        <w:rPr>
          <w:sz w:val="20"/>
          <w:szCs w:val="20"/>
          <w:color w:val="auto"/>
        </w:rPr>
      </w:pPr>
    </w:p>
    <w:p>
      <w:pPr>
        <w:ind w:right="40" w:firstLine="436"/>
        <w:spacing w:after="0" w:line="28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Indemnification of Non-Officer Employees</w:t>
      </w:r>
      <w:r>
        <w:rPr>
          <w:rFonts w:ascii="Arial" w:cs="Arial" w:eastAsia="Arial" w:hAnsi="Arial"/>
          <w:sz w:val="16"/>
          <w:szCs w:val="16"/>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73"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Determination</w:t>
      </w:r>
      <w:r>
        <w:rPr>
          <w:rFonts w:ascii="Arial" w:cs="Arial" w:eastAsia="Arial" w:hAnsi="Arial"/>
          <w:sz w:val="16"/>
          <w:szCs w:val="16"/>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67" w:lineRule="auto"/>
        <w:tabs>
          <w:tab w:leader="none" w:pos="67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2" w:right="499" w:bottom="1440" w:gutter="0" w:footer="0" w:header="0"/>
        </w:sectPr>
      </w:pPr>
    </w:p>
    <w:bookmarkStart w:id="332" w:name="page333"/>
    <w:bookmarkEnd w:id="332"/>
    <w:p>
      <w:pPr>
        <w:ind w:left="-20" w:firstLine="444"/>
        <w:spacing w:after="0" w:line="288" w:lineRule="auto"/>
        <w:tabs>
          <w:tab w:leader="none" w:pos="669"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59" w:lineRule="exact"/>
        <w:rPr>
          <w:rFonts w:ascii="Arial" w:cs="Arial" w:eastAsia="Arial" w:hAnsi="Arial"/>
          <w:sz w:val="16"/>
          <w:szCs w:val="16"/>
          <w:color w:val="auto"/>
        </w:rPr>
      </w:pPr>
    </w:p>
    <w:p>
      <w:pPr>
        <w:jc w:val="both"/>
        <w:ind w:left="-20" w:right="200" w:firstLine="444"/>
        <w:spacing w:after="0" w:line="259" w:lineRule="auto"/>
        <w:tabs>
          <w:tab w:leader="none" w:pos="6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114" w:lineRule="exact"/>
        <w:rPr>
          <w:sz w:val="20"/>
          <w:szCs w:val="20"/>
          <w:color w:val="auto"/>
        </w:rPr>
      </w:pPr>
    </w:p>
    <w:p>
      <w:pPr>
        <w:ind w:left="-20" w:right="20" w:firstLine="444"/>
        <w:spacing w:after="0" w:line="251" w:lineRule="auto"/>
        <w:tabs>
          <w:tab w:leader="none" w:pos="65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9" w:lineRule="exact"/>
        <w:rPr>
          <w:rFonts w:ascii="Arial" w:cs="Arial" w:eastAsia="Arial" w:hAnsi="Arial"/>
          <w:sz w:val="18"/>
          <w:szCs w:val="18"/>
          <w:color w:val="auto"/>
        </w:rPr>
      </w:pPr>
    </w:p>
    <w:p>
      <w:pPr>
        <w:ind w:left="-20" w:right="200" w:firstLine="444"/>
        <w:spacing w:after="0" w:line="259" w:lineRule="auto"/>
        <w:tabs>
          <w:tab w:leader="none" w:pos="66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500" w:top="272" w:right="499" w:bottom="1440" w:gutter="0" w:footer="0" w:header="0"/>
        </w:sectPr>
      </w:pPr>
    </w:p>
    <w:bookmarkStart w:id="333" w:name="page334"/>
    <w:bookmarkEnd w:id="3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5" w:lineRule="auto"/>
        <w:tabs>
          <w:tab w:leader="none" w:pos="67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61" w:lineRule="exact"/>
        <w:rPr>
          <w:rFonts w:ascii="Arial" w:cs="Arial" w:eastAsia="Arial" w:hAnsi="Arial"/>
          <w:sz w:val="16"/>
          <w:szCs w:val="16"/>
          <w:color w:val="auto"/>
        </w:rPr>
      </w:pPr>
    </w:p>
    <w:p>
      <w:pPr>
        <w:ind w:right="120" w:firstLine="444"/>
        <w:spacing w:after="0" w:line="288" w:lineRule="auto"/>
        <w:tabs>
          <w:tab w:leader="none" w:pos="68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59" w:lineRule="exact"/>
        <w:rPr>
          <w:rFonts w:ascii="Arial" w:cs="Arial" w:eastAsia="Arial" w:hAnsi="Arial"/>
          <w:sz w:val="16"/>
          <w:szCs w:val="16"/>
          <w:color w:val="auto"/>
        </w:rPr>
      </w:pPr>
    </w:p>
    <w:p>
      <w:pPr>
        <w:ind w:right="180" w:firstLine="444"/>
        <w:spacing w:after="0" w:line="271" w:lineRule="auto"/>
        <w:tabs>
          <w:tab w:leader="none" w:pos="67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5" w:lineRule="exact"/>
        <w:rPr>
          <w:sz w:val="20"/>
          <w:szCs w:val="20"/>
          <w:color w:val="auto"/>
        </w:rPr>
      </w:pPr>
    </w:p>
    <w:p>
      <w:pPr>
        <w:jc w:val="both"/>
        <w:ind w:right="340" w:firstLine="43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6"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334" w:name="page335"/>
    <w:bookmarkEnd w:id="334"/>
    <w:p>
      <w:pPr>
        <w:ind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 Provisions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190" w:lineRule="exact"/>
        <w:rPr>
          <w:sz w:val="20"/>
          <w:szCs w:val="20"/>
          <w:color w:val="auto"/>
        </w:rPr>
      </w:pPr>
    </w:p>
    <w:p>
      <w:pPr>
        <w:ind w:right="20" w:firstLine="436"/>
        <w:spacing w:after="0" w:line="29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59"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80" w:top="272" w:right="539" w:bottom="1440" w:gutter="0" w:footer="0" w:header="0"/>
        </w:sectPr>
      </w:pPr>
    </w:p>
    <w:bookmarkStart w:id="335" w:name="page336"/>
    <w:bookmarkEnd w:id="335"/>
    <w:p>
      <w:pPr>
        <w:ind w:right="220" w:firstLine="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6. </w:t>
      </w:r>
      <w:r>
        <w:rPr>
          <w:rFonts w:ascii="Arial" w:cs="Arial" w:eastAsia="Arial" w:hAnsi="Arial"/>
          <w:sz w:val="16"/>
          <w:szCs w:val="16"/>
          <w:u w:val="single" w:color="auto"/>
          <w:color w:val="auto"/>
        </w:rPr>
        <w:t>Corporate Records</w:t>
      </w:r>
      <w:r>
        <w:rPr>
          <w:rFonts w:ascii="Arial" w:cs="Arial" w:eastAsia="Arial" w:hAnsi="Arial"/>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59" w:lineRule="exact"/>
        <w:rPr>
          <w:sz w:val="20"/>
          <w:szCs w:val="20"/>
          <w:color w:val="auto"/>
        </w:rPr>
      </w:pPr>
    </w:p>
    <w:p>
      <w:pPr>
        <w:ind w:right="760" w:firstLine="436"/>
        <w:spacing w:after="0" w:line="27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Fourth Amended and Restated Certificate of Incorporation of the Corporation, as amended and/or restated and in effect from time to time.</w:t>
      </w:r>
    </w:p>
    <w:p>
      <w:pPr>
        <w:spacing w:after="0" w:line="175"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Exclusive Jurisdiction of Delaware Courts or the United States Federal District Courts.</w:t>
      </w:r>
      <w:r>
        <w:rPr>
          <w:rFonts w:ascii="Arial" w:cs="Arial" w:eastAsia="Arial" w:hAnsi="Arial"/>
          <w:sz w:val="16"/>
          <w:szCs w:val="16"/>
          <w:color w:val="auto"/>
        </w:rPr>
        <w:t xml:space="preserve"> Unless the Corporation consents in writing to the selection of an alternative forum, the Court of Chancery of the State of Delaware shall be the sole and exclusive forum for any state law claims for</w:t>
      </w:r>
    </w:p>
    <w:p>
      <w:pPr>
        <w:spacing w:after="0" w:line="1" w:lineRule="exact"/>
        <w:rPr>
          <w:sz w:val="20"/>
          <w:szCs w:val="20"/>
          <w:color w:val="auto"/>
        </w:rPr>
      </w:pPr>
    </w:p>
    <w:p>
      <w:pPr>
        <w:ind w:firstLine="7"/>
        <w:spacing w:after="0" w:line="279" w:lineRule="auto"/>
        <w:tabs>
          <w:tab w:leader="none" w:pos="21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w:t>
      </w:r>
    </w:p>
    <w:p>
      <w:pPr>
        <w:ind w:right="40" w:firstLine="7"/>
        <w:spacing w:after="0" w:line="249" w:lineRule="auto"/>
        <w:tabs>
          <w:tab w:leader="none" w:pos="31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21" w:lineRule="exact"/>
        <w:rPr>
          <w:sz w:val="20"/>
          <w:szCs w:val="20"/>
          <w:color w:val="auto"/>
        </w:rPr>
      </w:pPr>
    </w:p>
    <w:p>
      <w:pPr>
        <w:ind w:right="180" w:firstLine="444"/>
        <w:spacing w:after="0" w:line="271" w:lineRule="auto"/>
        <w:tabs>
          <w:tab w:leader="none" w:pos="679"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174" w:lineRule="exact"/>
        <w:rPr>
          <w:rFonts w:ascii="Arial" w:cs="Arial" w:eastAsia="Arial" w:hAnsi="Arial"/>
          <w:sz w:val="18"/>
          <w:szCs w:val="18"/>
          <w:color w:val="auto"/>
        </w:rPr>
      </w:pPr>
    </w:p>
    <w:p>
      <w:pPr>
        <w:ind w:right="80" w:firstLine="444"/>
        <w:spacing w:after="0" w:line="252" w:lineRule="auto"/>
        <w:tabs>
          <w:tab w:leader="none" w:pos="689"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by the affirmative vote of at least two-thirds (2/3)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94" w:lineRule="exact"/>
        <w:rPr>
          <w:sz w:val="20"/>
          <w:szCs w:val="20"/>
          <w:color w:val="auto"/>
        </w:rPr>
      </w:pPr>
    </w:p>
    <w:p>
      <w:pPr>
        <w:ind w:right="20" w:firstLine="436"/>
        <w:spacing w:after="0" w:line="30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1" w:right="499" w:bottom="1440" w:gutter="0" w:footer="0" w:header="0"/>
        </w:sectPr>
      </w:pPr>
    </w:p>
    <w:bookmarkStart w:id="336" w:name="page337"/>
    <w:bookmarkEnd w:id="336"/>
    <w:p>
      <w:pPr>
        <w:jc w:val="both"/>
        <w:ind w:firstLine="43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Adopted: [•]</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Effective: [•]</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80"/>
          </w:cols>
          <w:pgMar w:left="480" w:top="272" w:right="6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221" w:lineRule="exact"/>
        <w:rPr>
          <w:sz w:val="20"/>
          <w:szCs w:val="20"/>
          <w:color w:val="auto"/>
        </w:rPr>
      </w:pPr>
    </w:p>
    <w:p>
      <w:pPr>
        <w:jc w:val="both"/>
        <w:ind w:right="140" w:firstLine="436"/>
        <w:spacing w:after="0" w:line="261"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11</w:t>
      </w:r>
      <w:r>
        <w:rPr>
          <w:rFonts w:ascii="Arial" w:cs="Arial" w:eastAsia="Arial" w:hAnsi="Arial"/>
          <w:sz w:val="15"/>
          <w:szCs w:val="15"/>
          <w:color w:val="auto"/>
        </w:rPr>
        <w:t>th</w:t>
      </w:r>
      <w:r>
        <w:rPr>
          <w:rFonts w:ascii="Arial" w:cs="Arial" w:eastAsia="Arial" w:hAnsi="Arial"/>
          <w:sz w:val="18"/>
          <w:szCs w:val="18"/>
          <w:color w:val="auto"/>
        </w:rPr>
        <w:t xml:space="preserve"> day of March, 2021, by and among Monte Rosa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1" w:lineRule="exact"/>
        <w:rPr>
          <w:sz w:val="20"/>
          <w:szCs w:val="20"/>
          <w:color w:val="auto"/>
        </w:rPr>
      </w:pPr>
    </w:p>
    <w:p>
      <w:pPr>
        <w:ind w:right="120" w:firstLine="982"/>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Preferred Stock and/or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upon conversion thereof and possess registration rights, information rights, rights of first offer, and other rights pursuant to that certain Amended and Restated Investors’ Rights Agreement dated as of September 14, 2020, by and among the Company and such Existing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83" w:lineRule="exact"/>
        <w:rPr>
          <w:sz w:val="20"/>
          <w:szCs w:val="20"/>
          <w:color w:val="auto"/>
        </w:rPr>
      </w:pPr>
    </w:p>
    <w:p>
      <w:pPr>
        <w:ind w:right="60" w:firstLine="982"/>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seventy percent (70%) of the Preferred Stock (voting as a single class and on an</w:t>
      </w:r>
      <w:r>
        <w:rPr>
          <w:rFonts w:ascii="Arial" w:cs="Arial" w:eastAsia="Arial" w:hAnsi="Arial"/>
          <w:sz w:val="18"/>
          <w:szCs w:val="18"/>
          <w:b w:val="1"/>
          <w:bCs w:val="1"/>
          <w:color w:val="auto"/>
        </w:rPr>
        <w:t xml:space="preserve"> </w:t>
      </w:r>
      <w:r>
        <w:rPr>
          <w:rFonts w:ascii="Arial" w:cs="Arial" w:eastAsia="Arial" w:hAnsi="Arial"/>
          <w:sz w:val="18"/>
          <w:szCs w:val="18"/>
          <w:color w:val="auto"/>
        </w:rPr>
        <w:t>as-converted basis), and desire to amend and restate the Prior Agreement in its entirety and to accept the rights created pursuant to this Agreement in lieu of the rights granted to them under the Prior Agreement; and</w:t>
      </w:r>
    </w:p>
    <w:p>
      <w:pPr>
        <w:spacing w:after="0" w:line="181" w:lineRule="exact"/>
        <w:rPr>
          <w:sz w:val="20"/>
          <w:szCs w:val="20"/>
          <w:color w:val="auto"/>
        </w:rPr>
      </w:pPr>
    </w:p>
    <w:p>
      <w:pPr>
        <w:ind w:right="60" w:firstLine="982"/>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C Preferred Stock Purchase Agreement of even date herewith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Existing Investors holding at least seventy percent (70%) of the Preferred Stock (voting as a single class and on an as-converted basis), and the Company.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Existing Investors hereby agree that the Prior Agreement shall be amended and restated, and the parties to this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Agreement further agree as follows: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0" w:lineRule="exact"/>
        <w:rPr>
          <w:sz w:val="20"/>
          <w:szCs w:val="20"/>
          <w:color w:val="auto"/>
        </w:rPr>
      </w:pPr>
    </w:p>
    <w:p>
      <w:pPr>
        <w:ind w:left="1420" w:right="20" w:firstLine="380"/>
        <w:spacing w:after="0" w:line="268"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 of, or shares the same management company or investment adviser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definition, a “portfolio company” controlled by a Person will not be deemed an “Affiliate” of such Person. A portfolio company of NEA, Versant, Amzak, HBM, Aisling or Avoro shall be defined as any entity in which NEA, Versant, Amzak, HBM, Aisling, RTW Entities or Avoro, as applicable, holds an equity interest, whether in the form of securities or convertible debt.</w:t>
      </w:r>
    </w:p>
    <w:p>
      <w:pPr>
        <w:spacing w:after="0" w:line="7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Aisling</w:t>
      </w:r>
      <w:r>
        <w:rPr>
          <w:rFonts w:ascii="Arial" w:cs="Arial" w:eastAsia="Arial" w:hAnsi="Arial"/>
          <w:sz w:val="18"/>
          <w:szCs w:val="18"/>
          <w:color w:val="auto"/>
        </w:rPr>
        <w:t>” means Aisling Capital V, L.P.</w:t>
      </w:r>
    </w:p>
    <w:p>
      <w:pPr>
        <w:sectPr>
          <w:pgSz w:w="11900" w:h="16838" w:orient="portrait"/>
          <w:cols w:equalWidth="0" w:num="1">
            <w:col w:w="10920"/>
          </w:cols>
          <w:pgMar w:left="480" w:top="121" w:right="499" w:bottom="1440" w:gutter="0" w:footer="0" w:header="0"/>
        </w:sectPr>
      </w:pPr>
    </w:p>
    <w:bookmarkStart w:id="338" w:name="page339"/>
    <w:bookmarkEnd w:id="338"/>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 “</w:t>
      </w:r>
      <w:r>
        <w:rPr>
          <w:rFonts w:ascii="Arial" w:cs="Arial" w:eastAsia="Arial" w:hAnsi="Arial"/>
          <w:sz w:val="18"/>
          <w:szCs w:val="18"/>
          <w:b w:val="1"/>
          <w:bCs w:val="1"/>
          <w:color w:val="auto"/>
        </w:rPr>
        <w:t>Amzak</w:t>
      </w:r>
      <w:r>
        <w:rPr>
          <w:rFonts w:ascii="Arial" w:cs="Arial" w:eastAsia="Arial" w:hAnsi="Arial"/>
          <w:sz w:val="18"/>
          <w:szCs w:val="18"/>
          <w:color w:val="auto"/>
        </w:rPr>
        <w:t>” means Amzak Health Investors, LLC.</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Avoro</w:t>
      </w:r>
      <w:r>
        <w:rPr>
          <w:rFonts w:ascii="Arial" w:cs="Arial" w:eastAsia="Arial" w:hAnsi="Arial"/>
          <w:sz w:val="18"/>
          <w:szCs w:val="18"/>
          <w:color w:val="auto"/>
        </w:rPr>
        <w:t>” means Avoro Life Sciences Fund LLC.</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114" w:lineRule="exact"/>
        <w:rPr>
          <w:sz w:val="20"/>
          <w:szCs w:val="20"/>
          <w:color w:val="auto"/>
        </w:rPr>
      </w:pPr>
    </w:p>
    <w:p>
      <w:pPr>
        <w:ind w:left="460" w:right="580" w:firstLine="380"/>
        <w:spacing w:after="0" w:line="275"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Third Amended and Restated Certificate of Incorporation, as amended and/or restated from time to time.</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114" w:lineRule="exact"/>
        <w:rPr>
          <w:sz w:val="20"/>
          <w:szCs w:val="20"/>
          <w:color w:val="auto"/>
        </w:rPr>
      </w:pPr>
    </w:p>
    <w:p>
      <w:pPr>
        <w:ind w:left="460" w:right="20" w:firstLine="380"/>
        <w:spacing w:after="0" w:line="25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Competitor</w:t>
      </w:r>
      <w:r>
        <w:rPr>
          <w:rFonts w:ascii="Arial" w:cs="Arial" w:eastAsia="Arial" w:hAnsi="Arial"/>
          <w:sz w:val="18"/>
          <w:szCs w:val="18"/>
          <w:color w:val="auto"/>
        </w:rPr>
        <w:t>” means a Person engaged, directly or indirectly (including through any partnership, limited liability company, corporation, joint venture or similar arrangement (whether now existing or formed hereafter)), in the development of cancer therapeutics that modulate protein degradation pathways,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For the purposes of this Agreement, NEA, Versant, Amzak, GV, Sixty Degree, Aisling, Avoro and each of the RTW Entities shall not be deemed a Competitor.</w:t>
      </w:r>
    </w:p>
    <w:p>
      <w:pPr>
        <w:spacing w:after="0" w:line="84" w:lineRule="exact"/>
        <w:rPr>
          <w:sz w:val="20"/>
          <w:szCs w:val="20"/>
          <w:color w:val="auto"/>
        </w:rPr>
      </w:pPr>
    </w:p>
    <w:p>
      <w:pPr>
        <w:ind w:left="460" w:firstLine="380"/>
        <w:spacing w:after="0" w:line="268"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73" w:lineRule="exact"/>
        <w:rPr>
          <w:sz w:val="20"/>
          <w:szCs w:val="20"/>
          <w:color w:val="auto"/>
        </w:rPr>
      </w:pPr>
    </w:p>
    <w:p>
      <w:pPr>
        <w:ind w:left="460" w:right="140" w:firstLine="380"/>
        <w:spacing w:after="0" w:line="275"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Direct Listing</w:t>
      </w:r>
      <w:r>
        <w:rPr>
          <w:rFonts w:ascii="Arial" w:cs="Arial" w:eastAsia="Arial" w:hAnsi="Arial"/>
          <w:sz w:val="18"/>
          <w:szCs w:val="18"/>
          <w:color w:val="auto"/>
        </w:rPr>
        <w:t>” shall have the meaning as set forth in the Certificate of Incorporation.</w:t>
      </w:r>
    </w:p>
    <w:p>
      <w:pPr>
        <w:spacing w:after="0" w:line="114" w:lineRule="exact"/>
        <w:rPr>
          <w:sz w:val="20"/>
          <w:szCs w:val="20"/>
          <w:color w:val="auto"/>
        </w:rPr>
      </w:pPr>
    </w:p>
    <w:p>
      <w:pPr>
        <w:ind w:left="460" w:right="400" w:firstLine="380"/>
        <w:spacing w:after="0" w:line="275"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60"/>
          </w:cols>
          <w:pgMar w:left="1440" w:top="268" w:right="499" w:bottom="1440" w:gutter="0" w:footer="0" w:header="0"/>
        </w:sectPr>
      </w:pPr>
    </w:p>
    <w:bookmarkStart w:id="339" w:name="page340"/>
    <w:bookmarkEnd w:id="339"/>
    <w:p>
      <w:pPr>
        <w:ind w:left="460" w:firstLine="3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1.13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50" w:lineRule="exact"/>
        <w:rPr>
          <w:sz w:val="20"/>
          <w:szCs w:val="20"/>
          <w:color w:val="auto"/>
        </w:rPr>
      </w:pPr>
    </w:p>
    <w:p>
      <w:pPr>
        <w:ind w:left="460" w:right="180" w:firstLine="380"/>
        <w:spacing w:after="0" w:line="275"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61" w:lineRule="exact"/>
        <w:rPr>
          <w:sz w:val="20"/>
          <w:szCs w:val="20"/>
          <w:color w:val="auto"/>
        </w:rPr>
      </w:pPr>
    </w:p>
    <w:p>
      <w:pPr>
        <w:ind w:left="460" w:right="80" w:firstLine="380"/>
        <w:spacing w:after="0" w:line="261"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GV</w:t>
      </w:r>
      <w:r>
        <w:rPr>
          <w:rFonts w:ascii="Arial" w:cs="Arial" w:eastAsia="Arial" w:hAnsi="Arial"/>
          <w:sz w:val="18"/>
          <w:szCs w:val="18"/>
          <w:color w:val="auto"/>
        </w:rPr>
        <w:t>” means GV 2019, L.P. and GV 2021, L.P.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HBM</w:t>
      </w:r>
      <w:r>
        <w:rPr>
          <w:rFonts w:ascii="Arial" w:cs="Arial" w:eastAsia="Arial" w:hAnsi="Arial"/>
          <w:sz w:val="18"/>
          <w:szCs w:val="18"/>
          <w:color w:val="auto"/>
        </w:rPr>
        <w:t>” means HBM Healthcare Investments (Cayman) Ltd.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114" w:lineRule="exact"/>
        <w:rPr>
          <w:sz w:val="20"/>
          <w:szCs w:val="20"/>
          <w:color w:val="auto"/>
        </w:rPr>
      </w:pPr>
    </w:p>
    <w:p>
      <w:pPr>
        <w:jc w:val="both"/>
        <w:ind w:left="460" w:right="340" w:firstLine="380"/>
        <w:spacing w:after="0" w:line="261"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Initiating Holders</w:t>
      </w:r>
      <w:r>
        <w:rPr>
          <w:rFonts w:ascii="Arial" w:cs="Arial" w:eastAsia="Arial" w:hAnsi="Arial"/>
          <w:sz w:val="17"/>
          <w:szCs w:val="17"/>
          <w:color w:val="auto"/>
        </w:rPr>
        <w:t>” means, collectively, Holders who properly initiate a registration request under this Agreement.</w:t>
      </w:r>
    </w:p>
    <w:p>
      <w:pPr>
        <w:spacing w:after="0" w:line="1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14" w:lineRule="exact"/>
        <w:rPr>
          <w:sz w:val="20"/>
          <w:szCs w:val="20"/>
          <w:color w:val="auto"/>
        </w:rPr>
      </w:pPr>
    </w:p>
    <w:p>
      <w:pPr>
        <w:jc w:val="both"/>
        <w:ind w:left="460" w:right="40" w:firstLine="380"/>
        <w:spacing w:after="0" w:line="261"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74" w:lineRule="exact"/>
        <w:rPr>
          <w:sz w:val="20"/>
          <w:szCs w:val="20"/>
          <w:color w:val="auto"/>
        </w:rPr>
      </w:pPr>
    </w:p>
    <w:p>
      <w:pPr>
        <w:jc w:val="both"/>
        <w:ind w:left="460" w:right="560" w:firstLine="380"/>
        <w:spacing w:after="0" w:line="261"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1,100,000 shares of Preferred Stock (as adjusted for any stock split, stock dividend, combination, or other recapitalization or reclassification effected after the date hereof).</w:t>
      </w:r>
    </w:p>
    <w:p>
      <w:pPr>
        <w:spacing w:after="0" w:line="1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00"/>
          </w:cols>
          <w:pgMar w:left="1440" w:top="268" w:right="559" w:bottom="1440" w:gutter="0" w:footer="0" w:header="0"/>
        </w:sectPr>
      </w:pPr>
    </w:p>
    <w:bookmarkStart w:id="340" w:name="page341"/>
    <w:bookmarkEnd w:id="340"/>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1.25 “</w:t>
      </w:r>
      <w:r>
        <w:rPr>
          <w:rFonts w:ascii="Arial" w:cs="Arial" w:eastAsia="Arial" w:hAnsi="Arial"/>
          <w:sz w:val="18"/>
          <w:szCs w:val="18"/>
          <w:b w:val="1"/>
          <w:bCs w:val="1"/>
          <w:color w:val="auto"/>
        </w:rPr>
        <w:t>NEA</w:t>
      </w:r>
      <w:r>
        <w:rPr>
          <w:rFonts w:ascii="Arial" w:cs="Arial" w:eastAsia="Arial" w:hAnsi="Arial"/>
          <w:sz w:val="18"/>
          <w:szCs w:val="18"/>
          <w:color w:val="auto"/>
        </w:rPr>
        <w:t>” means New Enterprise Associates 17, L.P.</w:t>
      </w:r>
    </w:p>
    <w:p>
      <w:pPr>
        <w:spacing w:after="0" w:line="114" w:lineRule="exact"/>
        <w:rPr>
          <w:sz w:val="20"/>
          <w:szCs w:val="20"/>
          <w:color w:val="auto"/>
        </w:rPr>
      </w:pPr>
    </w:p>
    <w:p>
      <w:pPr>
        <w:ind w:left="460" w:right="180" w:firstLine="380"/>
        <w:spacing w:after="0" w:line="261"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trust, limited liability company, association or other entity.</w:t>
      </w:r>
    </w:p>
    <w:p>
      <w:pPr>
        <w:spacing w:after="0" w:line="1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b w:val="1"/>
          <w:bCs w:val="1"/>
          <w:color w:val="auto"/>
        </w:rPr>
        <w:t>Preferred Directors</w:t>
      </w:r>
      <w:r>
        <w:rPr>
          <w:rFonts w:ascii="Arial" w:cs="Arial" w:eastAsia="Arial" w:hAnsi="Arial"/>
          <w:sz w:val="17"/>
          <w:szCs w:val="17"/>
          <w:color w:val="auto"/>
        </w:rPr>
        <w:t>” means, collectively, the Series A Directors, the Series A-2 Director and Series B Directors.</w:t>
      </w:r>
    </w:p>
    <w:p>
      <w:pPr>
        <w:spacing w:after="0" w:line="125" w:lineRule="exact"/>
        <w:rPr>
          <w:sz w:val="20"/>
          <w:szCs w:val="20"/>
          <w:color w:val="auto"/>
        </w:rPr>
      </w:pPr>
    </w:p>
    <w:p>
      <w:pPr>
        <w:ind w:left="460" w:right="220" w:firstLine="380"/>
        <w:spacing w:after="0" w:line="275"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Company’s Series A Preferred Stock, Series A-2 Preferred Stock, Series B Preferred Stock and Series C Preferred Stock.</w:t>
      </w:r>
    </w:p>
    <w:p>
      <w:pPr>
        <w:spacing w:after="0" w:line="61" w:lineRule="exact"/>
        <w:rPr>
          <w:sz w:val="20"/>
          <w:szCs w:val="20"/>
          <w:color w:val="auto"/>
        </w:rPr>
      </w:pPr>
    </w:p>
    <w:p>
      <w:pPr>
        <w:ind w:left="460" w:firstLine="380"/>
        <w:spacing w:after="0" w:line="268"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owned by the Investors, or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of this Agreement.</w:t>
      </w:r>
    </w:p>
    <w:p>
      <w:pPr>
        <w:spacing w:after="0" w:line="73" w:lineRule="exact"/>
        <w:rPr>
          <w:sz w:val="20"/>
          <w:szCs w:val="20"/>
          <w:color w:val="auto"/>
        </w:rPr>
      </w:pPr>
    </w:p>
    <w:p>
      <w:pPr>
        <w:ind w:left="460" w:right="200" w:firstLine="380"/>
        <w:spacing w:after="0" w:line="284"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55" w:lineRule="exact"/>
        <w:rPr>
          <w:sz w:val="20"/>
          <w:szCs w:val="20"/>
          <w:color w:val="auto"/>
        </w:rPr>
      </w:pPr>
    </w:p>
    <w:p>
      <w:pPr>
        <w:ind w:left="460" w:right="740" w:firstLine="380"/>
        <w:spacing w:after="0" w:line="275"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 notated with the legend set forth in </w:t>
      </w:r>
      <w:r>
        <w:rPr>
          <w:rFonts w:ascii="Arial" w:cs="Arial" w:eastAsia="Arial" w:hAnsi="Arial"/>
          <w:sz w:val="18"/>
          <w:szCs w:val="18"/>
          <w:u w:val="single" w:color="auto"/>
          <w:color w:val="auto"/>
        </w:rPr>
        <w:t>Subsection 2.12(b)</w:t>
      </w:r>
      <w:r>
        <w:rPr>
          <w:rFonts w:ascii="Arial" w:cs="Arial" w:eastAsia="Arial" w:hAnsi="Arial"/>
          <w:sz w:val="18"/>
          <w:szCs w:val="18"/>
          <w:color w:val="auto"/>
        </w:rPr>
        <w:t xml:space="preserve"> hereof.</w:t>
      </w:r>
    </w:p>
    <w:p>
      <w:pPr>
        <w:spacing w:after="0" w:line="61" w:lineRule="exact"/>
        <w:rPr>
          <w:sz w:val="20"/>
          <w:szCs w:val="20"/>
          <w:color w:val="auto"/>
        </w:rPr>
      </w:pPr>
    </w:p>
    <w:p>
      <w:pPr>
        <w:ind w:left="460" w:right="280" w:firstLine="380"/>
        <w:spacing w:after="0" w:line="275"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RTW Entities</w:t>
      </w:r>
      <w:r>
        <w:rPr>
          <w:rFonts w:ascii="Arial" w:cs="Arial" w:eastAsia="Arial" w:hAnsi="Arial"/>
          <w:sz w:val="18"/>
          <w:szCs w:val="18"/>
          <w:color w:val="auto"/>
        </w:rPr>
        <w:t>” means, collectively, RTW Master Fund, Ltd., RTW Innovation Master Fund, Ltd., and RTW Venture Fund Limited.</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440" w:top="268" w:right="559" w:bottom="1440" w:gutter="0" w:footer="0" w:header="0"/>
        </w:sectPr>
      </w:pPr>
    </w:p>
    <w:bookmarkStart w:id="341" w:name="page342"/>
    <w:bookmarkEnd w:id="341"/>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1.36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1.37 “</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37" w:lineRule="exact"/>
        <w:rPr>
          <w:sz w:val="20"/>
          <w:szCs w:val="20"/>
          <w:color w:val="auto"/>
        </w:rPr>
      </w:pPr>
    </w:p>
    <w:p>
      <w:pPr>
        <w:jc w:val="both"/>
        <w:ind w:left="460" w:right="20" w:firstLine="380"/>
        <w:spacing w:after="0" w:line="261"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74" w:lineRule="exact"/>
        <w:rPr>
          <w:sz w:val="20"/>
          <w:szCs w:val="20"/>
          <w:color w:val="auto"/>
        </w:rPr>
      </w:pPr>
    </w:p>
    <w:p>
      <w:pPr>
        <w:ind w:left="460" w:right="220" w:firstLine="380"/>
        <w:spacing w:after="0" w:line="306"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b w:val="1"/>
          <w:bCs w:val="1"/>
          <w:color w:val="auto"/>
        </w:rPr>
        <w:t>Series A Directors</w:t>
      </w:r>
      <w:r>
        <w:rPr>
          <w:rFonts w:ascii="Arial" w:cs="Arial" w:eastAsia="Arial" w:hAnsi="Arial"/>
          <w:sz w:val="17"/>
          <w:szCs w:val="17"/>
          <w:color w:val="auto"/>
        </w:rPr>
        <w:t>” means any director of the Company that the holders of record of the Series A Preferred Stock are entitled to elect, exclusively and as a separate class, pursuant to the Certificate of Incorporation.</w:t>
      </w:r>
    </w:p>
    <w:p>
      <w:pPr>
        <w:spacing w:after="0" w:line="36" w:lineRule="exact"/>
        <w:rPr>
          <w:sz w:val="20"/>
          <w:szCs w:val="20"/>
          <w:color w:val="auto"/>
        </w:rPr>
      </w:pPr>
    </w:p>
    <w:p>
      <w:pPr>
        <w:ind w:left="460" w:firstLine="380"/>
        <w:spacing w:after="0" w:line="275"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Series A-2 Director</w:t>
      </w:r>
      <w:r>
        <w:rPr>
          <w:rFonts w:ascii="Arial" w:cs="Arial" w:eastAsia="Arial" w:hAnsi="Arial"/>
          <w:sz w:val="18"/>
          <w:szCs w:val="18"/>
          <w:color w:val="auto"/>
        </w:rPr>
        <w:t>” means any director of the Company that the holders of record of the Series A-2 Preferred Stock are entitled to elect, exclusively and as a separate class, pursuant to the Certificate of Incorporation.</w:t>
      </w:r>
    </w:p>
    <w:p>
      <w:pPr>
        <w:spacing w:after="0" w:line="61" w:lineRule="exact"/>
        <w:rPr>
          <w:sz w:val="20"/>
          <w:szCs w:val="20"/>
          <w:color w:val="auto"/>
        </w:rPr>
      </w:pPr>
    </w:p>
    <w:p>
      <w:pPr>
        <w:ind w:left="460" w:right="240" w:firstLine="380"/>
        <w:spacing w:after="0" w:line="306"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b w:val="1"/>
          <w:bCs w:val="1"/>
          <w:color w:val="auto"/>
        </w:rPr>
        <w:t>Series B Directors</w:t>
      </w:r>
      <w:r>
        <w:rPr>
          <w:rFonts w:ascii="Arial" w:cs="Arial" w:eastAsia="Arial" w:hAnsi="Arial"/>
          <w:sz w:val="17"/>
          <w:szCs w:val="17"/>
          <w:color w:val="auto"/>
        </w:rPr>
        <w:t>” means any director of the Company that the holders of record of the Series B Preferred Stock are entitled to elect, exclusively and as a separate class, pursuant to the Certificate of Incorporation.</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1.42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$0.0001 per share.</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1.43 “</w:t>
      </w:r>
      <w:r>
        <w:rPr>
          <w:rFonts w:ascii="Arial" w:cs="Arial" w:eastAsia="Arial" w:hAnsi="Arial"/>
          <w:sz w:val="16"/>
          <w:szCs w:val="16"/>
          <w:b w:val="1"/>
          <w:bCs w:val="1"/>
          <w:color w:val="auto"/>
        </w:rPr>
        <w:t>Series A-2 Preferred Stock</w:t>
      </w:r>
      <w:r>
        <w:rPr>
          <w:rFonts w:ascii="Arial" w:cs="Arial" w:eastAsia="Arial" w:hAnsi="Arial"/>
          <w:sz w:val="16"/>
          <w:szCs w:val="16"/>
          <w:color w:val="auto"/>
        </w:rPr>
        <w:t>” means shares of the Company’s Series A-2 Preferred Stock, par value $0.0001 per share.</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1.44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$0.0001 per share.</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1.45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Preferred Stock, par value $0.0001 per share.</w:t>
      </w:r>
    </w:p>
    <w:p>
      <w:pPr>
        <w:spacing w:after="0" w:line="137" w:lineRule="exact"/>
        <w:rPr>
          <w:sz w:val="20"/>
          <w:szCs w:val="20"/>
          <w:color w:val="auto"/>
        </w:rPr>
      </w:pPr>
    </w:p>
    <w:p>
      <w:pPr>
        <w:ind w:left="460" w:right="300" w:firstLine="380"/>
        <w:spacing w:after="0" w:line="275"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Sixty Degree</w:t>
      </w:r>
      <w:r>
        <w:rPr>
          <w:rFonts w:ascii="Arial" w:cs="Arial" w:eastAsia="Arial" w:hAnsi="Arial"/>
          <w:sz w:val="18"/>
          <w:szCs w:val="18"/>
          <w:color w:val="auto"/>
        </w:rPr>
        <w:t>” means Sixty Degree Capital Fund II, L.P., Sixty Degree Capital Fund II (International), L.P., and their respective Affiliates.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SPAC Transaction</w:t>
      </w:r>
      <w:r>
        <w:rPr>
          <w:rFonts w:ascii="Arial" w:cs="Arial" w:eastAsia="Arial" w:hAnsi="Arial"/>
          <w:sz w:val="18"/>
          <w:szCs w:val="18"/>
          <w:color w:val="auto"/>
        </w:rPr>
        <w:t>” shall have the meaning as set forth in the Certificate of Incorporation.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Versant</w:t>
      </w:r>
      <w:r>
        <w:rPr>
          <w:rFonts w:ascii="Arial" w:cs="Arial" w:eastAsia="Arial" w:hAnsi="Arial"/>
          <w:sz w:val="18"/>
          <w:szCs w:val="18"/>
          <w:color w:val="auto"/>
        </w:rPr>
        <w:t>” means Versant Venture Capital VI, L.P. and Versant Vantage I, L.P.</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20"/>
          </w:cols>
          <w:pgMar w:left="1440" w:top="268" w:right="539" w:bottom="1440" w:gutter="0" w:footer="0" w:header="0"/>
        </w:sectPr>
      </w:pPr>
    </w:p>
    <w:bookmarkStart w:id="342" w:name="page343"/>
    <w:bookmarkEnd w:id="342"/>
    <w:p>
      <w:pPr>
        <w:ind w:left="1973" w:right="5420" w:hanging="1536"/>
        <w:spacing w:after="0" w:line="496" w:lineRule="auto"/>
        <w:tabs>
          <w:tab w:leader="none" w:pos="623"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ind w:left="-7" w:firstLine="1972"/>
        <w:spacing w:after="0" w:line="281" w:lineRule="auto"/>
        <w:tabs>
          <w:tab w:leader="none" w:pos="2199" w:val="left"/>
        </w:tabs>
        <w:numPr>
          <w:ilvl w:val="2"/>
          <w:numId w:val="235"/>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January 1, 2025 or (ii) one hundred eighty (180) days after the effective date of the registration statement for the IPO or Direct Listing or (iii) one hundred eighty (180) days after the consummaton of a SPAC Transaction, the Company receives a request from Holders of a majority of the Registrable Securities then outstanding that the Company file a Form S-1 registration statement with respect to at least a majority of the Registrable Securities then outstanding (or a lesser percent if the anticipated aggregate offering price, net of Selling Expenses, would exceed $15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w:t>
      </w:r>
    </w:p>
    <w:p>
      <w:pPr>
        <w:spacing w:after="0" w:line="4" w:lineRule="exact"/>
        <w:rPr>
          <w:rFonts w:ascii="Arial" w:cs="Arial" w:eastAsia="Arial" w:hAnsi="Arial"/>
          <w:sz w:val="16"/>
          <w:szCs w:val="16"/>
          <w:color w:val="auto"/>
        </w:rPr>
      </w:pPr>
    </w:p>
    <w:p>
      <w:pPr>
        <w:ind w:left="-7" w:right="280" w:firstLine="7"/>
        <w:spacing w:after="0" w:line="270" w:lineRule="auto"/>
        <w:tabs>
          <w:tab w:leader="none" w:pos="33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7" w:right="20" w:firstLine="1972"/>
        <w:spacing w:after="0" w:line="268" w:lineRule="auto"/>
        <w:tabs>
          <w:tab w:leader="none" w:pos="2209" w:val="left"/>
        </w:tabs>
        <w:numPr>
          <w:ilvl w:val="2"/>
          <w:numId w:val="236"/>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7" w:right="20" w:firstLine="1972"/>
        <w:spacing w:after="0" w:line="285" w:lineRule="auto"/>
        <w:tabs>
          <w:tab w:leader="none" w:pos="2199" w:val="left"/>
        </w:tabs>
        <w:numPr>
          <w:ilvl w:val="2"/>
          <w:numId w:val="236"/>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for a period of not more than sixty (60)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sixty (60) day period other than an Excluded Registration.</w:t>
      </w:r>
    </w:p>
    <w:p>
      <w:pPr>
        <w:spacing w:after="0" w:line="10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93"/>
          </w:cols>
          <w:pgMar w:left="487" w:top="272" w:right="519" w:bottom="1440" w:gutter="0" w:footer="0" w:header="0"/>
        </w:sectPr>
      </w:pPr>
    </w:p>
    <w:bookmarkStart w:id="343" w:name="page344"/>
    <w:bookmarkEnd w:id="343"/>
    <w:p>
      <w:pPr>
        <w:jc w:val="both"/>
        <w:ind w:right="26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w:t>
      </w:r>
    </w:p>
    <w:p>
      <w:pPr>
        <w:spacing w:after="0" w:line="30" w:lineRule="exact"/>
        <w:rPr>
          <w:sz w:val="20"/>
          <w:szCs w:val="20"/>
          <w:color w:val="auto"/>
        </w:rPr>
      </w:pPr>
    </w:p>
    <w:p>
      <w:pPr>
        <w:ind w:right="160" w:firstLine="7"/>
        <w:spacing w:after="0" w:line="279" w:lineRule="auto"/>
        <w:tabs>
          <w:tab w:leader="none" w:pos="34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w:t>
      </w:r>
    </w:p>
    <w:p>
      <w:pPr>
        <w:spacing w:after="0" w:line="265" w:lineRule="auto"/>
        <w:rPr>
          <w:rFonts w:ascii="Arial" w:cs="Arial" w:eastAsia="Arial" w:hAnsi="Arial"/>
          <w:sz w:val="16"/>
          <w:szCs w:val="16"/>
          <w:color w:val="auto"/>
        </w:rPr>
      </w:pPr>
      <w:r>
        <w:rPr>
          <w:rFonts w:ascii="Arial" w:cs="Arial" w:eastAsia="Arial" w:hAnsi="Arial"/>
          <w:sz w:val="17"/>
          <w:szCs w:val="17"/>
          <w:u w:val="single" w:color="auto"/>
          <w:color w:val="auto"/>
        </w:rPr>
        <w:t>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2.10</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withdrawal is during a period the Company has deferred taking action pursuant to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then the Initiating Holders may withdraw their request for registration and such registration will not be counted as “effected” for purposes of this </w:t>
      </w:r>
      <w:r>
        <w:rPr>
          <w:rFonts w:ascii="Arial" w:cs="Arial" w:eastAsia="Arial" w:hAnsi="Arial"/>
          <w:sz w:val="17"/>
          <w:szCs w:val="17"/>
          <w:u w:val="single" w:color="auto"/>
          <w:color w:val="auto"/>
        </w:rPr>
        <w:t>Subsection 0</w:t>
      </w:r>
      <w:r>
        <w:rPr>
          <w:rFonts w:ascii="Arial" w:cs="Arial" w:eastAsia="Arial" w:hAnsi="Arial"/>
          <w:sz w:val="17"/>
          <w:szCs w:val="17"/>
          <w:color w:val="auto"/>
        </w:rPr>
        <w:t>. Notwithstanding anything to the contrary herein, in the event that within one hundred eighty (180) days after any Demand Notice initiated pursuant to clause (y) of Section 2.1(a), the Company completes a SPAC Transaction or a Direct Listing, the Company shall be deemed to have “effected” the requested registration pursuant to such Demand Notice.</w:t>
      </w:r>
    </w:p>
    <w:p>
      <w:pPr>
        <w:spacing w:after="0" w:line="184" w:lineRule="exact"/>
        <w:rPr>
          <w:sz w:val="20"/>
          <w:szCs w:val="20"/>
          <w:color w:val="auto"/>
        </w:rPr>
      </w:pPr>
    </w:p>
    <w:p>
      <w:pPr>
        <w:ind w:right="120" w:firstLine="1964"/>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344" w:name="page345"/>
    <w:bookmarkEnd w:id="344"/>
    <w:p>
      <w:pPr>
        <w:ind w:left="1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1" w:lineRule="exact"/>
        <w:rPr>
          <w:sz w:val="20"/>
          <w:szCs w:val="20"/>
          <w:color w:val="auto"/>
        </w:rPr>
      </w:pPr>
    </w:p>
    <w:p>
      <w:pPr>
        <w:ind w:left="-20" w:right="40" w:firstLine="1972"/>
        <w:spacing w:after="0" w:line="265" w:lineRule="auto"/>
        <w:tabs>
          <w:tab w:leader="none" w:pos="218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and the Company shall include such information in the Demand Notice. The underwriter(s) will be selected by the Board of Directors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Subsection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w:t>
      </w:r>
    </w:p>
    <w:p>
      <w:pPr>
        <w:spacing w:after="0" w:line="188" w:lineRule="exact"/>
        <w:rPr>
          <w:rFonts w:ascii="Arial" w:cs="Arial" w:eastAsia="Arial" w:hAnsi="Arial"/>
          <w:sz w:val="17"/>
          <w:szCs w:val="17"/>
          <w:color w:val="auto"/>
        </w:rPr>
      </w:pPr>
    </w:p>
    <w:p>
      <w:pPr>
        <w:ind w:left="-20" w:firstLine="1972"/>
        <w:spacing w:after="0" w:line="283" w:lineRule="auto"/>
        <w:tabs>
          <w:tab w:leader="none" w:pos="219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00" w:top="272" w:right="519" w:bottom="1440" w:gutter="0" w:footer="0" w:header="0"/>
        </w:sectPr>
      </w:pPr>
    </w:p>
    <w:bookmarkStart w:id="345" w:name="page346"/>
    <w:bookmarkEnd w:id="345"/>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1" w:lineRule="exact"/>
        <w:rPr>
          <w:sz w:val="20"/>
          <w:szCs w:val="20"/>
          <w:color w:val="auto"/>
        </w:rPr>
      </w:pPr>
    </w:p>
    <w:p>
      <w:pPr>
        <w:ind w:right="300" w:firstLine="1972"/>
        <w:spacing w:after="0" w:line="259" w:lineRule="auto"/>
        <w:tabs>
          <w:tab w:leader="none" w:pos="220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79" w:lineRule="exact"/>
        <w:rPr>
          <w:sz w:val="20"/>
          <w:szCs w:val="20"/>
          <w:color w:val="auto"/>
        </w:rPr>
      </w:pPr>
    </w:p>
    <w:p>
      <w:pPr>
        <w:ind w:right="600" w:firstLine="1964"/>
        <w:spacing w:after="0" w:line="27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5" w:lineRule="exact"/>
        <w:rPr>
          <w:sz w:val="20"/>
          <w:szCs w:val="20"/>
          <w:color w:val="auto"/>
        </w:rPr>
      </w:pPr>
    </w:p>
    <w:p>
      <w:pPr>
        <w:ind w:right="60" w:firstLine="1972"/>
        <w:spacing w:after="0" w:line="281" w:lineRule="auto"/>
        <w:tabs>
          <w:tab w:leader="none" w:pos="220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w:t>
      </w:r>
    </w:p>
    <w:p>
      <w:pPr>
        <w:spacing w:after="0" w:line="2" w:lineRule="exact"/>
        <w:rPr>
          <w:rFonts w:ascii="Arial" w:cs="Arial" w:eastAsia="Arial" w:hAnsi="Arial"/>
          <w:sz w:val="16"/>
          <w:szCs w:val="16"/>
          <w:color w:val="auto"/>
        </w:rPr>
      </w:pPr>
    </w:p>
    <w:p>
      <w:pPr>
        <w:ind w:right="520" w:firstLine="7"/>
        <w:spacing w:after="0" w:line="256" w:lineRule="auto"/>
        <w:tabs>
          <w:tab w:leader="none" w:pos="43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day period shall be extended for up to one hundred eighty (180) days, if necessary, to keep the registration statement effective until all such Registrable Securities are sold;</w:t>
      </w:r>
    </w:p>
    <w:p>
      <w:pPr>
        <w:spacing w:after="0" w:line="187" w:lineRule="exact"/>
        <w:rPr>
          <w:rFonts w:ascii="Arial" w:cs="Arial" w:eastAsia="Arial" w:hAnsi="Arial"/>
          <w:sz w:val="18"/>
          <w:szCs w:val="18"/>
          <w:color w:val="auto"/>
        </w:rPr>
      </w:pPr>
    </w:p>
    <w:p>
      <w:pPr>
        <w:jc w:val="both"/>
        <w:ind w:right="60" w:firstLine="1972"/>
        <w:spacing w:after="0" w:line="259" w:lineRule="auto"/>
        <w:tabs>
          <w:tab w:leader="none" w:pos="221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5" w:lineRule="exact"/>
        <w:rPr>
          <w:rFonts w:ascii="Arial" w:cs="Arial" w:eastAsia="Arial" w:hAnsi="Arial"/>
          <w:sz w:val="18"/>
          <w:szCs w:val="18"/>
          <w:color w:val="auto"/>
        </w:rPr>
      </w:pPr>
    </w:p>
    <w:p>
      <w:pPr>
        <w:ind w:firstLine="1972"/>
        <w:spacing w:after="0" w:line="335" w:lineRule="auto"/>
        <w:tabs>
          <w:tab w:leader="none" w:pos="220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8" w:lineRule="exact"/>
        <w:rPr>
          <w:rFonts w:ascii="Arial" w:cs="Arial" w:eastAsia="Arial" w:hAnsi="Arial"/>
          <w:sz w:val="16"/>
          <w:szCs w:val="16"/>
          <w:color w:val="auto"/>
        </w:rPr>
      </w:pPr>
    </w:p>
    <w:p>
      <w:pPr>
        <w:jc w:val="both"/>
        <w:ind w:right="40" w:firstLine="1972"/>
        <w:spacing w:after="0" w:line="275" w:lineRule="auto"/>
        <w:tabs>
          <w:tab w:leader="none" w:pos="2217"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80" w:top="272" w:right="539" w:bottom="1440" w:gutter="0" w:footer="0" w:header="0"/>
        </w:sectPr>
      </w:pPr>
    </w:p>
    <w:bookmarkStart w:id="346" w:name="page347"/>
    <w:bookmarkEnd w:id="346"/>
    <w:p>
      <w:pPr>
        <w:ind w:right="100" w:firstLine="1972"/>
        <w:spacing w:after="0" w:line="271" w:lineRule="auto"/>
        <w:tabs>
          <w:tab w:leader="none" w:pos="22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of any underwritten public offering, enter into and perform its obligations under an underwriting agreement, in usual and customary form, with the underwriter(s) of such offering;</w:t>
      </w:r>
    </w:p>
    <w:p>
      <w:pPr>
        <w:spacing w:after="0" w:line="174" w:lineRule="exact"/>
        <w:rPr>
          <w:rFonts w:ascii="Arial" w:cs="Arial" w:eastAsia="Arial" w:hAnsi="Arial"/>
          <w:sz w:val="18"/>
          <w:szCs w:val="18"/>
          <w:color w:val="auto"/>
        </w:rPr>
      </w:pPr>
    </w:p>
    <w:p>
      <w:pPr>
        <w:jc w:val="both"/>
        <w:ind w:right="80" w:firstLine="1972"/>
        <w:spacing w:after="0" w:line="259" w:lineRule="auto"/>
        <w:tabs>
          <w:tab w:leader="none" w:pos="21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5" w:lineRule="exact"/>
        <w:rPr>
          <w:rFonts w:ascii="Arial" w:cs="Arial" w:eastAsia="Arial" w:hAnsi="Arial"/>
          <w:sz w:val="18"/>
          <w:szCs w:val="18"/>
          <w:color w:val="auto"/>
        </w:rPr>
      </w:pPr>
    </w:p>
    <w:p>
      <w:pPr>
        <w:ind w:right="220" w:firstLine="1972"/>
        <w:spacing w:after="0" w:line="271" w:lineRule="auto"/>
        <w:tabs>
          <w:tab w:leader="none" w:pos="221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4" w:lineRule="exact"/>
        <w:rPr>
          <w:rFonts w:ascii="Arial" w:cs="Arial" w:eastAsia="Arial" w:hAnsi="Arial"/>
          <w:sz w:val="18"/>
          <w:szCs w:val="18"/>
          <w:color w:val="auto"/>
        </w:rPr>
      </w:pPr>
    </w:p>
    <w:p>
      <w:pPr>
        <w:ind w:right="120" w:firstLine="1972"/>
        <w:spacing w:after="0" w:line="252" w:lineRule="auto"/>
        <w:tabs>
          <w:tab w:leader="none" w:pos="221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3" w:lineRule="exact"/>
        <w:rPr>
          <w:rFonts w:ascii="Arial" w:cs="Arial" w:eastAsia="Arial" w:hAnsi="Arial"/>
          <w:sz w:val="18"/>
          <w:szCs w:val="18"/>
          <w:color w:val="auto"/>
        </w:rPr>
      </w:pPr>
    </w:p>
    <w:p>
      <w:pPr>
        <w:ind w:right="580" w:firstLine="1972"/>
        <w:spacing w:after="0" w:line="335" w:lineRule="auto"/>
        <w:tabs>
          <w:tab w:leader="none" w:pos="217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8" w:lineRule="exact"/>
        <w:rPr>
          <w:rFonts w:ascii="Arial" w:cs="Arial" w:eastAsia="Arial" w:hAnsi="Arial"/>
          <w:sz w:val="16"/>
          <w:szCs w:val="16"/>
          <w:color w:val="auto"/>
        </w:rPr>
      </w:pPr>
    </w:p>
    <w:p>
      <w:pPr>
        <w:ind w:right="680" w:firstLine="1972"/>
        <w:spacing w:after="0" w:line="271" w:lineRule="auto"/>
        <w:tabs>
          <w:tab w:leader="none" w:pos="217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5" w:lineRule="exact"/>
        <w:rPr>
          <w:sz w:val="20"/>
          <w:szCs w:val="20"/>
          <w:color w:val="auto"/>
        </w:rPr>
      </w:pPr>
    </w:p>
    <w:p>
      <w:pPr>
        <w:ind w:right="240" w:firstLine="982"/>
        <w:spacing w:after="0" w:line="259"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79" w:lineRule="exact"/>
        <w:rPr>
          <w:sz w:val="20"/>
          <w:szCs w:val="20"/>
          <w:color w:val="auto"/>
        </w:rPr>
      </w:pPr>
    </w:p>
    <w:p>
      <w:pPr>
        <w:ind w:firstLine="1964"/>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90" w:lineRule="exact"/>
        <w:rPr>
          <w:sz w:val="20"/>
          <w:szCs w:val="20"/>
          <w:color w:val="auto"/>
        </w:rPr>
      </w:pPr>
    </w:p>
    <w:p>
      <w:pPr>
        <w:ind w:firstLine="1964"/>
        <w:spacing w:after="0" w:line="27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347" w:name="page348"/>
    <w:bookmarkEnd w:id="347"/>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Subsections 2.1(a) or 2.1(b).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66" w:lineRule="exact"/>
        <w:rPr>
          <w:sz w:val="20"/>
          <w:szCs w:val="20"/>
          <w:color w:val="auto"/>
        </w:rPr>
      </w:pPr>
    </w:p>
    <w:p>
      <w:pPr>
        <w:jc w:val="both"/>
        <w:ind w:right="180" w:firstLine="1964"/>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1" w:lineRule="exact"/>
        <w:rPr>
          <w:sz w:val="20"/>
          <w:szCs w:val="20"/>
          <w:color w:val="auto"/>
        </w:rPr>
      </w:pPr>
    </w:p>
    <w:p>
      <w:pPr>
        <w:ind w:firstLine="1972"/>
        <w:spacing w:after="0" w:line="285" w:lineRule="auto"/>
        <w:tabs>
          <w:tab w:leader="none" w:pos="220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8" w:lineRule="exact"/>
        <w:rPr>
          <w:rFonts w:ascii="Arial" w:cs="Arial" w:eastAsia="Arial" w:hAnsi="Arial"/>
          <w:sz w:val="16"/>
          <w:szCs w:val="16"/>
          <w:color w:val="auto"/>
        </w:rPr>
      </w:pPr>
    </w:p>
    <w:p>
      <w:pPr>
        <w:ind w:right="80" w:firstLine="1972"/>
        <w:spacing w:after="0" w:line="301" w:lineRule="auto"/>
        <w:tabs>
          <w:tab w:leader="none" w:pos="221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severally, and not jointly or jointly and severally, will indemnify and hold harmless the Company, and each of its directors, each of its officers who has signed the registration statement, each Person (if any),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348" w:name="page349"/>
    <w:bookmarkEnd w:id="34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9" w:lineRule="exact"/>
        <w:rPr>
          <w:sz w:val="20"/>
          <w:szCs w:val="20"/>
          <w:color w:val="auto"/>
        </w:rPr>
      </w:pPr>
    </w:p>
    <w:p>
      <w:pPr>
        <w:ind w:firstLine="1972"/>
        <w:spacing w:after="0" w:line="267" w:lineRule="auto"/>
        <w:tabs>
          <w:tab w:leader="none" w:pos="220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spacing w:after="0" w:line="182" w:lineRule="exact"/>
        <w:rPr>
          <w:rFonts w:ascii="Arial" w:cs="Arial" w:eastAsia="Arial" w:hAnsi="Arial"/>
          <w:sz w:val="17"/>
          <w:szCs w:val="17"/>
          <w:color w:val="auto"/>
        </w:rPr>
      </w:pPr>
    </w:p>
    <w:p>
      <w:pPr>
        <w:ind w:right="20" w:firstLine="1972"/>
        <w:spacing w:after="0" w:line="286" w:lineRule="auto"/>
        <w:tabs>
          <w:tab w:leader="none" w:pos="221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49" w:name="page350"/>
    <w:bookmarkEnd w:id="34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83" w:lineRule="exact"/>
        <w:rPr>
          <w:sz w:val="20"/>
          <w:szCs w:val="20"/>
          <w:color w:val="auto"/>
        </w:rPr>
      </w:pPr>
    </w:p>
    <w:p>
      <w:pPr>
        <w:ind w:right="100" w:firstLine="1972"/>
        <w:spacing w:after="0" w:line="259" w:lineRule="auto"/>
        <w:tabs>
          <w:tab w:leader="none" w:pos="22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5" w:lineRule="exact"/>
        <w:rPr>
          <w:rFonts w:ascii="Arial" w:cs="Arial" w:eastAsia="Arial" w:hAnsi="Arial"/>
          <w:sz w:val="18"/>
          <w:szCs w:val="18"/>
          <w:color w:val="auto"/>
        </w:rPr>
      </w:pPr>
    </w:p>
    <w:p>
      <w:pPr>
        <w:ind w:right="40" w:firstLine="1972"/>
        <w:spacing w:after="0" w:line="259" w:lineRule="auto"/>
        <w:tabs>
          <w:tab w:leader="none" w:pos="218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6" w:lineRule="exact"/>
        <w:rPr>
          <w:sz w:val="20"/>
          <w:szCs w:val="20"/>
          <w:color w:val="auto"/>
        </w:rPr>
      </w:pPr>
    </w:p>
    <w:p>
      <w:pPr>
        <w:ind w:right="80" w:firstLine="1964"/>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6" w:lineRule="exact"/>
        <w:rPr>
          <w:sz w:val="20"/>
          <w:szCs w:val="20"/>
          <w:color w:val="auto"/>
        </w:rPr>
      </w:pPr>
    </w:p>
    <w:p>
      <w:pPr>
        <w:ind w:right="280" w:firstLine="1972"/>
        <w:spacing w:after="0" w:line="271" w:lineRule="auto"/>
        <w:tabs>
          <w:tab w:leader="none" w:pos="220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4" w:lineRule="exact"/>
        <w:rPr>
          <w:rFonts w:ascii="Arial" w:cs="Arial" w:eastAsia="Arial" w:hAnsi="Arial"/>
          <w:sz w:val="18"/>
          <w:szCs w:val="18"/>
          <w:color w:val="auto"/>
        </w:rPr>
      </w:pPr>
    </w:p>
    <w:p>
      <w:pPr>
        <w:ind w:right="100" w:firstLine="1972"/>
        <w:spacing w:after="0" w:line="335" w:lineRule="auto"/>
        <w:tabs>
          <w:tab w:leader="none" w:pos="221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8" w:lineRule="exact"/>
        <w:rPr>
          <w:rFonts w:ascii="Arial" w:cs="Arial" w:eastAsia="Arial" w:hAnsi="Arial"/>
          <w:sz w:val="16"/>
          <w:szCs w:val="16"/>
          <w:color w:val="auto"/>
        </w:rPr>
      </w:pPr>
    </w:p>
    <w:p>
      <w:pPr>
        <w:ind w:firstLine="1972"/>
        <w:spacing w:after="0" w:line="253" w:lineRule="auto"/>
        <w:tabs>
          <w:tab w:leader="none" w:pos="220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480" w:top="272" w:right="559" w:bottom="1440" w:gutter="0" w:footer="0" w:header="0"/>
        </w:sectPr>
      </w:pPr>
    </w:p>
    <w:bookmarkStart w:id="350" w:name="page351"/>
    <w:bookmarkEnd w:id="350"/>
    <w:p>
      <w:pPr>
        <w:jc w:val="both"/>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90" w:lineRule="exact"/>
        <w:rPr>
          <w:sz w:val="20"/>
          <w:szCs w:val="20"/>
          <w:color w:val="auto"/>
        </w:rPr>
      </w:pPr>
    </w:p>
    <w:p>
      <w:pPr>
        <w:ind w:right="60" w:firstLine="1964"/>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Requisite Holders (as defined in the Certificate of Incorporation),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limitation shall not apply to Registrable Securities acquired by any additional Investor that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166" w:lineRule="exact"/>
        <w:rPr>
          <w:sz w:val="20"/>
          <w:szCs w:val="20"/>
          <w:color w:val="auto"/>
        </w:rPr>
      </w:pPr>
    </w:p>
    <w:p>
      <w:pPr>
        <w:ind w:firstLine="1964"/>
        <w:spacing w:after="0" w:line="28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or the consummation of a SPAC Transaction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the consummation of a SPAC Transaction, as the case may be,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or the SPAC Transaction, and shall not apply to (i)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(ii) the shares purchased by a Holder in the IPO, in the SPAC Transaction or in the open market, and shall be applicable to the Holders only if all officers and directors and all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351" w:name="page352"/>
    <w:bookmarkEnd w:id="351"/>
    <w:p>
      <w:pPr>
        <w:ind w:right="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necessary to give further effect thereto. In the event that the Company or the managing underwriter waives or terminates any of the restrictions contained in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or in a lock-up agreement with respect to the securities of any Holder, officer, director or greater than one-percent stockholder of the Company (in any such case, the “</w:t>
      </w:r>
      <w:r>
        <w:rPr>
          <w:rFonts w:ascii="Arial" w:cs="Arial" w:eastAsia="Arial" w:hAnsi="Arial"/>
          <w:sz w:val="18"/>
          <w:szCs w:val="18"/>
          <w:b w:val="1"/>
          <w:bCs w:val="1"/>
          <w:color w:val="auto"/>
        </w:rPr>
        <w:t>Released Securities</w:t>
      </w:r>
      <w:r>
        <w:rPr>
          <w:rFonts w:ascii="Arial" w:cs="Arial" w:eastAsia="Arial" w:hAnsi="Arial"/>
          <w:sz w:val="18"/>
          <w:szCs w:val="18"/>
          <w:color w:val="auto"/>
        </w:rPr>
        <w:t xml:space="preserve">”), the restrictions contained in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ind w:right="60" w:firstLine="1972"/>
        <w:spacing w:after="0" w:line="251" w:lineRule="auto"/>
        <w:tabs>
          <w:tab w:leader="none" w:pos="220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196" w:lineRule="exact"/>
        <w:rPr>
          <w:rFonts w:ascii="Arial" w:cs="Arial" w:eastAsia="Arial" w:hAnsi="Arial"/>
          <w:sz w:val="18"/>
          <w:szCs w:val="18"/>
          <w:color w:val="auto"/>
        </w:rPr>
      </w:pPr>
    </w:p>
    <w:p>
      <w:pPr>
        <w:ind w:left="2220" w:hanging="248"/>
        <w:spacing w:after="0"/>
        <w:tabs>
          <w:tab w:leader="none" w:pos="222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Each certificate, instrument, or book entry representing (i) the Preferred Stock, (ii) the Registrable Securities, and</w:t>
      </w:r>
    </w:p>
    <w:p>
      <w:pPr>
        <w:spacing w:after="0" w:line="31" w:lineRule="exact"/>
        <w:rPr>
          <w:rFonts w:ascii="Arial" w:cs="Arial" w:eastAsia="Arial" w:hAnsi="Arial"/>
          <w:sz w:val="17"/>
          <w:szCs w:val="17"/>
          <w:color w:val="auto"/>
        </w:rPr>
      </w:pPr>
    </w:p>
    <w:p>
      <w:pPr>
        <w:ind w:firstLine="7"/>
        <w:spacing w:after="0" w:line="252" w:lineRule="auto"/>
        <w:tabs>
          <w:tab w:leader="none" w:pos="31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be notated with a legend substantially in the following form:</w:t>
      </w:r>
    </w:p>
    <w:p>
      <w:pPr>
        <w:spacing w:after="0" w:line="84"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3"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6" w:lineRule="exact"/>
        <w:rPr>
          <w:sz w:val="20"/>
          <w:szCs w:val="20"/>
          <w:color w:val="auto"/>
        </w:rPr>
      </w:pPr>
    </w:p>
    <w:p>
      <w:pPr>
        <w:ind w:right="520" w:firstLine="982"/>
        <w:spacing w:after="0" w:line="271"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5" w:lineRule="exact"/>
        <w:rPr>
          <w:sz w:val="20"/>
          <w:szCs w:val="20"/>
          <w:color w:val="auto"/>
        </w:rPr>
      </w:pPr>
    </w:p>
    <w:p>
      <w:pPr>
        <w:ind w:right="240" w:firstLine="1972"/>
        <w:spacing w:after="0" w:line="271" w:lineRule="auto"/>
        <w:tabs>
          <w:tab w:leader="none" w:pos="22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holder of such Restricted Securities, by acceptance of ownership thereof, agrees to comply in all respects with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Before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480" w:top="272" w:right="539" w:bottom="1440" w:gutter="0" w:footer="0" w:header="0"/>
        </w:sectPr>
      </w:pPr>
    </w:p>
    <w:bookmarkStart w:id="352" w:name="page353"/>
    <w:bookmarkEnd w:id="352"/>
    <w:p>
      <w:pPr>
        <w:ind w:right="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in connection with a transaction in compliance with SEC Rule 144 following the IPO,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65" w:lineRule="exact"/>
        <w:rPr>
          <w:sz w:val="20"/>
          <w:szCs w:val="20"/>
          <w:color w:val="auto"/>
        </w:rPr>
      </w:pPr>
    </w:p>
    <w:p>
      <w:pPr>
        <w:ind w:right="40" w:firstLine="1964"/>
        <w:spacing w:after="0" w:line="27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5" w:lineRule="exact"/>
        <w:rPr>
          <w:sz w:val="20"/>
          <w:szCs w:val="20"/>
          <w:color w:val="auto"/>
        </w:rPr>
      </w:pPr>
    </w:p>
    <w:p>
      <w:pPr>
        <w:ind w:left="2220" w:hanging="248"/>
        <w:spacing w:after="0"/>
        <w:tabs>
          <w:tab w:leader="none" w:pos="2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0" w:lineRule="exact"/>
        <w:rPr>
          <w:rFonts w:ascii="Arial" w:cs="Arial" w:eastAsia="Arial" w:hAnsi="Arial"/>
          <w:sz w:val="18"/>
          <w:szCs w:val="18"/>
          <w:color w:val="auto"/>
        </w:rPr>
      </w:pPr>
    </w:p>
    <w:p>
      <w:pPr>
        <w:ind w:right="120" w:firstLine="1972"/>
        <w:spacing w:after="0" w:line="335" w:lineRule="auto"/>
        <w:tabs>
          <w:tab w:leader="none" w:pos="2217" w:val="left"/>
        </w:tabs>
        <w:numPr>
          <w:ilvl w:val="1"/>
          <w:numId w:val="250"/>
        </w:numPr>
        <w:rPr>
          <w:rFonts w:ascii="Arial" w:cs="Arial" w:eastAsia="Arial" w:hAnsi="Arial"/>
          <w:sz w:val="16"/>
          <w:szCs w:val="16"/>
          <w:color w:val="auto"/>
        </w:rPr>
      </w:pPr>
      <w:r>
        <w:rPr>
          <w:rFonts w:ascii="Arial" w:cs="Arial" w:eastAsia="Arial" w:hAnsi="Arial"/>
          <w:sz w:val="16"/>
          <w:szCs w:val="16"/>
          <w:color w:val="auto"/>
        </w:rPr>
        <w:t>such time after consummation of the IPO. Direct Listing or SPAC Transaction as Rule 144 or another similar exemption under the Securities Act is available for the sale of all of such Holder’s shares without limitation during a three-month period without registration;</w:t>
      </w:r>
    </w:p>
    <w:p>
      <w:pPr>
        <w:spacing w:after="0" w:line="128" w:lineRule="exact"/>
        <w:rPr>
          <w:rFonts w:ascii="Arial" w:cs="Arial" w:eastAsia="Arial" w:hAnsi="Arial"/>
          <w:sz w:val="16"/>
          <w:szCs w:val="16"/>
          <w:color w:val="auto"/>
        </w:rPr>
      </w:pPr>
    </w:p>
    <w:p>
      <w:pPr>
        <w:ind w:left="2220" w:hanging="248"/>
        <w:spacing w:after="0"/>
        <w:tabs>
          <w:tab w:leader="none" w:pos="2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15"/>
          <w:szCs w:val="15"/>
          <w:color w:val="auto"/>
        </w:rPr>
        <w:t>th</w:t>
      </w:r>
      <w:r>
        <w:rPr>
          <w:rFonts w:ascii="Arial" w:cs="Arial" w:eastAsia="Arial" w:hAnsi="Arial"/>
          <w:sz w:val="18"/>
          <w:szCs w:val="18"/>
          <w:color w:val="auto"/>
        </w:rPr>
        <w:t>) anniversary of the IPO, Direct Listing or SPAC Transaction.</w:t>
      </w:r>
    </w:p>
    <w:p>
      <w:pPr>
        <w:spacing w:after="0" w:line="220" w:lineRule="exact"/>
        <w:rPr>
          <w:rFonts w:ascii="Arial" w:cs="Arial" w:eastAsia="Arial" w:hAnsi="Arial"/>
          <w:sz w:val="18"/>
          <w:szCs w:val="18"/>
          <w:color w:val="auto"/>
        </w:rPr>
      </w:pPr>
    </w:p>
    <w:p>
      <w:pPr>
        <w:ind w:left="620" w:hanging="176"/>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2" w:right="499" w:bottom="1440" w:gutter="0" w:footer="0" w:header="0"/>
        </w:sectPr>
      </w:pPr>
    </w:p>
    <w:bookmarkStart w:id="353" w:name="page354"/>
    <w:bookmarkEnd w:id="353"/>
    <w:p>
      <w:pPr>
        <w:ind w:left="-7" w:firstLine="1972"/>
        <w:spacing w:after="0" w:line="270" w:lineRule="auto"/>
        <w:tabs>
          <w:tab w:leader="none" w:pos="2199" w:val="left"/>
        </w:tabs>
        <w:numPr>
          <w:ilvl w:val="1"/>
          <w:numId w:val="2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as soon as practicable, but in any event within one hundred twenty (120)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7"/>
          <w:szCs w:val="17"/>
          <w:u w:val="single" w:color="auto"/>
          <w:color w:val="auto"/>
        </w:rPr>
        <w:t>Subsection 3.1(e)</w:t>
      </w:r>
      <w:r>
        <w:rPr>
          <w:rFonts w:ascii="Arial" w:cs="Arial" w:eastAsia="Arial" w:hAnsi="Arial"/>
          <w:sz w:val="17"/>
          <w:szCs w:val="17"/>
          <w:color w:val="auto"/>
        </w:rPr>
        <w:t>)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regionally recognized standing selected by the Company;</w:t>
      </w:r>
    </w:p>
    <w:p>
      <w:pPr>
        <w:spacing w:after="0" w:line="178" w:lineRule="exact"/>
        <w:rPr>
          <w:rFonts w:ascii="Arial" w:cs="Arial" w:eastAsia="Arial" w:hAnsi="Arial"/>
          <w:sz w:val="17"/>
          <w:szCs w:val="17"/>
          <w:color w:val="auto"/>
        </w:rPr>
      </w:pPr>
    </w:p>
    <w:p>
      <w:pPr>
        <w:jc w:val="both"/>
        <w:ind w:left="-7" w:right="40" w:firstLine="1972"/>
        <w:spacing w:after="0" w:line="284" w:lineRule="auto"/>
        <w:tabs>
          <w:tab w:leader="none" w:pos="2209"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as soon as practicable, but in any event within thirty (30)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w:t>
      </w:r>
    </w:p>
    <w:p>
      <w:pPr>
        <w:spacing w:after="0" w:line="1" w:lineRule="exact"/>
        <w:rPr>
          <w:rFonts w:ascii="Arial" w:cs="Arial" w:eastAsia="Arial" w:hAnsi="Arial"/>
          <w:sz w:val="16"/>
          <w:szCs w:val="16"/>
          <w:color w:val="auto"/>
        </w:rPr>
      </w:pPr>
    </w:p>
    <w:p>
      <w:pPr>
        <w:ind w:left="253" w:hanging="253"/>
        <w:spacing w:after="0"/>
        <w:tabs>
          <w:tab w:leader="none" w:pos="25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208" w:lineRule="exact"/>
        <w:rPr>
          <w:rFonts w:ascii="Arial" w:cs="Arial" w:eastAsia="Arial" w:hAnsi="Arial"/>
          <w:sz w:val="18"/>
          <w:szCs w:val="18"/>
          <w:color w:val="auto"/>
        </w:rPr>
      </w:pPr>
    </w:p>
    <w:p>
      <w:pPr>
        <w:ind w:left="-7" w:right="140" w:firstLine="1972"/>
        <w:spacing w:after="0" w:line="252" w:lineRule="auto"/>
        <w:tabs>
          <w:tab w:leader="none" w:pos="219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193" w:lineRule="exact"/>
        <w:rPr>
          <w:rFonts w:ascii="Arial" w:cs="Arial" w:eastAsia="Arial" w:hAnsi="Arial"/>
          <w:sz w:val="18"/>
          <w:szCs w:val="18"/>
          <w:color w:val="auto"/>
        </w:rPr>
      </w:pPr>
    </w:p>
    <w:p>
      <w:pPr>
        <w:jc w:val="both"/>
        <w:ind w:left="-7" w:right="60" w:firstLine="1972"/>
        <w:spacing w:after="0" w:line="255" w:lineRule="auto"/>
        <w:tabs>
          <w:tab w:leader="none" w:pos="220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as soon as practicable, but in any event within fifteen (15)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w:t>
      </w:r>
    </w:p>
    <w:p>
      <w:pPr>
        <w:spacing w:after="0" w:line="190" w:lineRule="exact"/>
        <w:rPr>
          <w:rFonts w:ascii="Arial" w:cs="Arial" w:eastAsia="Arial" w:hAnsi="Arial"/>
          <w:sz w:val="18"/>
          <w:szCs w:val="18"/>
          <w:color w:val="auto"/>
        </w:rPr>
      </w:pPr>
    </w:p>
    <w:p>
      <w:pPr>
        <w:jc w:val="both"/>
        <w:ind w:left="-7" w:right="100" w:firstLine="1972"/>
        <w:spacing w:after="0" w:line="255" w:lineRule="auto"/>
        <w:tabs>
          <w:tab w:leader="none" w:pos="219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90" w:lineRule="exact"/>
        <w:rPr>
          <w:rFonts w:ascii="Arial" w:cs="Arial" w:eastAsia="Arial" w:hAnsi="Arial"/>
          <w:sz w:val="18"/>
          <w:szCs w:val="18"/>
          <w:color w:val="auto"/>
        </w:rPr>
      </w:pPr>
    </w:p>
    <w:p>
      <w:pPr>
        <w:ind w:left="-7" w:right="80" w:firstLine="1972"/>
        <w:spacing w:after="0" w:line="253" w:lineRule="auto"/>
        <w:tabs>
          <w:tab w:leader="none" w:pos="21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such other information relating to the financial condition, business, prospects, or corporate affairs of the Company as any Major Investor may from time to time reasonably request; provided, however, that the Company shall not be obligated under this Subsection 3.1 to provide information the disclosure of which would adversely affect the attorney-client privilege between the Company and its counsel, or information that the Company reasonably determines in good faith to be a trade secret or confidential information (unless covered by an enforceable confidentiality agreement, in a form acceptable to the Company);.</w:t>
      </w:r>
    </w:p>
    <w:p>
      <w:pPr>
        <w:spacing w:after="0" w:line="12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13"/>
          </w:cols>
          <w:pgMar w:left="487" w:top="272" w:right="499" w:bottom="1440" w:gutter="0" w:footer="0" w:header="0"/>
        </w:sectPr>
      </w:pPr>
    </w:p>
    <w:bookmarkStart w:id="354" w:name="page355"/>
    <w:bookmarkEnd w:id="354"/>
    <w:p>
      <w:pPr>
        <w:ind w:right="260" w:firstLine="98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6" w:lineRule="exact"/>
        <w:rPr>
          <w:sz w:val="20"/>
          <w:szCs w:val="20"/>
          <w:color w:val="auto"/>
        </w:rPr>
      </w:pPr>
    </w:p>
    <w:p>
      <w:pPr>
        <w:ind w:right="140" w:firstLine="982"/>
        <w:spacing w:after="0" w:line="272" w:lineRule="auto"/>
        <w:rPr>
          <w:sz w:val="20"/>
          <w:szCs w:val="20"/>
          <w:color w:val="auto"/>
        </w:rPr>
      </w:pPr>
      <w:r>
        <w:rPr>
          <w:rFonts w:ascii="Arial" w:cs="Arial" w:eastAsia="Arial" w:hAnsi="Arial"/>
          <w:sz w:val="17"/>
          <w:szCs w:val="17"/>
          <w:color w:val="auto"/>
        </w:rPr>
        <w:t xml:space="preserve">Notwithstanding anything else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covenants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76" w:lineRule="exact"/>
        <w:rPr>
          <w:sz w:val="20"/>
          <w:szCs w:val="20"/>
          <w:color w:val="auto"/>
        </w:rPr>
      </w:pPr>
    </w:p>
    <w:p>
      <w:pPr>
        <w:ind w:right="320" w:firstLine="1964"/>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78" w:lineRule="exact"/>
        <w:rPr>
          <w:sz w:val="20"/>
          <w:szCs w:val="20"/>
          <w:color w:val="auto"/>
        </w:rPr>
      </w:pPr>
    </w:p>
    <w:p>
      <w:pPr>
        <w:ind w:right="40" w:firstLine="1964"/>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shall terminate and be of no further force or effect (i) immediately before the consummation of the IPO, Direct Listing or SPAC Transaction,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90" w:lineRule="exact"/>
        <w:rPr>
          <w:sz w:val="20"/>
          <w:szCs w:val="20"/>
          <w:color w:val="auto"/>
        </w:rPr>
      </w:pPr>
    </w:p>
    <w:p>
      <w:pPr>
        <w:ind w:firstLine="1964"/>
        <w:spacing w:after="0" w:line="26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(iii) to any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355" w:name="page356"/>
    <w:bookmarkEnd w:id="355"/>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such Person to maintain the confidentiality of such information; or (iv) as may otherwise be required by law, regulation, rule, court order or subpoena,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promptly notifies the Company of such disclosure and takes reasonable steps to minimize the extent of any such required disclosure.</w:t>
      </w:r>
    </w:p>
    <w:p>
      <w:pPr>
        <w:spacing w:after="0" w:line="186" w:lineRule="exact"/>
        <w:rPr>
          <w:sz w:val="20"/>
          <w:szCs w:val="20"/>
          <w:color w:val="auto"/>
        </w:rPr>
      </w:pPr>
    </w:p>
    <w:p>
      <w:pPr>
        <w:ind w:left="620" w:hanging="176"/>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p>
    <w:p>
      <w:pPr>
        <w:spacing w:after="0" w:line="221" w:lineRule="exact"/>
        <w:rPr>
          <w:sz w:val="20"/>
          <w:szCs w:val="20"/>
          <w:color w:val="auto"/>
        </w:rPr>
      </w:pPr>
    </w:p>
    <w:p>
      <w:pPr>
        <w:ind w:right="20" w:firstLine="1964"/>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w:t>
      </w:r>
    </w:p>
    <w:p>
      <w:pPr>
        <w:spacing w:after="0" w:line="2" w:lineRule="exact"/>
        <w:rPr>
          <w:sz w:val="20"/>
          <w:szCs w:val="20"/>
          <w:color w:val="auto"/>
        </w:rPr>
      </w:pPr>
    </w:p>
    <w:p>
      <w:pPr>
        <w:ind w:left="320" w:hanging="313"/>
        <w:spacing w:after="0"/>
        <w:tabs>
          <w:tab w:leader="none" w:pos="3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its beneficial interest holders, such as limited partners, members or any other Person having “beneficial ownership,” as such term is defined in Rule</w:t>
      </w:r>
    </w:p>
    <w:p>
      <w:pPr>
        <w:spacing w:after="0" w:line="29"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13d-3 promulgated under the Exchange Act, of such Major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unless such party’s purchase of New Securities is otherwise consented to by the Board of Directors, (y) agrees to enter into this Agreement and each of the Second Amended and Restated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and Second Amended and Restated Right of First Refusal and Co-Sale Agreement (the “</w:t>
      </w:r>
      <w:r>
        <w:rPr>
          <w:rFonts w:ascii="Arial" w:cs="Arial" w:eastAsia="Arial" w:hAnsi="Arial"/>
          <w:sz w:val="16"/>
          <w:szCs w:val="16"/>
          <w:b w:val="1"/>
          <w:bCs w:val="1"/>
          <w:color w:val="auto"/>
        </w:rPr>
        <w:t>ROFR/Co-Sale Agreement</w:t>
      </w:r>
      <w:r>
        <w:rPr>
          <w:rFonts w:ascii="Arial" w:cs="Arial" w:eastAsia="Arial" w:hAnsi="Arial"/>
          <w:sz w:val="16"/>
          <w:szCs w:val="16"/>
          <w:color w:val="auto"/>
        </w:rPr>
        <w:t>”) of even date herewith among the Company, the Major Investors and the other parties named therein,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shall not be entitled to any rights as a Major Investor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and (z) agrees to purchase at least such number of New Securities as are allocable hereunder to the Major Investor holding the fewest number of Preferred Stock and any other Derivative Securities.</w:t>
      </w:r>
    </w:p>
    <w:p>
      <w:pPr>
        <w:spacing w:after="0" w:line="165" w:lineRule="exact"/>
        <w:rPr>
          <w:rFonts w:ascii="Arial" w:cs="Arial" w:eastAsia="Arial" w:hAnsi="Arial"/>
          <w:sz w:val="16"/>
          <w:szCs w:val="16"/>
          <w:color w:val="auto"/>
        </w:rPr>
      </w:pPr>
    </w:p>
    <w:p>
      <w:pPr>
        <w:ind w:right="20" w:firstLine="1972"/>
        <w:spacing w:after="0" w:line="261" w:lineRule="auto"/>
        <w:tabs>
          <w:tab w:leader="none" w:pos="22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84" w:lineRule="exact"/>
        <w:rPr>
          <w:rFonts w:ascii="Arial" w:cs="Arial" w:eastAsia="Arial" w:hAnsi="Arial"/>
          <w:sz w:val="18"/>
          <w:szCs w:val="18"/>
          <w:color w:val="auto"/>
        </w:rPr>
      </w:pPr>
    </w:p>
    <w:p>
      <w:pPr>
        <w:ind w:firstLine="1972"/>
        <w:spacing w:after="0" w:line="285" w:lineRule="auto"/>
        <w:tabs>
          <w:tab w:leader="none" w:pos="221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(the “</w:t>
      </w:r>
      <w:r>
        <w:rPr>
          <w:rFonts w:ascii="Arial" w:cs="Arial" w:eastAsia="Arial" w:hAnsi="Arial"/>
          <w:sz w:val="16"/>
          <w:szCs w:val="16"/>
          <w:b w:val="1"/>
          <w:bCs w:val="1"/>
          <w:color w:val="auto"/>
        </w:rPr>
        <w:t>Major Investor Proportion</w:t>
      </w:r>
      <w:r>
        <w:rPr>
          <w:rFonts w:ascii="Arial" w:cs="Arial" w:eastAsia="Arial" w:hAnsi="Arial"/>
          <w:sz w:val="16"/>
          <w:szCs w:val="16"/>
          <w:color w:val="auto"/>
        </w:rPr>
        <w:t>”).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356" w:name="page357"/>
    <w:bookmarkEnd w:id="35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w:t>
      </w:r>
    </w:p>
    <w:p>
      <w:pPr>
        <w:spacing w:after="0" w:line="1" w:lineRule="exact"/>
        <w:rPr>
          <w:sz w:val="20"/>
          <w:szCs w:val="20"/>
          <w:color w:val="auto"/>
        </w:rPr>
      </w:pPr>
    </w:p>
    <w:p>
      <w:pPr>
        <w:ind w:left="340" w:hanging="333"/>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days of the date that the Offer Notice is given and the date of initial sale of New Securities pursuant to </w:t>
      </w:r>
      <w:r>
        <w:rPr>
          <w:rFonts w:ascii="Arial" w:cs="Arial" w:eastAsia="Arial" w:hAnsi="Arial"/>
          <w:sz w:val="18"/>
          <w:szCs w:val="18"/>
          <w:u w:val="single" w:color="auto"/>
          <w:color w:val="auto"/>
        </w:rPr>
        <w:t>Subsection 4.1(c)</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right="140" w:firstLine="1972"/>
        <w:spacing w:after="0" w:line="290" w:lineRule="auto"/>
        <w:tabs>
          <w:tab w:leader="none" w:pos="220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right="720" w:firstLine="1972"/>
        <w:spacing w:after="0" w:line="301" w:lineRule="auto"/>
        <w:tabs>
          <w:tab w:leader="none" w:pos="2217"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The right of first offer in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shall not be applicable to (i) Exempted Securities (as defined in the Certificate of Incorporation); and (ii) shares of Common Stock issued in the IPO or a SPAC Transaction or in a Direct Listing.</w:t>
      </w:r>
    </w:p>
    <w:p>
      <w:pPr>
        <w:spacing w:after="0" w:line="152" w:lineRule="exact"/>
        <w:rPr>
          <w:sz w:val="20"/>
          <w:szCs w:val="20"/>
          <w:color w:val="auto"/>
        </w:rPr>
      </w:pPr>
    </w:p>
    <w:p>
      <w:pPr>
        <w:ind w:right="20" w:firstLine="1964"/>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Direct Listing or SPAC Transaction,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90" w:lineRule="exact"/>
        <w:rPr>
          <w:sz w:val="20"/>
          <w:szCs w:val="20"/>
          <w:color w:val="auto"/>
        </w:rPr>
      </w:pPr>
    </w:p>
    <w:p>
      <w:pPr>
        <w:ind w:left="620" w:hanging="176"/>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1" w:lineRule="exact"/>
        <w:rPr>
          <w:sz w:val="20"/>
          <w:szCs w:val="20"/>
          <w:color w:val="auto"/>
        </w:rPr>
      </w:pPr>
    </w:p>
    <w:p>
      <w:pPr>
        <w:ind w:right="60" w:firstLine="1419"/>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commercially reasonable efforts to cause its Directors and Officers liability insurance to be maintained until such time as the Board of Directors determines that such insurance should be discontinued. Notwithstanding any other provision of this Section 5.1 to the contrary, for so long as a Preferred Director is serving on the Board of Directors, the Company shall not cease to maintain a Directors and Officers liability insurance policy in an amount of at least $3,000,000 unless approved by each such Preferred Director.</w:t>
      </w:r>
    </w:p>
    <w:p>
      <w:pPr>
        <w:spacing w:after="0" w:line="159" w:lineRule="exact"/>
        <w:rPr>
          <w:sz w:val="20"/>
          <w:szCs w:val="20"/>
          <w:color w:val="auto"/>
        </w:rPr>
      </w:pPr>
    </w:p>
    <w:p>
      <w:pPr>
        <w:ind w:right="140" w:firstLine="141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357" w:name="page358"/>
    <w:bookmarkEnd w:id="357"/>
    <w:p>
      <w:pPr>
        <w:ind w:firstLine="141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Unless otherwise approved by the Board of Directors, including the majority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w:t>
      </w:r>
    </w:p>
    <w:p>
      <w:pPr>
        <w:spacing w:after="0" w:line="2" w:lineRule="exact"/>
        <w:rPr>
          <w:sz w:val="20"/>
          <w:szCs w:val="20"/>
          <w:color w:val="auto"/>
        </w:rPr>
      </w:pPr>
    </w:p>
    <w:p>
      <w:pPr>
        <w:ind w:right="20" w:firstLine="7"/>
        <w:spacing w:after="0" w:line="284" w:lineRule="auto"/>
        <w:tabs>
          <w:tab w:leader="none" w:pos="25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year period, with the first twenty-five percent (25%) of such shares vesting following twelve (12) months of continued employment or service, and the remaining shares vesting in equal quarterly or monthly installments over the following three (3) years,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Without the prior approval by the Board of Directors, including the majority of the Preferred Directors,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Arial" w:cs="Arial" w:eastAsia="Arial" w:hAnsi="Arial"/>
          <w:sz w:val="16"/>
          <w:szCs w:val="16"/>
          <w:u w:val="single" w:color="auto"/>
          <w:color w:val="auto"/>
        </w:rPr>
        <w:t>Subsection 5.3</w:t>
      </w:r>
      <w:r>
        <w:rPr>
          <w:rFonts w:ascii="Arial" w:cs="Arial" w:eastAsia="Arial" w:hAnsi="Arial"/>
          <w:sz w:val="16"/>
          <w:szCs w:val="16"/>
          <w:color w:val="auto"/>
        </w:rPr>
        <w:t>. In addition, unless otherwise approved by the Board of Directors, including the majority of the Preferred Directors, the Company shall retain (and not waive) a “right of first refusal” on employee transfers until the consummation of an IPO, the consummation of a SPAC Transaction, or the completion of a Direct Listing, as the case may be, and shall have the right to repurchase unvested shares at cost upon termination of employment of a holder of restricted stock.</w:t>
      </w:r>
    </w:p>
    <w:p>
      <w:pPr>
        <w:spacing w:after="0" w:line="171" w:lineRule="exact"/>
        <w:rPr>
          <w:sz w:val="20"/>
          <w:szCs w:val="20"/>
          <w:color w:val="auto"/>
        </w:rPr>
      </w:pPr>
    </w:p>
    <w:p>
      <w:pPr>
        <w:ind w:right="420" w:firstLine="1419"/>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the holders of Preferred Stock are entitled to elect the Preferred Directors, the Company hereby covenants and agrees with each of the Investors that it shall not, without approval of the Board of Directors, which approval must include the affirmative vote of the majority of the Preferred Directors:</w:t>
      </w:r>
    </w:p>
    <w:p>
      <w:pPr>
        <w:spacing w:after="0" w:line="186" w:lineRule="exact"/>
        <w:rPr>
          <w:sz w:val="20"/>
          <w:szCs w:val="20"/>
          <w:color w:val="auto"/>
        </w:rPr>
      </w:pPr>
    </w:p>
    <w:p>
      <w:pPr>
        <w:ind w:firstLine="1972"/>
        <w:spacing w:after="0" w:line="271" w:lineRule="auto"/>
        <w:tabs>
          <w:tab w:leader="none" w:pos="22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4" w:lineRule="exact"/>
        <w:rPr>
          <w:rFonts w:ascii="Arial" w:cs="Arial" w:eastAsia="Arial" w:hAnsi="Arial"/>
          <w:sz w:val="18"/>
          <w:szCs w:val="18"/>
          <w:color w:val="auto"/>
        </w:rPr>
      </w:pPr>
    </w:p>
    <w:p>
      <w:pPr>
        <w:ind w:right="80" w:firstLine="1972"/>
        <w:spacing w:after="0" w:line="259" w:lineRule="auto"/>
        <w:tabs>
          <w:tab w:leader="none" w:pos="221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5" w:lineRule="exact"/>
        <w:rPr>
          <w:rFonts w:ascii="Arial" w:cs="Arial" w:eastAsia="Arial" w:hAnsi="Arial"/>
          <w:sz w:val="18"/>
          <w:szCs w:val="18"/>
          <w:color w:val="auto"/>
        </w:rPr>
      </w:pPr>
    </w:p>
    <w:p>
      <w:pPr>
        <w:ind w:right="60" w:firstLine="1972"/>
        <w:spacing w:after="0" w:line="271" w:lineRule="auto"/>
        <w:tabs>
          <w:tab w:leader="none" w:pos="22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4" w:lineRule="exact"/>
        <w:rPr>
          <w:rFonts w:ascii="Arial" w:cs="Arial" w:eastAsia="Arial" w:hAnsi="Arial"/>
          <w:sz w:val="18"/>
          <w:szCs w:val="18"/>
          <w:color w:val="auto"/>
        </w:rPr>
      </w:pPr>
    </w:p>
    <w:p>
      <w:pPr>
        <w:ind w:left="2220" w:hanging="248"/>
        <w:spacing w:after="0"/>
        <w:tabs>
          <w:tab w:leader="none" w:pos="22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any capital expenditure outside of the annual budget approved by the Board of Directors;</w:t>
      </w:r>
    </w:p>
    <w:p>
      <w:pPr>
        <w:spacing w:after="0" w:line="220" w:lineRule="exact"/>
        <w:rPr>
          <w:rFonts w:ascii="Arial" w:cs="Arial" w:eastAsia="Arial" w:hAnsi="Arial"/>
          <w:sz w:val="18"/>
          <w:szCs w:val="18"/>
          <w:color w:val="auto"/>
        </w:rPr>
      </w:pPr>
    </w:p>
    <w:p>
      <w:pPr>
        <w:ind w:left="2220" w:hanging="248"/>
        <w:spacing w:after="0"/>
        <w:tabs>
          <w:tab w:leader="none" w:pos="22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amend or terminate the existing equity incentive plan of the Company;</w:t>
      </w:r>
    </w:p>
    <w:p>
      <w:pPr>
        <w:spacing w:after="0" w:line="220" w:lineRule="exact"/>
        <w:rPr>
          <w:rFonts w:ascii="Arial" w:cs="Arial" w:eastAsia="Arial" w:hAnsi="Arial"/>
          <w:sz w:val="18"/>
          <w:szCs w:val="18"/>
          <w:color w:val="auto"/>
        </w:rPr>
      </w:pPr>
    </w:p>
    <w:p>
      <w:pPr>
        <w:ind w:left="2200" w:hanging="228"/>
        <w:spacing w:after="0"/>
        <w:tabs>
          <w:tab w:leader="none" w:pos="22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change the current bank of the Company;</w:t>
      </w:r>
    </w:p>
    <w:p>
      <w:pPr>
        <w:spacing w:after="0" w:line="220" w:lineRule="exact"/>
        <w:rPr>
          <w:rFonts w:ascii="Arial" w:cs="Arial" w:eastAsia="Arial" w:hAnsi="Arial"/>
          <w:sz w:val="18"/>
          <w:szCs w:val="18"/>
          <w:color w:val="auto"/>
        </w:rPr>
      </w:pPr>
    </w:p>
    <w:p>
      <w:pPr>
        <w:ind w:left="2220" w:hanging="248"/>
        <w:spacing w:after="0"/>
        <w:tabs>
          <w:tab w:leader="none" w:pos="22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ordinary course of business;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80" w:top="271" w:right="539" w:bottom="1440" w:gutter="0" w:footer="0" w:header="0"/>
        </w:sectPr>
      </w:pPr>
    </w:p>
    <w:bookmarkStart w:id="358" w:name="page359"/>
    <w:bookmarkEnd w:id="358"/>
    <w:p>
      <w:pPr>
        <w:ind w:left="2220" w:hanging="248"/>
        <w:spacing w:after="0"/>
        <w:tabs>
          <w:tab w:leader="none" w:pos="22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make any change to the Company’s auditor, accounting reference date or accounting policies; and</w:t>
      </w:r>
    </w:p>
    <w:p>
      <w:pPr>
        <w:spacing w:after="0" w:line="220" w:lineRule="exact"/>
        <w:rPr>
          <w:rFonts w:ascii="Arial" w:cs="Arial" w:eastAsia="Arial" w:hAnsi="Arial"/>
          <w:sz w:val="18"/>
          <w:szCs w:val="18"/>
          <w:color w:val="auto"/>
        </w:rPr>
      </w:pPr>
    </w:p>
    <w:p>
      <w:pPr>
        <w:ind w:left="2180" w:hanging="208"/>
        <w:spacing w:after="0"/>
        <w:tabs>
          <w:tab w:leader="none" w:pos="2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approve the annual budget.</w:t>
      </w:r>
    </w:p>
    <w:p>
      <w:pPr>
        <w:spacing w:after="0" w:line="221" w:lineRule="exact"/>
        <w:rPr>
          <w:sz w:val="20"/>
          <w:szCs w:val="20"/>
          <w:color w:val="auto"/>
        </w:rPr>
      </w:pPr>
    </w:p>
    <w:p>
      <w:pPr>
        <w:ind w:right="40" w:firstLine="1419"/>
        <w:spacing w:after="0" w:line="28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w:t>
      </w:r>
    </w:p>
    <w:p>
      <w:pPr>
        <w:spacing w:after="0" w:line="169" w:lineRule="exact"/>
        <w:rPr>
          <w:sz w:val="20"/>
          <w:szCs w:val="20"/>
          <w:color w:val="auto"/>
        </w:rPr>
      </w:pPr>
    </w:p>
    <w:p>
      <w:pPr>
        <w:ind w:right="40" w:firstLine="1419"/>
        <w:spacing w:after="0" w:line="25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93" w:lineRule="exact"/>
        <w:rPr>
          <w:sz w:val="20"/>
          <w:szCs w:val="20"/>
          <w:color w:val="auto"/>
        </w:rPr>
      </w:pPr>
    </w:p>
    <w:p>
      <w:pPr>
        <w:ind w:firstLine="1419"/>
        <w:spacing w:after="0" w:line="283"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of Directors by the Investors (each an “</w:t>
      </w:r>
      <w:r>
        <w:rPr>
          <w:rFonts w:ascii="Arial" w:cs="Arial" w:eastAsia="Arial" w:hAnsi="Arial"/>
          <w:sz w:val="16"/>
          <w:szCs w:val="16"/>
          <w:b w:val="1"/>
          <w:bCs w:val="1"/>
          <w:color w:val="auto"/>
        </w:rPr>
        <w:t>Investor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Investor Indemnitors</w:t>
      </w:r>
      <w:r>
        <w:rPr>
          <w:rFonts w:ascii="Arial" w:cs="Arial" w:eastAsia="Arial" w:hAnsi="Arial"/>
          <w:sz w:val="16"/>
          <w:szCs w:val="16"/>
          <w:color w:val="auto"/>
        </w:rPr>
        <w:t>”). The Company hereby agrees (a)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xml:space="preserv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Arial" w:cs="Arial" w:eastAsia="Arial" w:hAnsi="Arial"/>
          <w:sz w:val="16"/>
          <w:szCs w:val="16"/>
          <w:u w:val="single" w:color="auto"/>
          <w:color w:val="auto"/>
        </w:rPr>
        <w:t>Subsection 5.8</w:t>
      </w:r>
      <w:r>
        <w:rPr>
          <w:rFonts w:ascii="Arial" w:cs="Arial" w:eastAsia="Arial" w:hAnsi="Arial"/>
          <w:sz w:val="16"/>
          <w:szCs w:val="16"/>
          <w:color w:val="auto"/>
        </w:rPr>
        <w:t xml:space="preserve"> and shall have the right, power and authority to enforce the provisions of this </w:t>
      </w:r>
      <w:r>
        <w:rPr>
          <w:rFonts w:ascii="Arial" w:cs="Arial" w:eastAsia="Arial" w:hAnsi="Arial"/>
          <w:sz w:val="16"/>
          <w:szCs w:val="16"/>
          <w:u w:val="single" w:color="auto"/>
          <w:color w:val="auto"/>
        </w:rPr>
        <w:t>Subsection 5.7</w:t>
      </w:r>
      <w:r>
        <w:rPr>
          <w:rFonts w:ascii="Arial" w:cs="Arial" w:eastAsia="Arial" w:hAnsi="Arial"/>
          <w:sz w:val="16"/>
          <w:szCs w:val="16"/>
          <w:color w:val="auto"/>
        </w:rPr>
        <w:t xml:space="preserve"> as though they were a party to this Agreement.</w:t>
      </w:r>
    </w:p>
    <w:p>
      <w:pPr>
        <w:spacing w:after="0" w:line="169" w:lineRule="exact"/>
        <w:rPr>
          <w:sz w:val="20"/>
          <w:szCs w:val="20"/>
          <w:color w:val="auto"/>
        </w:rPr>
      </w:pPr>
    </w:p>
    <w:p>
      <w:pPr>
        <w:ind w:right="220" w:firstLine="1419"/>
        <w:spacing w:after="0" w:line="271"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The Company hereby agrees and acknowledges that Aisling (together with its Affiliates), Versant (together with its Affiliates),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72" w:right="519" w:bottom="1440" w:gutter="0" w:footer="0" w:header="0"/>
        </w:sectPr>
      </w:pPr>
    </w:p>
    <w:bookmarkStart w:id="359" w:name="page360"/>
    <w:bookmarkEnd w:id="359"/>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Amzak (together with its Affiliates), GV (together with its Affiliates), Sixty Degree (together with its Affiliates), HBM (together with its Affiliates), NEA (together with its Affiliates), each of the RTW Entities (together with their Affiliates) and Avoro (together with its Affiliates)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Aisling (together with its Affiliates), Versant (and its Affiliates), Amzak (and its Affiliates), GV (and its Affiliates), Sixty Degree (and its Affiliates), HBM (and its Affiliates), NEA (and its Affiliates), each of the RTW Entities (together with their Affiliates) and Avoro (and its Affiliates) shall not be liable to the Company for any claim arising out of, or based upon, (i) the investments by Aisling (together or its Affiliates), Versant (or its Affiliates), Amzak (and its Affiliates), GV (and its Affiliates), Sixty Degree (and its Affiliates), HBM (and its Affiliates), NEA (and its Affiliates), each of the RTW Entities (together with their Affiliates) or Avoro (and its Affiliates) in any entity competitive with the Company, or (ii) actions taken by any partner, officer, employee or other representative of Aisling (together or its Affiliates), Versant (or its Affiliates), Amzak (and its Affiliates), GV (and its Affiliates), Sixty Degree (and its Affiliates) HBM (and its Affiliates), NEA (and its Affiliates), each of the RTW Entities (together with their Affiliates) or Avoro (and its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84" w:lineRule="exact"/>
        <w:rPr>
          <w:sz w:val="20"/>
          <w:szCs w:val="20"/>
          <w:color w:val="auto"/>
        </w:rPr>
      </w:pPr>
    </w:p>
    <w:p>
      <w:pPr>
        <w:ind w:firstLine="1419"/>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Subsections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5.7</w:t>
      </w:r>
      <w:r>
        <w:rPr>
          <w:rFonts w:ascii="Arial" w:cs="Arial" w:eastAsia="Arial" w:hAnsi="Arial"/>
          <w:sz w:val="18"/>
          <w:szCs w:val="18"/>
          <w:color w:val="auto"/>
        </w:rPr>
        <w:t>, shall terminate and be of no further force or effect (i) immediately before the consummation of the IPO, Direct Listing or SPAC Transaction,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6. Miscellaneous.</w:t>
      </w:r>
    </w:p>
    <w:p>
      <w:pPr>
        <w:spacing w:after="0" w:line="221" w:lineRule="exact"/>
        <w:rPr>
          <w:sz w:val="20"/>
          <w:szCs w:val="20"/>
          <w:color w:val="auto"/>
        </w:rPr>
      </w:pPr>
    </w:p>
    <w:p>
      <w:pPr>
        <w:ind w:right="120" w:firstLine="1964"/>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Subject to compliance with the terms of the Voting Agreement and the ROFR/Co-Sale Agreement,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500,000 shares of Registrable Securities (subject to appropriate adjustment for stock splits, stock dividends, combinations, and other recapitalizations) or, if less, all of the Registrable Securities held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72" w:right="499" w:bottom="1440" w:gutter="0" w:footer="0" w:header="0"/>
        </w:sectPr>
      </w:pPr>
    </w:p>
    <w:bookmarkStart w:id="360" w:name="page361"/>
    <w:bookmarkEnd w:id="36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66" w:lineRule="exact"/>
        <w:rPr>
          <w:sz w:val="20"/>
          <w:szCs w:val="20"/>
          <w:color w:val="auto"/>
        </w:rPr>
      </w:pPr>
    </w:p>
    <w:p>
      <w:pPr>
        <w:ind w:right="540" w:firstLine="1964"/>
        <w:spacing w:after="0" w:line="30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the internal law of the State of Delaware, without regard to conflict of law principles that would result in the application of any law other than the law of the State of Delaware.</w:t>
      </w:r>
    </w:p>
    <w:p>
      <w:pPr>
        <w:spacing w:after="0" w:line="152" w:lineRule="exact"/>
        <w:rPr>
          <w:sz w:val="20"/>
          <w:szCs w:val="20"/>
          <w:color w:val="auto"/>
        </w:rPr>
      </w:pPr>
    </w:p>
    <w:p>
      <w:pPr>
        <w:ind w:right="140" w:firstLine="1964"/>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7"/>
          <w:szCs w:val="17"/>
          <w:b w:val="1"/>
          <w:bCs w:val="1"/>
          <w:color w:val="auto"/>
        </w:rPr>
        <w:t>.</w:t>
      </w:r>
    </w:p>
    <w:p>
      <w:pPr>
        <w:spacing w:after="0" w:line="174" w:lineRule="exact"/>
        <w:rPr>
          <w:sz w:val="20"/>
          <w:szCs w:val="20"/>
          <w:color w:val="auto"/>
        </w:rPr>
      </w:pPr>
    </w:p>
    <w:p>
      <w:pPr>
        <w:ind w:right="60" w:firstLine="1964"/>
        <w:spacing w:after="0" w:line="2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1" w:lineRule="exact"/>
        <w:rPr>
          <w:sz w:val="20"/>
          <w:szCs w:val="20"/>
          <w:color w:val="auto"/>
        </w:rPr>
      </w:pPr>
    </w:p>
    <w:p>
      <w:pPr>
        <w:ind w:right="120" w:firstLine="1972"/>
        <w:spacing w:after="0" w:line="284" w:lineRule="auto"/>
        <w:tabs>
          <w:tab w:leader="none" w:pos="220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w:t>
      </w:r>
    </w:p>
    <w:p>
      <w:pPr>
        <w:spacing w:after="0" w:line="1" w:lineRule="exact"/>
        <w:rPr>
          <w:rFonts w:ascii="Arial" w:cs="Arial" w:eastAsia="Arial" w:hAnsi="Arial"/>
          <w:sz w:val="16"/>
          <w:szCs w:val="16"/>
          <w:color w:val="auto"/>
        </w:rPr>
      </w:pPr>
    </w:p>
    <w:p>
      <w:pPr>
        <w:ind w:right="60" w:firstLine="7"/>
        <w:spacing w:after="0" w:line="249" w:lineRule="auto"/>
        <w:tabs>
          <w:tab w:leader="none" w:pos="2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Notwithstanding the forgoing, with respect to HBM, only a nationally recognized courier service (such as FedEx or DHL) shall be used to effectuate the delivery of any notices pursuant to this Subsection 6.5(a). All communications shall be sent to the respective parties at their addresses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8"/>
          <w:szCs w:val="18"/>
          <w:u w:val="single" w:color="auto"/>
          <w:color w:val="auto"/>
        </w:rPr>
        <w:t>Subsection 6.5</w:t>
      </w:r>
      <w:r>
        <w:rPr>
          <w:rFonts w:ascii="Arial" w:cs="Arial" w:eastAsia="Arial" w:hAnsi="Arial"/>
          <w:sz w:val="18"/>
          <w:szCs w:val="18"/>
          <w:color w:val="auto"/>
        </w:rPr>
        <w:t>. If notice is given to the Company, a copy shall also be sent to Goodwin Procter LLP, 100 Northern Ave, Boston, MA 02210, Attention: Robert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2" w:right="499" w:bottom="1440" w:gutter="0" w:footer="0" w:header="0"/>
        </w:sectPr>
      </w:pPr>
    </w:p>
    <w:bookmarkStart w:id="361" w:name="page362"/>
    <w:bookmarkEnd w:id="361"/>
    <w:p>
      <w:pPr>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Puopolo, Esq. and if notice is given to Stockholders, a copy shall also be given to Wilson Sonsini Goodrich &amp; Rosati, 12235 El Camino Real, San Diego, CA 92130, Attention: Dan Koeppen, Esq., to McDermott Will &amp; Emery LLP, 340 Madison Avenue, New York, NY 10173, Attn: Todd Finger (or </w:t>
      </w:r>
      <w:r>
        <w:rPr>
          <w:rFonts w:ascii="Arial" w:cs="Arial" w:eastAsia="Arial" w:hAnsi="Arial"/>
          <w:sz w:val="16"/>
          <w:szCs w:val="16"/>
          <w:u w:val="single" w:color="auto"/>
          <w:color w:val="auto"/>
        </w:rPr>
        <w:t>tfinger@mwe.com</w:t>
      </w:r>
      <w:r>
        <w:rPr>
          <w:rFonts w:ascii="Arial" w:cs="Arial" w:eastAsia="Arial" w:hAnsi="Arial"/>
          <w:sz w:val="16"/>
          <w:szCs w:val="16"/>
          <w:color w:val="auto"/>
        </w:rPr>
        <w:t>) and to Schulte Roth &amp; Zabel LLP, 919 Third Avenue, New York, NY 10022, Attn: Eleazer Klein, Esq. (or Eleazer.klein@srz.com).</w:t>
      </w:r>
    </w:p>
    <w:p>
      <w:pPr>
        <w:spacing w:after="0" w:line="150" w:lineRule="exact"/>
        <w:rPr>
          <w:sz w:val="20"/>
          <w:szCs w:val="20"/>
          <w:color w:val="auto"/>
        </w:rPr>
      </w:pPr>
    </w:p>
    <w:p>
      <w:pPr>
        <w:ind w:right="40" w:firstLine="1972"/>
        <w:spacing w:after="0" w:line="272" w:lineRule="auto"/>
        <w:tabs>
          <w:tab w:leader="none" w:pos="2217"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Consent to Electronic Notice</w:t>
      </w:r>
      <w:r>
        <w:rPr>
          <w:rFonts w:ascii="Arial" w:cs="Arial" w:eastAsia="Arial" w:hAnsi="Arial"/>
          <w:sz w:val="17"/>
          <w:szCs w:val="17"/>
          <w:color w:val="auto"/>
        </w:rPr>
        <w:t>. Each Investor consents to the delivery of any stockholder notice pursuant to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as amended or superseded from time to time, by electronic transmission pursuant to Section 232 of the DGCL (or any successor thereto) at the electronic mail address or the facsimile number set forth below such Investor’s name on the Schedules hereto, as updated from time to time by notice to the Company, or as on the books of the Company. Each Investor agrees to promptly notify the Company of any change in such stockholder’s electronic mail address, and that failure to do so shall not affect the foregoing.</w:t>
      </w:r>
    </w:p>
    <w:p>
      <w:pPr>
        <w:spacing w:after="0" w:line="176" w:lineRule="exact"/>
        <w:rPr>
          <w:sz w:val="20"/>
          <w:szCs w:val="20"/>
          <w:color w:val="auto"/>
        </w:rPr>
      </w:pPr>
    </w:p>
    <w:p>
      <w:pPr>
        <w:ind w:firstLine="1964"/>
        <w:spacing w:after="0" w:line="28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Requisite Holders (as defined in the 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if such amendment, modification, termination or waiver would adversely affect the rights of such Investor in a manner disproportionate to any adverse effect such amendment, modification, termination or waiver would have on the rights of the other Investors under this Agreement, (b) the specific rights of (and provisions relating to) NEA, Versant, Amzak, HBM, Aisling, each of the RTW Entities and Avoro may not be amended, modified or terminated and the observance of any term hereof may not be waived without its consent, and (c)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 may not be waived without the written consent of the Requisite Series A Preferred (as defined in the Certificate of Incorporation), the Requisite Series B Preferred (as defined in the Certificate of Incorporation) and the Requisite Series C Preferred (as defined in the Certificate of Incorporation) (it being agreed that a waiver of the provisions of Section 4 with respect to a particular transaction shall not be deemed to apply to all Investors in the same fashion in the event that certain Investors by agreement with the Company purchase securities in such transaction or issuance (such Investor, a “Participating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xml:space="preserve"> unless each other Investor whose rights were waived or amended has been provided a reasonable opportunity to purchase a proportional number of the New Securities being offered by the Company in such transaction based on the pro rata purchase right of such other Investor set forth in Section 4, assuming a transaction size determined based upon the amount purchased by the Participating Investor that invested the largest percentage in such transaction). Notwithstanding the foregoing,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also be amended by the Company after the date of this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362" w:name="page363"/>
    <w:bookmarkEnd w:id="36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Agreement without the consent of the other parties to add information regarding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 xml:space="preserve">. The Company shall give prompt notice of any amendment, modification or termination hereof or waiver hereunder to any party hereto that did not consent in writing to such amendment, modification, termination, or waiver. In addition, the Company shall give notice simultaneously to all parties hereto of any proposed amendment, modification or termination hereof. Any amendment, modification, termination, or waiver effected in accordance with this </w:t>
      </w:r>
      <w:r>
        <w:rPr>
          <w:rFonts w:ascii="Arial" w:cs="Arial" w:eastAsia="Arial" w:hAnsi="Arial"/>
          <w:sz w:val="17"/>
          <w:szCs w:val="17"/>
          <w:u w:val="single" w:color="auto"/>
          <w:color w:val="auto"/>
        </w:rPr>
        <w:t>Subsection 6.6</w:t>
      </w:r>
      <w:r>
        <w:rPr>
          <w:rFonts w:ascii="Arial" w:cs="Arial" w:eastAsia="Arial" w:hAnsi="Arial"/>
          <w:sz w:val="17"/>
          <w:szCs w:val="17"/>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sz w:val="20"/>
          <w:szCs w:val="20"/>
          <w:color w:val="auto"/>
        </w:rPr>
      </w:pPr>
    </w:p>
    <w:p>
      <w:pPr>
        <w:ind w:right="120" w:firstLine="1964"/>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90" w:lineRule="exact"/>
        <w:rPr>
          <w:sz w:val="20"/>
          <w:szCs w:val="20"/>
          <w:color w:val="auto"/>
        </w:rPr>
      </w:pPr>
    </w:p>
    <w:p>
      <w:pPr>
        <w:ind w:right="60" w:firstLine="1964"/>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6" w:lineRule="exact"/>
        <w:rPr>
          <w:sz w:val="20"/>
          <w:szCs w:val="20"/>
          <w:color w:val="auto"/>
        </w:rPr>
      </w:pPr>
    </w:p>
    <w:p>
      <w:pPr>
        <w:ind w:firstLine="1964"/>
        <w:spacing w:after="0" w:line="272"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6" w:lineRule="exact"/>
        <w:rPr>
          <w:sz w:val="20"/>
          <w:szCs w:val="20"/>
          <w:color w:val="auto"/>
        </w:rPr>
      </w:pPr>
    </w:p>
    <w:p>
      <w:pPr>
        <w:ind w:right="60" w:firstLine="1964"/>
        <w:spacing w:after="0" w:line="297"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59" w:lineRule="exact"/>
        <w:rPr>
          <w:sz w:val="20"/>
          <w:szCs w:val="20"/>
          <w:color w:val="auto"/>
        </w:rPr>
      </w:pPr>
    </w:p>
    <w:p>
      <w:pPr>
        <w:ind w:firstLine="1964"/>
        <w:spacing w:after="0" w:line="293"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480" w:top="272" w:right="539" w:bottom="1440" w:gutter="0" w:footer="0" w:header="0"/>
        </w:sectPr>
      </w:pPr>
    </w:p>
    <w:bookmarkStart w:id="363" w:name="page364"/>
    <w:bookmarkEnd w:id="36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3" w:lineRule="exact"/>
        <w:rPr>
          <w:sz w:val="20"/>
          <w:szCs w:val="20"/>
          <w:color w:val="auto"/>
        </w:rPr>
      </w:pPr>
    </w:p>
    <w:p>
      <w:pPr>
        <w:ind w:right="100" w:firstLine="1964"/>
        <w:spacing w:after="0" w:line="293"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firstLine="982"/>
        <w:spacing w:after="0" w:line="293"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Massachusetts Business Trust</w:t>
      </w:r>
      <w:r>
        <w:rPr>
          <w:rFonts w:ascii="Arial" w:cs="Arial" w:eastAsia="Arial" w:hAnsi="Arial"/>
          <w:sz w:val="16"/>
          <w:szCs w:val="16"/>
          <w:color w:val="auto"/>
        </w:rPr>
        <w:t>. A copy of the Agreement and Declaration of Trust of each Investor advised or sub-advised by Fidelity Management &amp; Research Company LLC (each, a “Fidelity Investor”) or any Affiliate thereof is on file with the Secretary of State of the Commonwealth of Massachusetts and notice is hereby given that this Agreement is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364" w:name="page365"/>
    <w:bookmarkEnd w:id="364"/>
    <w:p>
      <w:pPr>
        <w:ind w:lef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Second Amended and Restated Investors’ Rights as of the date first written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MONTE ROSA THERAPEUTICS, INC.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Markus Warmuth, M.D.</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Chief Executive Officer and President</w:t>
      </w:r>
    </w:p>
    <w:p>
      <w:pPr>
        <w:spacing w:after="0" w:line="13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80" w:top="268" w:right="799" w:bottom="1440" w:gutter="0" w:footer="0" w:header="0"/>
        </w:sectPr>
      </w:pPr>
    </w:p>
    <w:bookmarkStart w:id="365" w:name="page366"/>
    <w:bookmarkEnd w:id="365"/>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Versant Venture Capital VI, L.P.</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Ventures VI GP,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Ventures VI GP-GP, LLC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Bolzon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Bradley Bolzon, Ph.D.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Versant Vantage I, L.P.</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Vantage I GP,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Vantage I GP-GP, LLC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Bolzon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Bradley Bolzon, Ph.D.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66" w:name="page367"/>
    <w:bookmarkEnd w:id="366"/>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New Enterprise Associates 17, L.P.</w:t>
      </w:r>
    </w:p>
    <w:p>
      <w:pPr>
        <w:spacing w:after="0" w:line="18" w:lineRule="exact"/>
        <w:rPr>
          <w:sz w:val="20"/>
          <w:szCs w:val="20"/>
          <w:color w:val="auto"/>
        </w:rPr>
      </w:pPr>
    </w:p>
    <w:tbl>
      <w:tblPr>
        <w:tblLayout w:type="fixed"/>
        <w:tblInd w:w="65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NEA Partners 17, L.P., its general partner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NEA 17 GP, LLC, its general partner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Citron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Louis Citron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4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NEA Ventures 2019, Limited Partnership</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Citron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Louis Citron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Vice-President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9" w:right="499" w:bottom="1440" w:gutter="0" w:footer="0" w:header="0"/>
        </w:sectPr>
      </w:pPr>
    </w:p>
    <w:bookmarkStart w:id="367" w:name="page368"/>
    <w:bookmarkEnd w:id="367"/>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Amzak Health Investors, LLC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 Erony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Joyce Erony</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Managing 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68" w:name="page369"/>
    <w:bookmarkEnd w:id="368"/>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Cambridge asset Investment, Ld.</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Wei-How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Wei-How Lu</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69" w:name="page370"/>
    <w:bookmarkEnd w:id="369"/>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Casdin Partners Master Fund, L.P.</w:t>
      </w:r>
    </w:p>
    <w:p>
      <w:pPr>
        <w:spacing w:after="0" w:line="24"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Casdin Partners GP, LLC, its General Partner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O’Brien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Kevin O’Brien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Casdin Private Growth Equity Fund, L.P.</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Casdin Private Growth Equity Fund GP, LLC, its</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General Partner</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Kevin O’Brien</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General Counsel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70" w:name="page371"/>
    <w:bookmarkEnd w:id="370"/>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Cormorant Private Healthcare Fund III, LP</w:t>
      </w:r>
    </w:p>
    <w:p>
      <w:pPr>
        <w:spacing w:after="0" w:line="24"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Cormorant Private Healthcare GP III, LLC</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Bihua Chen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Cormorant Global Healthcare Master Fund,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Cormorant Global Healthcare GP, LLC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Bihua Chen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CRMA SPV, L.P.</w:t>
      </w:r>
    </w:p>
    <w:p>
      <w:pPr>
        <w:spacing w:after="0" w:line="24"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Cormorant Asset Management, LP, Its</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attorney-in-fact</w:t>
      </w:r>
    </w:p>
    <w:p>
      <w:pPr>
        <w:spacing w:after="0" w:line="208"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Bihua Chen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Cormorant Private Healthcare Fund II,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Cormorant Private Healthcare GP II, LLC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Bihua Chen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71" w:name="page372"/>
    <w:bookmarkEnd w:id="371"/>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Puopolo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Robert E. Puopolo</w:t>
            </w:r>
          </w:p>
        </w:tc>
      </w:tr>
    </w:tbl>
    <w:p>
      <w:pPr>
        <w:spacing w:after="0" w:line="196"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2019 Fan Pier Fund A, LLC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David Henken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H. David Henken</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Manager</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2019 Fan Pier Fund B, LLC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David Henken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H. David Henken</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72" w:name="page373"/>
    <w:bookmarkEnd w:id="372"/>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GV 2019, L.P.</w:t>
      </w:r>
    </w:p>
    <w:p>
      <w:pPr>
        <w:spacing w:after="0" w:line="18" w:lineRule="exact"/>
        <w:rPr>
          <w:sz w:val="20"/>
          <w:szCs w:val="20"/>
          <w:color w:val="auto"/>
        </w:rPr>
      </w:pPr>
    </w:p>
    <w:tbl>
      <w:tblPr>
        <w:tblLayout w:type="fixed"/>
        <w:tblInd w:w="65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spacing w:after="0"/>
              <w:rPr>
                <w:sz w:val="20"/>
                <w:szCs w:val="20"/>
                <w:color w:val="auto"/>
              </w:rPr>
            </w:pPr>
            <w:r>
              <w:rPr>
                <w:rFonts w:ascii="Arial" w:cs="Arial" w:eastAsia="Arial" w:hAnsi="Arial"/>
                <w:sz w:val="18"/>
                <w:szCs w:val="18"/>
                <w:color w:val="auto"/>
              </w:rPr>
              <w:t>GV 2019 GP, L.P., its General Partner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0"/>
                <w:szCs w:val="20"/>
                <w:color w:val="auto"/>
              </w:rPr>
            </w:pPr>
            <w:r>
              <w:rPr>
                <w:rFonts w:ascii="Arial" w:cs="Arial" w:eastAsia="Arial" w:hAnsi="Arial"/>
                <w:sz w:val="18"/>
                <w:szCs w:val="18"/>
                <w:color w:val="auto"/>
                <w:w w:val="92"/>
              </w:rPr>
              <w:t>GV 2019</w:t>
            </w:r>
          </w:p>
        </w:tc>
        <w:tc>
          <w:tcPr>
            <w:tcW w:w="3100" w:type="dxa"/>
            <w:vAlign w:val="bottom"/>
          </w:tcPr>
          <w:p>
            <w:pPr>
              <w:ind w:left="20"/>
              <w:spacing w:after="0"/>
              <w:rPr>
                <w:sz w:val="20"/>
                <w:szCs w:val="20"/>
                <w:color w:val="auto"/>
              </w:rPr>
            </w:pPr>
            <w:r>
              <w:rPr>
                <w:rFonts w:ascii="Arial" w:cs="Arial" w:eastAsia="Arial" w:hAnsi="Arial"/>
                <w:sz w:val="18"/>
                <w:szCs w:val="18"/>
                <w:color w:val="auto"/>
              </w:rPr>
              <w:t>GP, L.L.C., its General Partner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Daphne M. Chang</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gridSpan w:val="2"/>
          </w:tcPr>
          <w:p>
            <w:pPr>
              <w:spacing w:after="0"/>
              <w:rPr>
                <w:sz w:val="20"/>
                <w:szCs w:val="20"/>
                <w:color w:val="auto"/>
              </w:rPr>
            </w:pPr>
            <w:r>
              <w:rPr>
                <w:rFonts w:ascii="Arial" w:cs="Arial" w:eastAsia="Arial" w:hAnsi="Arial"/>
                <w:sz w:val="18"/>
                <w:szCs w:val="18"/>
                <w:color w:val="auto"/>
              </w:rPr>
              <w:t>Daphne M. Chang</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415"/>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GV 2021, L.P.</w:t>
            </w:r>
          </w:p>
        </w:tc>
        <w:tc>
          <w:tcPr>
            <w:tcW w:w="3100" w:type="dxa"/>
            <w:vAlign w:val="bottom"/>
          </w:tcPr>
          <w:p>
            <w:pPr>
              <w:spacing w:after="0"/>
              <w:rPr>
                <w:sz w:val="24"/>
                <w:szCs w:val="24"/>
                <w:color w:val="auto"/>
              </w:rPr>
            </w:pP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0"/>
                <w:szCs w:val="20"/>
                <w:color w:val="auto"/>
              </w:rPr>
            </w:pPr>
            <w:r>
              <w:rPr>
                <w:rFonts w:ascii="Arial" w:cs="Arial" w:eastAsia="Arial" w:hAnsi="Arial"/>
                <w:sz w:val="18"/>
                <w:szCs w:val="18"/>
                <w:color w:val="auto"/>
                <w:w w:val="92"/>
              </w:rPr>
              <w:t>GV 2021</w:t>
            </w:r>
          </w:p>
        </w:tc>
        <w:tc>
          <w:tcPr>
            <w:tcW w:w="3100" w:type="dxa"/>
            <w:vAlign w:val="bottom"/>
          </w:tcPr>
          <w:p>
            <w:pPr>
              <w:ind w:left="20"/>
              <w:spacing w:after="0"/>
              <w:rPr>
                <w:sz w:val="20"/>
                <w:szCs w:val="20"/>
                <w:color w:val="auto"/>
              </w:rPr>
            </w:pPr>
            <w:r>
              <w:rPr>
                <w:rFonts w:ascii="Arial" w:cs="Arial" w:eastAsia="Arial" w:hAnsi="Arial"/>
                <w:sz w:val="18"/>
                <w:szCs w:val="18"/>
                <w:color w:val="auto"/>
              </w:rPr>
              <w:t>GP, L.P., its General Partner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0"/>
                <w:szCs w:val="20"/>
                <w:color w:val="auto"/>
              </w:rPr>
            </w:pPr>
            <w:r>
              <w:rPr>
                <w:rFonts w:ascii="Arial" w:cs="Arial" w:eastAsia="Arial" w:hAnsi="Arial"/>
                <w:sz w:val="18"/>
                <w:szCs w:val="18"/>
                <w:color w:val="auto"/>
                <w:w w:val="92"/>
              </w:rPr>
              <w:t>GV 2021</w:t>
            </w:r>
          </w:p>
        </w:tc>
        <w:tc>
          <w:tcPr>
            <w:tcW w:w="3100" w:type="dxa"/>
            <w:vAlign w:val="bottom"/>
          </w:tcPr>
          <w:p>
            <w:pPr>
              <w:ind w:left="20"/>
              <w:spacing w:after="0"/>
              <w:rPr>
                <w:sz w:val="20"/>
                <w:szCs w:val="20"/>
                <w:color w:val="auto"/>
              </w:rPr>
            </w:pPr>
            <w:r>
              <w:rPr>
                <w:rFonts w:ascii="Arial" w:cs="Arial" w:eastAsia="Arial" w:hAnsi="Arial"/>
                <w:sz w:val="18"/>
                <w:szCs w:val="18"/>
                <w:color w:val="auto"/>
              </w:rPr>
              <w:t>GP, L.L.C., its General Partner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Daphne M. Chang</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gridSpan w:val="2"/>
          </w:tcPr>
          <w:p>
            <w:pPr>
              <w:spacing w:after="0"/>
              <w:rPr>
                <w:sz w:val="20"/>
                <w:szCs w:val="20"/>
                <w:color w:val="auto"/>
              </w:rPr>
            </w:pPr>
            <w:r>
              <w:rPr>
                <w:rFonts w:ascii="Arial" w:cs="Arial" w:eastAsia="Arial" w:hAnsi="Arial"/>
                <w:sz w:val="18"/>
                <w:szCs w:val="18"/>
                <w:color w:val="auto"/>
              </w:rPr>
              <w:t>Daphne M. Chang</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73" w:name="page374"/>
    <w:bookmarkEnd w:id="373"/>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Jean-Marc LeSieur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Jean-Marc LeSieur</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Managing 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74" w:name="page375"/>
    <w:bookmarkEnd w:id="374"/>
    <w:p>
      <w:pPr>
        <w:ind w:right="2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Sixty Degree Capital Fund II, L.P.,</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its general partner, Sixty Degree Capital Fund II GP Inc.</w:t>
      </w:r>
    </w:p>
    <w:p>
      <w:pPr>
        <w:spacing w:after="0" w:line="23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Guo</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Jian Guo</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 Zu</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Feng Zu</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7"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Sixty Degree Capital Fund II (INTERNATIONAL), L.P.,</w:t>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its general partner, Sixty Degree Capital Fund II GP Inc.</w:t>
      </w:r>
    </w:p>
    <w:p>
      <w:pPr>
        <w:spacing w:after="0" w:line="23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Guo</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Jian Guo</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 Zu</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Feng Zu</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80" w:top="268" w:right="499" w:bottom="1440" w:gutter="0" w:footer="0" w:header="0"/>
        </w:sectPr>
      </w:pPr>
    </w:p>
    <w:bookmarkStart w:id="375" w:name="page376"/>
    <w:bookmarkEnd w:id="375"/>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Aisling Capital V, L.P.</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Robert Wenzel</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CFO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76" w:name="page377"/>
    <w:bookmarkEnd w:id="376"/>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AVORO LIFE SCIENCES FUND LLC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Scott Epstein</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Partner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77" w:name="page378"/>
    <w:bookmarkEnd w:id="377"/>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FIDELITY SELECT PORTFOLIOS:</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BIOTECHNOLOGY PORTFOLIO</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Authorized Signatory</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FIDELITY ADVISOR SERIES VII: FIDELITY</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ADVISOR BIOTECHNOLOGY FUND</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Authorized Signatory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78" w:name="page379"/>
    <w:bookmarkEnd w:id="378"/>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Health Sciences Fund, Inc.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TD Mutual Funds - TD Health Sciences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Health Sciences Portfolio</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Each account, severally not jointly</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By: T. Rowe Price Associates, Inc., Investment Adviser or</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Subadviser, as applicable</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Andrew Baek</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Vice President, Senior Legal Counsel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79" w:name="page380"/>
    <w:bookmarkEnd w:id="379"/>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BLACKROCK HEALTH SCIENCES TRUST II</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BlackRock Advisors, LLC, its Investment Adviser</w:t>
      </w:r>
    </w:p>
    <w:p>
      <w:pPr>
        <w:spacing w:after="0" w:line="221"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Hongying Erin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Hongying Erin Xie</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Managing 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80" w:name="page381"/>
    <w:bookmarkEnd w:id="380"/>
    <w:p>
      <w:pPr>
        <w:ind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Second Amended and Restated Investors’ Rights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RTW MASTER FUND, LTD.</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Roderick Wong, M.D.</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Director</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RTW INNOVATION MASTER FUND, LTD.</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Roderick Wong, M.D.</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Director</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RTW VENTURE FUND LIMITED</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RTW Investments, LP, its Investment Manager</w:t>
      </w:r>
    </w:p>
    <w:p>
      <w:pPr>
        <w:spacing w:after="0" w:line="221"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Roderick Wong, M.D.</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Managing Partner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480" w:top="268" w:right="519" w:bottom="1440" w:gutter="0" w:footer="0" w:header="0"/>
        </w:sectPr>
      </w:pPr>
    </w:p>
    <w:bookmarkStart w:id="381" w:name="page382"/>
    <w:bookmarkEnd w:id="381"/>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A</w:t>
      </w:r>
    </w:p>
    <w:p>
      <w:pPr>
        <w:spacing w:after="0" w:line="23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Avoro Life Sciences Fund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Health Sciences Fund,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 Mutual Funds - TD Health Sciences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Health Sciences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BlackRock Health Sciences Trust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RTW Master Fund,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RTW Innovation Master Fund,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RTW Venture Fund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Enterprise Associates 17,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Ventures 2019, Limited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Private Healthcare Fund III,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Private Healthcare Fund 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Casdin Partners Master Fund,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Amzak Health Investors,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Sixty Degree Capital Fund 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Sixty Degree Capital Fund II (International), L.P.</w:t>
      </w:r>
    </w:p>
    <w:p>
      <w:pPr>
        <w:sectPr>
          <w:pgSz w:w="11900" w:h="16838" w:orient="portrait"/>
          <w:cols w:equalWidth="0" w:num="1">
            <w:col w:w="9979"/>
          </w:cols>
          <w:pgMar w:left="480" w:top="268" w:right="1440" w:bottom="1440" w:gutter="0" w:footer="0" w:header="0"/>
        </w:sectPr>
      </w:pPr>
    </w:p>
    <w:bookmarkStart w:id="382" w:name="page383"/>
    <w:bookmarkEnd w:id="38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Cambridge Asset Investment, Ltd.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E. Puopolo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Fan Pier Fund A,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Fan Pier Fund B, LLC</w:t>
      </w:r>
    </w:p>
    <w:p>
      <w:pPr>
        <w:sectPr>
          <w:pgSz w:w="11900" w:h="16838" w:orient="portrait"/>
          <w:cols w:equalWidth="0" w:num="1">
            <w:col w:w="9979"/>
          </w:cols>
          <w:pgMar w:left="480" w:top="268" w:right="1440" w:bottom="1440" w:gutter="0" w:footer="0" w:header="0"/>
        </w:sectPr>
      </w:pPr>
    </w:p>
    <w:bookmarkStart w:id="383" w:name="page384"/>
    <w:bookmarkEnd w:id="383"/>
    <w:p>
      <w:pPr>
        <w:ind w:left="912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3313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094855" cy="433133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69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6135" cy="7226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0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2020 STOCK OPTION AND GRANT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4"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The name of the plan is the Monte Rosa Therapeutics, Inc. Stock Option and Grant Plan (the “Plan”). The purpose of the Plan is to encourage and enable the officers, employees, directors, Consultants and other key persons of Monte Rosa Therapeutics,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90" w:lineRule="exact"/>
        <w:rPr>
          <w:sz w:val="20"/>
          <w:szCs w:val="20"/>
          <w:color w:val="auto"/>
        </w:rPr>
      </w:pPr>
    </w:p>
    <w:p>
      <w:pPr>
        <w:jc w:val="center"/>
        <w:ind w:right="600"/>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or “</w:t>
      </w:r>
      <w:r>
        <w:rPr>
          <w:rFonts w:ascii="Arial" w:cs="Arial" w:eastAsia="Arial" w:hAnsi="Arial"/>
          <w:sz w:val="16"/>
          <w:szCs w:val="16"/>
          <w:i w:val="1"/>
          <w:iCs w:val="1"/>
          <w:color w:val="auto"/>
        </w:rPr>
        <w:t>Awards,</w:t>
      </w:r>
      <w:r>
        <w:rPr>
          <w:rFonts w:ascii="Arial" w:cs="Arial" w:eastAsia="Arial" w:hAnsi="Arial"/>
          <w:sz w:val="16"/>
          <w:szCs w:val="16"/>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28"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or electronic agreement setting forth the terms and provisions applicable to an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Award Agreement may contain terms and conditions in addition to those set forth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of any conflict in the terms of the Plan and the Award Agreement, the terms of the Plan shall govern</w:t>
      </w:r>
      <w:r>
        <w:rPr>
          <w:rFonts w:ascii="Arial" w:cs="Arial" w:eastAsia="Arial" w:hAnsi="Arial"/>
          <w:sz w:val="18"/>
          <w:szCs w:val="18"/>
          <w:b w:val="1"/>
          <w:bCs w:val="1"/>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1" w:lineRule="exact"/>
        <w:rPr>
          <w:sz w:val="20"/>
          <w:szCs w:val="20"/>
          <w:color w:val="auto"/>
        </w:rPr>
      </w:pPr>
    </w:p>
    <w:p>
      <w:pPr>
        <w:ind w:right="30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2" w:lineRule="exact"/>
        <w:rPr>
          <w:sz w:val="20"/>
          <w:szCs w:val="20"/>
          <w:color w:val="auto"/>
        </w:rPr>
      </w:pPr>
    </w:p>
    <w:p>
      <w:pPr>
        <w:ind w:right="40" w:firstLine="7"/>
        <w:spacing w:after="0" w:line="250" w:lineRule="auto"/>
        <w:tabs>
          <w:tab w:leader="none" w:pos="28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0920"/>
          </w:cols>
          <w:pgMar w:left="480" w:top="121" w:right="499" w:bottom="1440" w:gutter="0" w:footer="0" w:header="0"/>
        </w:sectPr>
      </w:pPr>
    </w:p>
    <w:bookmarkStart w:id="386" w:name="page387"/>
    <w:bookmarkEnd w:id="386"/>
    <w:p>
      <w:pPr>
        <w:ind w:right="120" w:firstLine="436"/>
        <w:spacing w:after="0" w:line="27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“Chief Executive Officer” </w:t>
      </w:r>
      <w:r>
        <w:rPr>
          <w:rFonts w:ascii="Arial" w:cs="Arial" w:eastAsia="Arial" w:hAnsi="Arial"/>
          <w:sz w:val="18"/>
          <w:szCs w:val="18"/>
          <w:color w:val="auto"/>
        </w:rPr>
        <w:t>means the Chief Executive Officer of the Company or, if there is no Chief Executive Officer, then the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any successor Code, and related rules, regulations and interpretations.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of the Board referred to in Section 2.</w:t>
      </w:r>
    </w:p>
    <w:p>
      <w:pPr>
        <w:spacing w:after="0" w:line="221"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(including a Subsidiary),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64" w:lineRule="exact"/>
        <w:rPr>
          <w:sz w:val="20"/>
          <w:szCs w:val="20"/>
          <w:color w:val="auto"/>
        </w:rPr>
      </w:pPr>
    </w:p>
    <w:p>
      <w:pPr>
        <w:ind w:right="60" w:firstLine="436"/>
        <w:spacing w:after="0" w:line="272" w:lineRule="auto"/>
        <w:rPr>
          <w:sz w:val="20"/>
          <w:szCs w:val="20"/>
          <w:color w:val="auto"/>
        </w:rPr>
      </w:pPr>
      <w:r>
        <w:rPr>
          <w:rFonts w:ascii="Arial" w:cs="Arial" w:eastAsia="Arial" w:hAnsi="Arial"/>
          <w:sz w:val="17"/>
          <w:szCs w:val="17"/>
          <w:i w:val="1"/>
          <w:iCs w:val="1"/>
          <w:color w:val="auto"/>
        </w:rPr>
        <w:t xml:space="preserve">“Good Reason” </w:t>
      </w:r>
      <w:r>
        <w:rPr>
          <w:rFonts w:ascii="Arial" w:cs="Arial" w:eastAsia="Arial" w:hAnsi="Arial"/>
          <w:sz w:val="17"/>
          <w:szCs w:val="17"/>
          <w:color w:val="auto"/>
        </w:rPr>
        <w:t>shall have the meaning as set forth in the Award Agreement(s). In the case that any Award Agreement does not contain a</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76"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75"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with respect to an Award or any Shares, the Person holding such Award or Shares, including the initial recipient of the Award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Permitted Transferee.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80" w:top="272" w:right="539" w:bottom="1440" w:gutter="0" w:footer="0" w:header="0"/>
        </w:sectPr>
      </w:pPr>
    </w:p>
    <w:bookmarkStart w:id="387" w:name="page388"/>
    <w:bookmarkEnd w:id="38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Stock Option designated and qualified as an “incentive stock option” as defined in Section 422 of the Code.</w:t>
      </w:r>
    </w:p>
    <w:p>
      <w:pPr>
        <w:spacing w:after="0" w:line="244"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means any option to purchase shares of Stock granted pursuant to Section 5.</w:t>
      </w:r>
    </w:p>
    <w:p>
      <w:pPr>
        <w:spacing w:after="0" w:line="221"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Transferees</w:t>
      </w:r>
      <w:r>
        <w:rPr>
          <w:rFonts w:ascii="Arial" w:cs="Arial" w:eastAsia="Arial" w:hAnsi="Arial"/>
          <w:sz w:val="17"/>
          <w:szCs w:val="17"/>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7"/>
          <w:szCs w:val="17"/>
          <w:i w:val="1"/>
          <w:iCs w:val="1"/>
          <w:color w:val="auto"/>
        </w:rPr>
        <w:t>; provided, however,</w:t>
      </w:r>
      <w:r>
        <w:rPr>
          <w:rFonts w:ascii="Arial" w:cs="Arial" w:eastAsia="Arial" w:hAnsi="Arial"/>
          <w:sz w:val="17"/>
          <w:szCs w:val="17"/>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80" w:lineRule="exact"/>
        <w:rPr>
          <w:sz w:val="20"/>
          <w:szCs w:val="20"/>
          <w:color w:val="auto"/>
        </w:rPr>
      </w:pPr>
    </w:p>
    <w:p>
      <w:pPr>
        <w:ind w:right="7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“Restricted Stock Award” </w:t>
      </w:r>
      <w:r>
        <w:rPr>
          <w:rFonts w:ascii="Arial" w:cs="Arial" w:eastAsia="Arial" w:hAnsi="Arial"/>
          <w:sz w:val="16"/>
          <w:szCs w:val="16"/>
          <w:color w:val="auto"/>
        </w:rPr>
        <w:t>means Awards granted pursuant to Section 6 and</w:t>
      </w:r>
      <w:r>
        <w:rPr>
          <w:rFonts w:ascii="Arial" w:cs="Arial" w:eastAsia="Arial" w:hAnsi="Arial"/>
          <w:sz w:val="16"/>
          <w:szCs w:val="16"/>
          <w:i w:val="1"/>
          <w:iCs w:val="1"/>
          <w:color w:val="auto"/>
        </w:rPr>
        <w:t xml:space="preserve"> “Restricted Stock” </w:t>
      </w:r>
      <w:r>
        <w:rPr>
          <w:rFonts w:ascii="Arial" w:cs="Arial" w:eastAsia="Arial" w:hAnsi="Arial"/>
          <w:sz w:val="16"/>
          <w:szCs w:val="16"/>
          <w:color w:val="auto"/>
        </w:rPr>
        <w:t>means Shares issued pursuant to such Awards.</w:t>
      </w:r>
    </w:p>
    <w:p>
      <w:pPr>
        <w:spacing w:after="0" w:line="244"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of phantom stock units to a grantee, which may be settled in cash or Shares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pursuant to Section 8.</w:t>
      </w:r>
    </w:p>
    <w:p>
      <w:pPr>
        <w:spacing w:after="0" w:line="175"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388" w:name="page389"/>
    <w:bookmarkEnd w:id="38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1"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key person (including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Subsidiary or any successor entity (e.g., a Service Relationship shall be deemed to continue without interruption in the event an individual’s status changes from full-time employee to part-time employee or Consultant).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Stock.</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$0.0001 per share, of the Company.</w:t>
      </w:r>
    </w:p>
    <w:p>
      <w:pPr>
        <w:spacing w:after="0" w:line="221"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5" w:lineRule="exact"/>
        <w:rPr>
          <w:sz w:val="20"/>
          <w:szCs w:val="20"/>
          <w:color w:val="auto"/>
        </w:rPr>
      </w:pPr>
    </w:p>
    <w:p>
      <w:pPr>
        <w:ind w:right="120" w:firstLine="436"/>
        <w:spacing w:after="0" w:line="335" w:lineRule="auto"/>
        <w:rPr>
          <w:sz w:val="20"/>
          <w:szCs w:val="20"/>
          <w:color w:val="auto"/>
        </w:rPr>
      </w:pPr>
      <w:r>
        <w:rPr>
          <w:rFonts w:ascii="Arial" w:cs="Arial" w:eastAsia="Arial" w:hAnsi="Arial"/>
          <w:sz w:val="16"/>
          <w:szCs w:val="16"/>
          <w:i w:val="1"/>
          <w:iCs w:val="1"/>
          <w:color w:val="auto"/>
        </w:rPr>
        <w:t xml:space="preserve">“Ten Percent Owner” </w:t>
      </w:r>
      <w:r>
        <w:rPr>
          <w:rFonts w:ascii="Arial" w:cs="Arial" w:eastAsia="Arial" w:hAnsi="Arial"/>
          <w:sz w:val="16"/>
          <w:szCs w:val="16"/>
          <w:color w:val="auto"/>
        </w:rPr>
        <w:t>means an employee who owns or is deemed to own (by reason of the attribution rules of Section 424(d) of the Code) more</w:t>
      </w:r>
      <w:r>
        <w:rPr>
          <w:rFonts w:ascii="Arial" w:cs="Arial" w:eastAsia="Arial" w:hAnsi="Arial"/>
          <w:sz w:val="16"/>
          <w:szCs w:val="16"/>
          <w:i w:val="1"/>
          <w:iCs w:val="1"/>
          <w:color w:val="auto"/>
        </w:rPr>
        <w:t xml:space="preserve"> </w:t>
      </w:r>
      <w:r>
        <w:rPr>
          <w:rFonts w:ascii="Arial" w:cs="Arial" w:eastAsia="Arial" w:hAnsi="Arial"/>
          <w:sz w:val="16"/>
          <w:szCs w:val="16"/>
          <w:color w:val="auto"/>
        </w:rPr>
        <w:t>than 10 percent of the combined voting power of all classes of stock of the Company or any parent of the Company or any Subsidiary.</w:t>
      </w:r>
    </w:p>
    <w:p>
      <w:pPr>
        <w:spacing w:after="0" w:line="128"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i w:val="1"/>
          <w:iCs w:val="1"/>
          <w:color w:val="auto"/>
        </w:rPr>
        <w:t xml:space="preserve">“Termination Event” </w:t>
      </w:r>
      <w:r>
        <w:rPr>
          <w:rFonts w:ascii="Arial" w:cs="Arial" w:eastAsia="Arial" w:hAnsi="Arial"/>
          <w:sz w:val="16"/>
          <w:szCs w:val="16"/>
          <w:color w:val="auto"/>
        </w:rPr>
        <w:t>means the termination of the Award recipient’s Service Relationship with the Company and its Subsidiaries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4"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Stock Award”</w:t>
      </w:r>
      <w:r>
        <w:rPr>
          <w:rFonts w:ascii="Arial" w:cs="Arial" w:eastAsia="Arial" w:hAnsi="Arial"/>
          <w:sz w:val="18"/>
          <w:szCs w:val="18"/>
          <w:color w:val="auto"/>
        </w:rPr>
        <w:t xml:space="preserve"> means any Award granted pursuant to Section 7 and </w:t>
      </w:r>
      <w:r>
        <w:rPr>
          <w:rFonts w:ascii="Arial" w:cs="Arial" w:eastAsia="Arial" w:hAnsi="Arial"/>
          <w:sz w:val="18"/>
          <w:szCs w:val="18"/>
          <w:i w:val="1"/>
          <w:iCs w:val="1"/>
          <w:color w:val="auto"/>
        </w:rPr>
        <w:t>“Unrestricted Stock”</w:t>
      </w:r>
      <w:r>
        <w:rPr>
          <w:rFonts w:ascii="Arial" w:cs="Arial" w:eastAsia="Arial" w:hAnsi="Arial"/>
          <w:sz w:val="18"/>
          <w:szCs w:val="18"/>
          <w:color w:val="auto"/>
        </w:rPr>
        <w:t xml:space="preserve"> means Shares issued pursuant to such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COMMITTEE AUTHORITY TO SELECT GRANTEES AND DETERMINE AWARDS</w:t>
      </w:r>
    </w:p>
    <w:p>
      <w:pPr>
        <w:spacing w:after="0" w:line="114" w:lineRule="exact"/>
        <w:rPr>
          <w:sz w:val="20"/>
          <w:szCs w:val="20"/>
          <w:color w:val="auto"/>
        </w:rPr>
      </w:pPr>
    </w:p>
    <w:p>
      <w:pPr>
        <w:ind w:right="40" w:firstLine="444"/>
        <w:spacing w:after="0" w:line="281" w:lineRule="auto"/>
        <w:tabs>
          <w:tab w:leader="none" w:pos="679"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62" w:lineRule="exact"/>
        <w:rPr>
          <w:rFonts w:ascii="Arial" w:cs="Arial" w:eastAsia="Arial" w:hAnsi="Arial"/>
          <w:sz w:val="17"/>
          <w:szCs w:val="17"/>
          <w:color w:val="auto"/>
        </w:rPr>
      </w:pPr>
    </w:p>
    <w:p>
      <w:pPr>
        <w:ind w:right="120" w:firstLine="444"/>
        <w:spacing w:after="0" w:line="271" w:lineRule="auto"/>
        <w:tabs>
          <w:tab w:leader="none" w:pos="689"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67" w:lineRule="exact"/>
        <w:rPr>
          <w:rFonts w:ascii="Arial" w:cs="Arial" w:eastAsia="Arial" w:hAnsi="Arial"/>
          <w:sz w:val="18"/>
          <w:szCs w:val="18"/>
          <w:color w:val="auto"/>
        </w:rPr>
      </w:pPr>
    </w:p>
    <w:p>
      <w:pPr>
        <w:ind w:left="1200" w:hanging="210"/>
        <w:spacing w:after="0"/>
        <w:tabs>
          <w:tab w:leader="none" w:pos="12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1" w:right="499" w:bottom="1440" w:gutter="0" w:footer="0" w:header="0"/>
        </w:sectPr>
      </w:pPr>
    </w:p>
    <w:bookmarkStart w:id="389" w:name="page390"/>
    <w:bookmarkEnd w:id="389"/>
    <w:p>
      <w:pPr>
        <w:ind w:right="240" w:firstLine="990"/>
        <w:spacing w:after="0" w:line="335" w:lineRule="auto"/>
        <w:tabs>
          <w:tab w:leader="none" w:pos="1245"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21" w:lineRule="exact"/>
        <w:rPr>
          <w:rFonts w:ascii="Arial" w:cs="Arial" w:eastAsia="Arial" w:hAnsi="Arial"/>
          <w:sz w:val="16"/>
          <w:szCs w:val="16"/>
          <w:color w:val="auto"/>
        </w:rPr>
      </w:pPr>
    </w:p>
    <w:p>
      <w:pPr>
        <w:ind w:right="340" w:firstLine="990"/>
        <w:spacing w:after="0" w:line="271" w:lineRule="auto"/>
        <w:tabs>
          <w:tab w:leader="none" w:pos="129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67" w:lineRule="exact"/>
        <w:rPr>
          <w:rFonts w:ascii="Arial" w:cs="Arial" w:eastAsia="Arial" w:hAnsi="Arial"/>
          <w:sz w:val="18"/>
          <w:szCs w:val="18"/>
          <w:color w:val="auto"/>
        </w:rPr>
      </w:pPr>
    </w:p>
    <w:p>
      <w:pPr>
        <w:ind w:right="160" w:firstLine="990"/>
        <w:spacing w:after="0" w:line="259" w:lineRule="auto"/>
        <w:tabs>
          <w:tab w:leader="none" w:pos="12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3" w:lineRule="exact"/>
        <w:rPr>
          <w:rFonts w:ascii="Arial" w:cs="Arial" w:eastAsia="Arial" w:hAnsi="Arial"/>
          <w:sz w:val="18"/>
          <w:szCs w:val="18"/>
          <w:color w:val="auto"/>
        </w:rPr>
      </w:pPr>
    </w:p>
    <w:p>
      <w:pPr>
        <w:ind w:right="60" w:firstLine="990"/>
        <w:spacing w:after="0" w:line="271" w:lineRule="auto"/>
        <w:tabs>
          <w:tab w:leader="none" w:pos="12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impose any limitations on Awards, including limitations on transfers, repurchase provisions and the like, and to exercise repurchase rights or obligations;</w:t>
      </w:r>
    </w:p>
    <w:p>
      <w:pPr>
        <w:spacing w:after="0" w:line="67" w:lineRule="exact"/>
        <w:rPr>
          <w:rFonts w:ascii="Arial" w:cs="Arial" w:eastAsia="Arial" w:hAnsi="Arial"/>
          <w:sz w:val="18"/>
          <w:szCs w:val="18"/>
          <w:color w:val="auto"/>
        </w:rPr>
      </w:pPr>
    </w:p>
    <w:p>
      <w:pPr>
        <w:ind w:left="1340" w:hanging="350"/>
        <w:spacing w:after="0"/>
        <w:tabs>
          <w:tab w:leader="none" w:pos="13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subject to Section 5(a)(ii) and any restrictions imposed by Section 409A, to extend at any time the period in which Stock Options may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exercised; and</w:t>
      </w:r>
    </w:p>
    <w:p>
      <w:pPr>
        <w:spacing w:after="0" w:line="101" w:lineRule="exact"/>
        <w:rPr>
          <w:rFonts w:ascii="Arial" w:cs="Arial" w:eastAsia="Arial" w:hAnsi="Arial"/>
          <w:sz w:val="16"/>
          <w:szCs w:val="16"/>
          <w:color w:val="auto"/>
        </w:rPr>
      </w:pPr>
    </w:p>
    <w:p>
      <w:pPr>
        <w:jc w:val="both"/>
        <w:ind w:right="440" w:firstLine="990"/>
        <w:spacing w:after="0" w:line="255" w:lineRule="auto"/>
        <w:tabs>
          <w:tab w:leader="none" w:pos="138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114" w:lineRule="exact"/>
        <w:rPr>
          <w:sz w:val="20"/>
          <w:szCs w:val="20"/>
          <w:color w:val="auto"/>
        </w:rPr>
      </w:pPr>
    </w:p>
    <w:p>
      <w:pPr>
        <w:ind w:left="680" w:hanging="236"/>
        <w:spacing w:after="0"/>
        <w:tabs>
          <w:tab w:leader="none" w:pos="6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1" w:lineRule="exact"/>
        <w:rPr>
          <w:rFonts w:ascii="Arial" w:cs="Arial" w:eastAsia="Arial" w:hAnsi="Arial"/>
          <w:sz w:val="16"/>
          <w:szCs w:val="16"/>
          <w:color w:val="auto"/>
        </w:rPr>
      </w:pPr>
    </w:p>
    <w:p>
      <w:pPr>
        <w:ind w:right="60" w:firstLine="444"/>
        <w:spacing w:after="0" w:line="290" w:lineRule="auto"/>
        <w:tabs>
          <w:tab w:leader="none" w:pos="689"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390" w:name="page391"/>
    <w:bookmarkEnd w:id="390"/>
    <w:p>
      <w:pPr>
        <w:ind w:right="140" w:firstLine="444"/>
        <w:spacing w:after="0" w:line="267" w:lineRule="auto"/>
        <w:tabs>
          <w:tab w:leader="none" w:pos="679"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Foreign Award Recipients</w:t>
      </w:r>
      <w:r>
        <w:rPr>
          <w:rFonts w:ascii="Arial" w:cs="Arial" w:eastAsia="Arial" w:hAnsi="Arial"/>
          <w:sz w:val="17"/>
          <w:szCs w:val="17"/>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AND OTHER TRANSACTIONS; SUBSTITUTION</w:t>
      </w:r>
    </w:p>
    <w:p>
      <w:pPr>
        <w:spacing w:after="0" w:line="110" w:lineRule="exact"/>
        <w:rPr>
          <w:sz w:val="20"/>
          <w:szCs w:val="20"/>
          <w:color w:val="auto"/>
        </w:rPr>
      </w:pPr>
    </w:p>
    <w:p>
      <w:pPr>
        <w:ind w:right="100" w:firstLine="444"/>
        <w:spacing w:after="0" w:line="269" w:lineRule="auto"/>
        <w:tabs>
          <w:tab w:leader="none" w:pos="679"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xml:space="preserve">. The maximum number of Shares reserved and available for issuance under the Plan shall be </w:t>
      </w:r>
      <w:r>
        <w:rPr>
          <w:rFonts w:ascii="Arial" w:cs="Arial" w:eastAsia="Arial" w:hAnsi="Arial"/>
          <w:sz w:val="17"/>
          <w:szCs w:val="17"/>
          <w:b w:val="1"/>
          <w:bCs w:val="1"/>
          <w:color w:val="auto"/>
        </w:rPr>
        <w:t>20,498,228</w:t>
      </w:r>
      <w:r>
        <w:rPr>
          <w:rFonts w:ascii="Arial" w:cs="Arial" w:eastAsia="Arial" w:hAnsi="Arial"/>
          <w:sz w:val="17"/>
          <w:szCs w:val="17"/>
          <w:color w:val="auto"/>
        </w:rPr>
        <w:t xml:space="preserve">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w:t>
      </w:r>
      <w:r>
        <w:rPr>
          <w:rFonts w:ascii="Arial" w:cs="Arial" w:eastAsia="Arial" w:hAnsi="Arial"/>
          <w:sz w:val="17"/>
          <w:szCs w:val="17"/>
          <w:b w:val="1"/>
          <w:bCs w:val="1"/>
          <w:color w:val="auto"/>
        </w:rPr>
        <w:t>50,000,000</w:t>
      </w:r>
      <w:r>
        <w:rPr>
          <w:rFonts w:ascii="Arial" w:cs="Arial" w:eastAsia="Arial" w:hAnsi="Arial"/>
          <w:sz w:val="17"/>
          <w:szCs w:val="17"/>
          <w:color w:val="auto"/>
        </w:rPr>
        <w:t xml:space="preserve"> Shares may be issued pursuant to Incentive Stock Options. The Shares available for issuance under the Plan may be authorized but unissued Shares or Shares reacquired by the Company.</w:t>
      </w:r>
    </w:p>
    <w:p>
      <w:pPr>
        <w:spacing w:after="0" w:line="75" w:lineRule="exact"/>
        <w:rPr>
          <w:rFonts w:ascii="Arial" w:cs="Arial" w:eastAsia="Arial" w:hAnsi="Arial"/>
          <w:sz w:val="17"/>
          <w:szCs w:val="17"/>
          <w:color w:val="auto"/>
        </w:rPr>
      </w:pPr>
    </w:p>
    <w:p>
      <w:pPr>
        <w:ind w:firstLine="444"/>
        <w:spacing w:after="0" w:line="334" w:lineRule="auto"/>
        <w:tabs>
          <w:tab w:leader="none" w:pos="689" w:val="left"/>
        </w:tabs>
        <w:numPr>
          <w:ilvl w:val="1"/>
          <w:numId w:val="269"/>
        </w:numPr>
        <w:rPr>
          <w:rFonts w:ascii="Arial" w:cs="Arial" w:eastAsia="Arial" w:hAnsi="Arial"/>
          <w:sz w:val="14"/>
          <w:szCs w:val="14"/>
          <w:color w:val="auto"/>
        </w:rPr>
      </w:pPr>
      <w:r>
        <w:rPr>
          <w:rFonts w:ascii="Arial" w:cs="Arial" w:eastAsia="Arial" w:hAnsi="Arial"/>
          <w:sz w:val="14"/>
          <w:szCs w:val="14"/>
          <w:u w:val="single" w:color="auto"/>
          <w:color w:val="auto"/>
        </w:rPr>
        <w:t>Changes in Stock</w:t>
      </w:r>
      <w:r>
        <w:rPr>
          <w:rFonts w:ascii="Arial" w:cs="Arial" w:eastAsia="Arial" w:hAnsi="Arial"/>
          <w:sz w:val="14"/>
          <w:szCs w:val="14"/>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w:t>
      </w:r>
    </w:p>
    <w:p>
      <w:pPr>
        <w:spacing w:after="0" w:line="156" w:lineRule="exact"/>
        <w:rPr>
          <w:rFonts w:ascii="Arial" w:cs="Arial" w:eastAsia="Arial" w:hAnsi="Arial"/>
          <w:sz w:val="14"/>
          <w:szCs w:val="14"/>
          <w:color w:val="auto"/>
        </w:rPr>
      </w:pPr>
    </w:p>
    <w:p>
      <w:pPr>
        <w:ind w:left="300" w:hanging="293"/>
        <w:spacing w:after="0"/>
        <w:tabs>
          <w:tab w:leader="none" w:pos="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exercise price for each Share subject to any then outstanding Stock Options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391" w:name="page392"/>
    <w:bookmarkEnd w:id="39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86" w:lineRule="exact"/>
        <w:rPr>
          <w:sz w:val="20"/>
          <w:szCs w:val="20"/>
          <w:color w:val="auto"/>
        </w:rPr>
      </w:pPr>
    </w:p>
    <w:p>
      <w:pPr>
        <w:ind w:left="680" w:hanging="236"/>
        <w:spacing w:after="0"/>
        <w:tabs>
          <w:tab w:leader="none" w:pos="68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00" w:hanging="210"/>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firstLine="947"/>
        <w:spacing w:after="0" w:line="253" w:lineRule="auto"/>
        <w:tabs>
          <w:tab w:leader="none" w:pos="1675" w:val="left"/>
        </w:tabs>
        <w:numPr>
          <w:ilvl w:val="2"/>
          <w:numId w:val="271"/>
        </w:numPr>
        <w:rPr>
          <w:rFonts w:ascii="Arial" w:cs="Arial" w:eastAsia="Arial" w:hAnsi="Arial"/>
          <w:sz w:val="18"/>
          <w:szCs w:val="18"/>
          <w:color w:val="auto"/>
        </w:rPr>
      </w:pPr>
      <w:r>
        <w:rPr>
          <w:rFonts w:ascii="Arial" w:cs="Arial" w:eastAsia="Arial" w:hAnsi="Arial"/>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85" w:lineRule="exact"/>
        <w:rPr>
          <w:rFonts w:ascii="Arial" w:cs="Arial" w:eastAsia="Arial" w:hAnsi="Arial"/>
          <w:sz w:val="18"/>
          <w:szCs w:val="18"/>
          <w:color w:val="auto"/>
        </w:rPr>
      </w:pPr>
    </w:p>
    <w:p>
      <w:pPr>
        <w:ind w:left="440" w:right="20" w:firstLine="947"/>
        <w:spacing w:after="0" w:line="275" w:lineRule="auto"/>
        <w:tabs>
          <w:tab w:leader="none" w:pos="1665" w:val="left"/>
        </w:tabs>
        <w:numPr>
          <w:ilvl w:val="2"/>
          <w:numId w:val="271"/>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exercise of Options not exercisable prior to the Sale Event shall be subject to the consummation of the Sale Event.</w:t>
      </w:r>
    </w:p>
    <w:p>
      <w:pPr>
        <w:spacing w:after="0" w:line="66" w:lineRule="exact"/>
        <w:rPr>
          <w:rFonts w:ascii="Arial" w:cs="Arial" w:eastAsia="Arial" w:hAnsi="Arial"/>
          <w:sz w:val="17"/>
          <w:szCs w:val="17"/>
          <w:color w:val="auto"/>
        </w:rPr>
      </w:pPr>
    </w:p>
    <w:p>
      <w:pPr>
        <w:ind w:left="440" w:right="100" w:firstLine="947"/>
        <w:spacing w:after="0" w:line="290" w:lineRule="auto"/>
        <w:tabs>
          <w:tab w:leader="none" w:pos="1665" w:val="left"/>
        </w:tabs>
        <w:numPr>
          <w:ilvl w:val="2"/>
          <w:numId w:val="271"/>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56" w:lineRule="exact"/>
        <w:rPr>
          <w:rFonts w:ascii="Arial" w:cs="Arial" w:eastAsia="Arial" w:hAnsi="Arial"/>
          <w:sz w:val="16"/>
          <w:szCs w:val="16"/>
          <w:color w:val="auto"/>
        </w:rPr>
      </w:pPr>
    </w:p>
    <w:p>
      <w:pPr>
        <w:ind w:left="1260" w:hanging="270"/>
        <w:spacing w:after="0"/>
        <w:tabs>
          <w:tab w:leader="none" w:pos="1260"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20" w:firstLine="947"/>
        <w:spacing w:after="0" w:line="293" w:lineRule="auto"/>
        <w:tabs>
          <w:tab w:leader="none" w:pos="1675" w:val="left"/>
        </w:tabs>
        <w:numPr>
          <w:ilvl w:val="2"/>
          <w:numId w:val="271"/>
        </w:numPr>
        <w:rPr>
          <w:rFonts w:ascii="Arial" w:cs="Arial" w:eastAsia="Arial" w:hAnsi="Arial"/>
          <w:sz w:val="16"/>
          <w:szCs w:val="16"/>
          <w:color w:val="auto"/>
        </w:rPr>
      </w:pPr>
      <w:r>
        <w:rPr>
          <w:rFonts w:ascii="Arial" w:cs="Arial" w:eastAsia="Arial" w:hAnsi="Arial"/>
          <w:sz w:val="16"/>
          <w:szCs w:val="16"/>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392" w:name="page393"/>
    <w:bookmarkEnd w:id="392"/>
    <w:p>
      <w:pPr>
        <w:ind w:left="440" w:right="60" w:firstLine="947"/>
        <w:spacing w:after="0" w:line="259" w:lineRule="auto"/>
        <w:tabs>
          <w:tab w:leader="none" w:pos="16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78" w:lineRule="exact"/>
        <w:rPr>
          <w:rFonts w:ascii="Arial" w:cs="Arial" w:eastAsia="Arial" w:hAnsi="Arial"/>
          <w:sz w:val="18"/>
          <w:szCs w:val="18"/>
          <w:color w:val="auto"/>
        </w:rPr>
      </w:pPr>
    </w:p>
    <w:p>
      <w:pPr>
        <w:ind w:left="440" w:right="40" w:firstLine="947"/>
        <w:spacing w:after="0" w:line="255" w:lineRule="auto"/>
        <w:tabs>
          <w:tab w:leader="none" w:pos="16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4"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4" w:lineRule="exact"/>
        <w:rPr>
          <w:sz w:val="20"/>
          <w:szCs w:val="20"/>
          <w:color w:val="auto"/>
        </w:rPr>
      </w:pPr>
    </w:p>
    <w:p>
      <w:pPr>
        <w:ind w:right="400" w:firstLine="436"/>
        <w:spacing w:after="0" w:line="335" w:lineRule="auto"/>
        <w:rPr>
          <w:sz w:val="20"/>
          <w:szCs w:val="20"/>
          <w:color w:val="auto"/>
        </w:rPr>
      </w:pPr>
      <w:r>
        <w:rPr>
          <w:rFonts w:ascii="Arial" w:cs="Arial" w:eastAsia="Arial" w:hAnsi="Arial"/>
          <w:sz w:val="16"/>
          <w:szCs w:val="16"/>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28" w:lineRule="exact"/>
        <w:rPr>
          <w:sz w:val="20"/>
          <w:szCs w:val="20"/>
          <w:color w:val="auto"/>
        </w:rPr>
      </w:pPr>
    </w:p>
    <w:p>
      <w:pPr>
        <w:ind w:right="20" w:firstLine="436"/>
        <w:spacing w:after="0" w:line="281"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2" w:lineRule="exact"/>
        <w:rPr>
          <w:sz w:val="20"/>
          <w:szCs w:val="20"/>
          <w:color w:val="auto"/>
        </w:rPr>
      </w:pPr>
    </w:p>
    <w:p>
      <w:pPr>
        <w:ind w:firstLine="444"/>
        <w:spacing w:after="0" w:line="259" w:lineRule="auto"/>
        <w:tabs>
          <w:tab w:leader="none" w:pos="67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78" w:lineRule="exact"/>
        <w:rPr>
          <w:rFonts w:ascii="Arial" w:cs="Arial" w:eastAsia="Arial" w:hAnsi="Arial"/>
          <w:sz w:val="18"/>
          <w:szCs w:val="18"/>
          <w:color w:val="auto"/>
        </w:rPr>
      </w:pPr>
    </w:p>
    <w:p>
      <w:pPr>
        <w:ind w:right="40" w:firstLine="990"/>
        <w:spacing w:after="0" w:line="283" w:lineRule="auto"/>
        <w:tabs>
          <w:tab w:leader="none" w:pos="1195"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 Notwithstanding the foregoing, Stock Options may be granted with an exercise price per share that is less than</w:t>
      </w:r>
    </w:p>
    <w:p>
      <w:pPr>
        <w:ind w:right="240"/>
        <w:spacing w:after="0" w:line="252" w:lineRule="auto"/>
        <w:rPr>
          <w:rFonts w:ascii="Arial" w:cs="Arial" w:eastAsia="Arial" w:hAnsi="Arial"/>
          <w:sz w:val="16"/>
          <w:szCs w:val="16"/>
          <w:color w:val="auto"/>
        </w:rPr>
      </w:pPr>
      <w:r>
        <w:rPr>
          <w:rFonts w:ascii="Arial" w:cs="Arial" w:eastAsia="Arial" w:hAnsi="Arial"/>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393" w:name="page394"/>
    <w:bookmarkEnd w:id="393"/>
    <w:p>
      <w:pPr>
        <w:ind w:left="-20" w:right="140" w:firstLine="990"/>
        <w:spacing w:after="0" w:line="259" w:lineRule="auto"/>
        <w:tabs>
          <w:tab w:leader="none" w:pos="122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 Term</w:t>
      </w:r>
      <w:r>
        <w:rPr>
          <w:rFonts w:ascii="Arial" w:cs="Arial" w:eastAsia="Arial" w:hAnsi="Arial"/>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78" w:lineRule="exact"/>
        <w:rPr>
          <w:rFonts w:ascii="Arial" w:cs="Arial" w:eastAsia="Arial" w:hAnsi="Arial"/>
          <w:sz w:val="18"/>
          <w:szCs w:val="18"/>
          <w:color w:val="auto"/>
        </w:rPr>
      </w:pPr>
    </w:p>
    <w:p>
      <w:pPr>
        <w:ind w:left="-20" w:firstLine="990"/>
        <w:spacing w:after="0" w:line="287" w:lineRule="auto"/>
        <w:tabs>
          <w:tab w:leader="none" w:pos="127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Exercisability; Rights of a Stockholder</w:t>
      </w:r>
      <w:r>
        <w:rPr>
          <w:rFonts w:ascii="Arial" w:cs="Arial" w:eastAsia="Arial" w:hAnsi="Arial"/>
          <w:sz w:val="16"/>
          <w:szCs w:val="16"/>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58" w:lineRule="exact"/>
        <w:rPr>
          <w:rFonts w:ascii="Arial" w:cs="Arial" w:eastAsia="Arial" w:hAnsi="Arial"/>
          <w:sz w:val="16"/>
          <w:szCs w:val="16"/>
          <w:color w:val="auto"/>
        </w:rPr>
      </w:pPr>
    </w:p>
    <w:p>
      <w:pPr>
        <w:ind w:left="-20" w:right="100" w:firstLine="990"/>
        <w:spacing w:after="0" w:line="259" w:lineRule="auto"/>
        <w:tabs>
          <w:tab w:leader="none" w:pos="126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78" w:lineRule="exact"/>
        <w:rPr>
          <w:rFonts w:ascii="Arial" w:cs="Arial" w:eastAsia="Arial" w:hAnsi="Arial"/>
          <w:sz w:val="18"/>
          <w:szCs w:val="18"/>
          <w:color w:val="auto"/>
        </w:rPr>
      </w:pPr>
    </w:p>
    <w:p>
      <w:pPr>
        <w:ind w:left="1660" w:hanging="293"/>
        <w:spacing w:after="0"/>
        <w:tabs>
          <w:tab w:leader="none" w:pos="16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In cash, by certified or bank check, by wire transfer of immediately available funds, or other instrument acceptable to the</w:t>
      </w:r>
    </w:p>
    <w:p>
      <w:pPr>
        <w:spacing w:after="0" w:line="31"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101" w:lineRule="exact"/>
        <w:rPr>
          <w:rFonts w:ascii="Arial" w:cs="Arial" w:eastAsia="Arial" w:hAnsi="Arial"/>
          <w:sz w:val="17"/>
          <w:szCs w:val="17"/>
          <w:color w:val="auto"/>
        </w:rPr>
      </w:pPr>
    </w:p>
    <w:p>
      <w:pPr>
        <w:ind w:left="420" w:right="160" w:firstLine="947"/>
        <w:spacing w:after="0" w:line="307" w:lineRule="auto"/>
        <w:tabs>
          <w:tab w:leader="none" w:pos="164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that at least so much of the exercise price as represents the par value of the Stock shall be paid in cash if required by state law;</w:t>
      </w:r>
    </w:p>
    <w:p>
      <w:pPr>
        <w:spacing w:after="0" w:line="42" w:lineRule="exact"/>
        <w:rPr>
          <w:rFonts w:ascii="Arial" w:cs="Arial" w:eastAsia="Arial" w:hAnsi="Arial"/>
          <w:sz w:val="16"/>
          <w:szCs w:val="16"/>
          <w:color w:val="auto"/>
        </w:rPr>
      </w:pPr>
    </w:p>
    <w:p>
      <w:pPr>
        <w:ind w:left="420" w:right="120" w:firstLine="947"/>
        <w:spacing w:after="0" w:line="343" w:lineRule="auto"/>
        <w:tabs>
          <w:tab w:leader="none" w:pos="1645" w:val="left"/>
        </w:tabs>
        <w:numPr>
          <w:ilvl w:val="1"/>
          <w:numId w:val="274"/>
        </w:numPr>
        <w:rPr>
          <w:rFonts w:ascii="Arial" w:cs="Arial" w:eastAsia="Arial" w:hAnsi="Arial"/>
          <w:sz w:val="14"/>
          <w:szCs w:val="14"/>
          <w:color w:val="auto"/>
        </w:rPr>
      </w:pPr>
      <w:r>
        <w:rPr>
          <w:rFonts w:ascii="Arial" w:cs="Arial" w:eastAsia="Arial" w:hAnsi="Arial"/>
          <w:sz w:val="14"/>
          <w:szCs w:val="14"/>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500" w:top="272" w:right="499" w:bottom="1440" w:gutter="0" w:footer="0" w:header="0"/>
        </w:sectPr>
      </w:pPr>
    </w:p>
    <w:bookmarkStart w:id="394" w:name="page395"/>
    <w:bookmarkEnd w:id="394"/>
    <w:p>
      <w:pPr>
        <w:ind w:left="440" w:right="40" w:firstLine="947"/>
        <w:spacing w:after="0" w:line="293" w:lineRule="auto"/>
        <w:tabs>
          <w:tab w:leader="none" w:pos="1675"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53" w:lineRule="exact"/>
        <w:rPr>
          <w:rFonts w:ascii="Arial" w:cs="Arial" w:eastAsia="Arial" w:hAnsi="Arial"/>
          <w:sz w:val="16"/>
          <w:szCs w:val="16"/>
          <w:color w:val="auto"/>
        </w:rPr>
      </w:pPr>
    </w:p>
    <w:p>
      <w:pPr>
        <w:ind w:left="440" w:right="60" w:firstLine="947"/>
        <w:spacing w:after="0" w:line="259" w:lineRule="auto"/>
        <w:tabs>
          <w:tab w:leader="none" w:pos="165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6" w:lineRule="exact"/>
        <w:rPr>
          <w:sz w:val="20"/>
          <w:szCs w:val="20"/>
          <w:color w:val="auto"/>
        </w:rPr>
      </w:pPr>
    </w:p>
    <w:p>
      <w:pPr>
        <w:ind w:right="40" w:firstLine="436"/>
        <w:spacing w:after="0" w:line="281" w:lineRule="auto"/>
        <w:rPr>
          <w:sz w:val="20"/>
          <w:szCs w:val="20"/>
          <w:color w:val="auto"/>
        </w:rPr>
      </w:pPr>
      <w:r>
        <w:rPr>
          <w:rFonts w:ascii="Arial" w:cs="Arial" w:eastAsia="Arial" w:hAnsi="Arial"/>
          <w:sz w:val="16"/>
          <w:szCs w:val="16"/>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w:t>
      </w:r>
    </w:p>
    <w:p>
      <w:pPr>
        <w:spacing w:after="0" w:line="4" w:lineRule="exact"/>
        <w:rPr>
          <w:sz w:val="20"/>
          <w:szCs w:val="20"/>
          <w:color w:val="auto"/>
        </w:rPr>
      </w:pPr>
    </w:p>
    <w:p>
      <w:pPr>
        <w:ind w:firstLine="7"/>
        <w:spacing w:after="0" w:line="265" w:lineRule="auto"/>
        <w:tabs>
          <w:tab w:leader="none" w:pos="31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79" w:lineRule="exact"/>
        <w:rPr>
          <w:rFonts w:ascii="Arial" w:cs="Arial" w:eastAsia="Arial" w:hAnsi="Arial"/>
          <w:sz w:val="17"/>
          <w:szCs w:val="17"/>
          <w:color w:val="auto"/>
        </w:rPr>
      </w:pPr>
    </w:p>
    <w:p>
      <w:pPr>
        <w:ind w:right="140" w:firstLine="444"/>
        <w:spacing w:after="0" w:line="253" w:lineRule="auto"/>
        <w:tabs>
          <w:tab w:leader="none" w:pos="689"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395" w:name="page396"/>
    <w:bookmarkEnd w:id="395"/>
    <w:p>
      <w:pPr>
        <w:ind w:right="20" w:firstLine="444"/>
        <w:spacing w:after="0" w:line="267" w:lineRule="auto"/>
        <w:tabs>
          <w:tab w:leader="none" w:pos="679"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w:t>
      </w:r>
      <w:r>
        <w:rPr>
          <w:rFonts w:ascii="Arial" w:cs="Arial" w:eastAsia="Arial" w:hAnsi="Arial"/>
          <w:sz w:val="17"/>
          <w:szCs w:val="17"/>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90 days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RESTRICTED STOCK AWARDS</w:t>
      </w:r>
    </w:p>
    <w:p>
      <w:pPr>
        <w:spacing w:after="0" w:line="114" w:lineRule="exact"/>
        <w:rPr>
          <w:sz w:val="20"/>
          <w:szCs w:val="20"/>
          <w:color w:val="auto"/>
        </w:rPr>
      </w:pPr>
    </w:p>
    <w:p>
      <w:pPr>
        <w:ind w:left="680" w:hanging="236"/>
        <w:spacing w:after="0"/>
        <w:tabs>
          <w:tab w:leader="none" w:pos="68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Committee may, in its sole discretion, grant (or sell at par value or such other purchase price</w:t>
      </w:r>
    </w:p>
    <w:p>
      <w:pPr>
        <w:spacing w:after="0" w:line="31"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60" w:lineRule="exact"/>
        <w:rPr>
          <w:rFonts w:ascii="Arial" w:cs="Arial" w:eastAsia="Arial" w:hAnsi="Arial"/>
          <w:sz w:val="17"/>
          <w:szCs w:val="17"/>
          <w:color w:val="auto"/>
        </w:rPr>
      </w:pPr>
    </w:p>
    <w:p>
      <w:pPr>
        <w:ind w:right="60" w:firstLine="444"/>
        <w:spacing w:after="0" w:line="288" w:lineRule="auto"/>
        <w:tabs>
          <w:tab w:leader="none" w:pos="689"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480" w:top="272" w:right="559" w:bottom="1440" w:gutter="0" w:footer="0" w:header="0"/>
        </w:sectPr>
      </w:pPr>
    </w:p>
    <w:bookmarkStart w:id="396" w:name="page397"/>
    <w:bookmarkEnd w:id="396"/>
    <w:p>
      <w:pPr>
        <w:ind w:right="120" w:firstLine="444"/>
        <w:spacing w:after="0" w:line="272" w:lineRule="auto"/>
        <w:tabs>
          <w:tab w:leader="none" w:pos="67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Restrictions</w:t>
      </w:r>
      <w:r>
        <w:rPr>
          <w:rFonts w:ascii="Arial" w:cs="Arial" w:eastAsia="Arial" w:hAnsi="Arial"/>
          <w:sz w:val="17"/>
          <w:szCs w:val="17"/>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69" w:lineRule="exact"/>
        <w:rPr>
          <w:rFonts w:ascii="Arial" w:cs="Arial" w:eastAsia="Arial" w:hAnsi="Arial"/>
          <w:sz w:val="17"/>
          <w:szCs w:val="17"/>
          <w:color w:val="auto"/>
        </w:rPr>
      </w:pPr>
    </w:p>
    <w:p>
      <w:pPr>
        <w:jc w:val="both"/>
        <w:ind w:right="160" w:firstLine="444"/>
        <w:spacing w:after="0" w:line="307" w:lineRule="auto"/>
        <w:tabs>
          <w:tab w:leader="none" w:pos="68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UNRESTRICTED STOCK AWARDS</w:t>
      </w:r>
    </w:p>
    <w:p>
      <w:pPr>
        <w:spacing w:after="0" w:line="114" w:lineRule="exact"/>
        <w:rPr>
          <w:sz w:val="20"/>
          <w:szCs w:val="20"/>
          <w:color w:val="auto"/>
        </w:rPr>
      </w:pPr>
    </w:p>
    <w:p>
      <w:pPr>
        <w:jc w:val="both"/>
        <w:ind w:right="360" w:firstLine="436"/>
        <w:spacing w:after="0" w:line="259" w:lineRule="auto"/>
        <w:rPr>
          <w:sz w:val="20"/>
          <w:szCs w:val="20"/>
          <w:color w:val="auto"/>
        </w:rPr>
      </w:pPr>
      <w:r>
        <w:rPr>
          <w:rFonts w:ascii="Arial" w:cs="Arial" w:eastAsia="Arial" w:hAnsi="Arial"/>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4" w:lineRule="exact"/>
        <w:rPr>
          <w:sz w:val="20"/>
          <w:szCs w:val="20"/>
          <w:color w:val="auto"/>
        </w:rPr>
      </w:pPr>
    </w:p>
    <w:p>
      <w:pPr>
        <w:ind w:firstLine="444"/>
        <w:spacing w:after="0" w:line="250" w:lineRule="auto"/>
        <w:tabs>
          <w:tab w:leader="none" w:pos="67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Units</w:t>
      </w:r>
      <w:r>
        <w:rPr>
          <w:rFonts w:ascii="Arial" w:cs="Arial" w:eastAsia="Arial" w:hAnsi="Arial"/>
          <w:sz w:val="18"/>
          <w:szCs w:val="18"/>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92" w:lineRule="exact"/>
        <w:rPr>
          <w:rFonts w:ascii="Arial" w:cs="Arial" w:eastAsia="Arial" w:hAnsi="Arial"/>
          <w:sz w:val="18"/>
          <w:szCs w:val="18"/>
          <w:color w:val="auto"/>
        </w:rPr>
      </w:pPr>
    </w:p>
    <w:p>
      <w:pPr>
        <w:ind w:right="20" w:firstLine="444"/>
        <w:spacing w:after="0" w:line="253" w:lineRule="auto"/>
        <w:tabs>
          <w:tab w:leader="none" w:pos="68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85" w:lineRule="exact"/>
        <w:rPr>
          <w:rFonts w:ascii="Arial" w:cs="Arial" w:eastAsia="Arial" w:hAnsi="Arial"/>
          <w:sz w:val="18"/>
          <w:szCs w:val="18"/>
          <w:color w:val="auto"/>
        </w:rPr>
      </w:pPr>
    </w:p>
    <w:p>
      <w:pPr>
        <w:ind w:right="100" w:firstLine="444"/>
        <w:spacing w:after="0" w:line="259" w:lineRule="auto"/>
        <w:tabs>
          <w:tab w:leader="none" w:pos="67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TRANSFER RESTRICTIONS; COMPANY RIGHT OF FIRST REFUSAL; COMPANY REPURCHASE RIGHTS</w:t>
      </w:r>
    </w:p>
    <w:p>
      <w:pPr>
        <w:spacing w:after="0" w:line="114" w:lineRule="exact"/>
        <w:rPr>
          <w:sz w:val="20"/>
          <w:szCs w:val="20"/>
          <w:color w:val="auto"/>
        </w:rPr>
      </w:pPr>
    </w:p>
    <w:p>
      <w:pPr>
        <w:ind w:left="680" w:hanging="236"/>
        <w:spacing w:after="0"/>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right="260" w:firstLine="990"/>
        <w:spacing w:after="0" w:line="284" w:lineRule="auto"/>
        <w:tabs>
          <w:tab w:leader="none" w:pos="1195"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Non-Transferability of Stock Options</w:t>
      </w:r>
      <w:r>
        <w:rPr>
          <w:rFonts w:ascii="Arial" w:cs="Arial" w:eastAsia="Arial" w:hAnsi="Arial"/>
          <w:sz w:val="16"/>
          <w:szCs w:val="16"/>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w:t>
      </w:r>
    </w:p>
    <w:p>
      <w:pPr>
        <w:spacing w:after="0" w:line="1" w:lineRule="exact"/>
        <w:rPr>
          <w:rFonts w:ascii="Arial" w:cs="Arial" w:eastAsia="Arial" w:hAnsi="Arial"/>
          <w:sz w:val="16"/>
          <w:szCs w:val="16"/>
          <w:color w:val="auto"/>
        </w:rPr>
      </w:pPr>
    </w:p>
    <w:p>
      <w:pPr>
        <w:ind w:right="60"/>
        <w:spacing w:after="0" w:line="265" w:lineRule="auto"/>
        <w:rPr>
          <w:rFonts w:ascii="Arial" w:cs="Arial" w:eastAsia="Arial" w:hAnsi="Arial"/>
          <w:sz w:val="16"/>
          <w:szCs w:val="16"/>
          <w:color w:val="auto"/>
        </w:rPr>
      </w:pPr>
      <w:r>
        <w:rPr>
          <w:rFonts w:ascii="Arial" w:cs="Arial" w:eastAsia="Arial" w:hAnsi="Arial"/>
          <w:sz w:val="17"/>
          <w:szCs w:val="17"/>
          <w:color w:val="auto"/>
        </w:rPr>
        <w:t>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79" w:lineRule="exact"/>
        <w:rPr>
          <w:rFonts w:ascii="Arial" w:cs="Arial" w:eastAsia="Arial" w:hAnsi="Arial"/>
          <w:sz w:val="16"/>
          <w:szCs w:val="16"/>
          <w:color w:val="auto"/>
        </w:rPr>
      </w:pPr>
    </w:p>
    <w:p>
      <w:pPr>
        <w:ind w:firstLine="990"/>
        <w:spacing w:after="0" w:line="265" w:lineRule="auto"/>
        <w:tabs>
          <w:tab w:leader="none" w:pos="1244"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2" w:right="519" w:bottom="1440" w:gutter="0" w:footer="0" w:header="0"/>
        </w:sectPr>
      </w:pPr>
    </w:p>
    <w:bookmarkStart w:id="398" w:name="page399"/>
    <w:bookmarkEnd w:id="398"/>
    <w:p>
      <w:pPr>
        <w:ind w:left="400" w:right="80" w:firstLine="947"/>
        <w:spacing w:after="0" w:line="293" w:lineRule="auto"/>
        <w:tabs>
          <w:tab w:leader="none" w:pos="1635"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Transfers to Permitted Transferees</w:t>
      </w:r>
      <w:r>
        <w:rPr>
          <w:rFonts w:ascii="Arial" w:cs="Arial" w:eastAsia="Arial" w:hAnsi="Arial"/>
          <w:sz w:val="16"/>
          <w:szCs w:val="16"/>
          <w:color w:val="auto"/>
        </w:rPr>
        <w:t xml:space="preserve">. The Holder may transfer any or all of the Shares to one or more Permitted Transferees;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such transfer, such Shares shall continue to be subject to the terms of this Plan (including this Section 9) and</w:t>
      </w:r>
      <w:r>
        <w:rPr>
          <w:rFonts w:ascii="Arial" w:cs="Arial" w:eastAsia="Arial" w:hAnsi="Arial"/>
          <w:sz w:val="16"/>
          <w:szCs w:val="16"/>
          <w:i w:val="1"/>
          <w:iCs w:val="1"/>
          <w:color w:val="auto"/>
        </w:rPr>
        <w:t xml:space="preserve"> </w:t>
      </w:r>
      <w:r>
        <w:rPr>
          <w:rFonts w:ascii="Arial" w:cs="Arial" w:eastAsia="Arial" w:hAnsi="Arial"/>
          <w:sz w:val="16"/>
          <w:szCs w:val="16"/>
          <w:color w:val="auto"/>
        </w:rPr>
        <w:t>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53" w:lineRule="exact"/>
        <w:rPr>
          <w:rFonts w:ascii="Arial" w:cs="Arial" w:eastAsia="Arial" w:hAnsi="Arial"/>
          <w:sz w:val="16"/>
          <w:szCs w:val="16"/>
          <w:color w:val="auto"/>
        </w:rPr>
      </w:pPr>
    </w:p>
    <w:p>
      <w:pPr>
        <w:ind w:left="400" w:firstLine="947"/>
        <w:spacing w:after="0" w:line="255" w:lineRule="auto"/>
        <w:tabs>
          <w:tab w:leader="none" w:pos="1625"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r>
        <w:rPr>
          <w:rFonts w:ascii="Arial" w:cs="Arial" w:eastAsia="Arial" w:hAnsi="Arial"/>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83" w:lineRule="exact"/>
        <w:rPr>
          <w:rFonts w:ascii="Arial" w:cs="Arial" w:eastAsia="Arial" w:hAnsi="Arial"/>
          <w:sz w:val="18"/>
          <w:szCs w:val="18"/>
          <w:color w:val="auto"/>
        </w:rPr>
      </w:pPr>
    </w:p>
    <w:p>
      <w:pPr>
        <w:ind w:left="-40" w:right="20" w:firstLine="444"/>
        <w:spacing w:after="0" w:line="282" w:lineRule="auto"/>
        <w:tabs>
          <w:tab w:leader="none" w:pos="649"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520" w:top="272" w:right="519" w:bottom="1440" w:gutter="0" w:footer="0" w:header="0"/>
        </w:sectPr>
      </w:pPr>
    </w:p>
    <w:bookmarkStart w:id="399" w:name="page400"/>
    <w:bookmarkEnd w:id="399"/>
    <w:p>
      <w:pPr>
        <w:ind w:left="660" w:hanging="236"/>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Company’s Right of Repurchase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firstLine="990"/>
        <w:spacing w:after="0" w:line="270" w:lineRule="auto"/>
        <w:tabs>
          <w:tab w:leader="none" w:pos="1175"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Right of Repurchase for Unvested Shares Issued Upon the Exercise of an Option</w:t>
      </w:r>
      <w:r>
        <w:rPr>
          <w:rFonts w:ascii="Arial" w:cs="Arial" w:eastAsia="Arial" w:hAnsi="Arial"/>
          <w:sz w:val="17"/>
          <w:szCs w:val="17"/>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71" w:lineRule="exact"/>
        <w:rPr>
          <w:rFonts w:ascii="Arial" w:cs="Arial" w:eastAsia="Arial" w:hAnsi="Arial"/>
          <w:sz w:val="17"/>
          <w:szCs w:val="17"/>
          <w:color w:val="auto"/>
        </w:rPr>
      </w:pPr>
    </w:p>
    <w:p>
      <w:pPr>
        <w:ind w:left="-20" w:right="80" w:firstLine="990"/>
        <w:spacing w:after="0" w:line="293" w:lineRule="auto"/>
        <w:tabs>
          <w:tab w:leader="none" w:pos="1224"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53" w:lineRule="exact"/>
        <w:rPr>
          <w:rFonts w:ascii="Arial" w:cs="Arial" w:eastAsia="Arial" w:hAnsi="Arial"/>
          <w:sz w:val="16"/>
          <w:szCs w:val="16"/>
          <w:color w:val="auto"/>
        </w:rPr>
      </w:pPr>
    </w:p>
    <w:p>
      <w:pPr>
        <w:ind w:left="-20" w:right="40" w:firstLine="990"/>
        <w:spacing w:after="0" w:line="251" w:lineRule="auto"/>
        <w:tabs>
          <w:tab w:leader="none" w:pos="1274"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may pay the repurchase price by offsetting and canceling any indebtedness then owed by the Holder to the Company.</w:t>
      </w:r>
    </w:p>
    <w:p>
      <w:pPr>
        <w:spacing w:after="0" w:line="89" w:lineRule="exact"/>
        <w:rPr>
          <w:rFonts w:ascii="Arial" w:cs="Arial" w:eastAsia="Arial" w:hAnsi="Arial"/>
          <w:sz w:val="18"/>
          <w:szCs w:val="18"/>
          <w:color w:val="auto"/>
        </w:rPr>
      </w:pPr>
    </w:p>
    <w:p>
      <w:pPr>
        <w:ind w:left="680" w:hanging="256"/>
        <w:spacing w:after="0"/>
        <w:tabs>
          <w:tab w:leader="none" w:pos="6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60" w:hanging="236"/>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right="220" w:firstLine="990"/>
        <w:spacing w:after="0" w:line="288" w:lineRule="auto"/>
        <w:tabs>
          <w:tab w:leader="none" w:pos="1175"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500" w:top="272" w:right="519" w:bottom="1440" w:gutter="0" w:footer="0" w:header="0"/>
        </w:sectPr>
      </w:pPr>
    </w:p>
    <w:bookmarkStart w:id="400" w:name="page401"/>
    <w:bookmarkEnd w:id="400"/>
    <w:p>
      <w:pPr>
        <w:ind w:firstLine="990"/>
        <w:spacing w:after="0" w:line="266" w:lineRule="auto"/>
        <w:tabs>
          <w:tab w:leader="none" w:pos="1244" w:val="left"/>
        </w:tabs>
        <w:numPr>
          <w:ilvl w:val="1"/>
          <w:numId w:val="28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Remedy</w:t>
      </w:r>
      <w:r>
        <w:rPr>
          <w:rFonts w:ascii="Arial" w:cs="Arial" w:eastAsia="Arial" w:hAnsi="Arial"/>
          <w:sz w:val="17"/>
          <w:szCs w:val="17"/>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77" w:lineRule="exact"/>
        <w:rPr>
          <w:rFonts w:ascii="Arial" w:cs="Arial" w:eastAsia="Arial" w:hAnsi="Arial"/>
          <w:sz w:val="17"/>
          <w:szCs w:val="17"/>
          <w:color w:val="auto"/>
        </w:rPr>
      </w:pPr>
    </w:p>
    <w:p>
      <w:pPr>
        <w:jc w:val="both"/>
        <w:ind w:right="200" w:firstLine="444"/>
        <w:spacing w:after="0" w:line="275" w:lineRule="auto"/>
        <w:tabs>
          <w:tab w:leader="none" w:pos="659"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Lockup Provision</w:t>
      </w:r>
      <w:r>
        <w:rPr>
          <w:rFonts w:ascii="Arial" w:cs="Arial" w:eastAsia="Arial" w:hAnsi="Arial"/>
          <w:sz w:val="17"/>
          <w:szCs w:val="17"/>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66" w:lineRule="exact"/>
        <w:rPr>
          <w:rFonts w:ascii="Arial" w:cs="Arial" w:eastAsia="Arial" w:hAnsi="Arial"/>
          <w:sz w:val="17"/>
          <w:szCs w:val="17"/>
          <w:color w:val="auto"/>
        </w:rPr>
      </w:pPr>
    </w:p>
    <w:p>
      <w:pPr>
        <w:ind w:right="40" w:firstLine="444"/>
        <w:spacing w:after="0" w:line="275" w:lineRule="auto"/>
        <w:tabs>
          <w:tab w:leader="none" w:pos="689"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 Structure</w:t>
      </w:r>
      <w:r>
        <w:rPr>
          <w:rFonts w:ascii="Arial" w:cs="Arial" w:eastAsia="Arial" w:hAnsi="Arial"/>
          <w:sz w:val="17"/>
          <w:szCs w:val="17"/>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66" w:lineRule="exact"/>
        <w:rPr>
          <w:rFonts w:ascii="Arial" w:cs="Arial" w:eastAsia="Arial" w:hAnsi="Arial"/>
          <w:sz w:val="17"/>
          <w:szCs w:val="17"/>
          <w:color w:val="auto"/>
        </w:rPr>
      </w:pPr>
    </w:p>
    <w:p>
      <w:pPr>
        <w:ind w:right="120" w:firstLine="444"/>
        <w:spacing w:after="0" w:line="255" w:lineRule="auto"/>
        <w:tabs>
          <w:tab w:leader="none" w:pos="689"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TAX WITHHOLDING</w:t>
      </w:r>
    </w:p>
    <w:p>
      <w:pPr>
        <w:spacing w:after="0" w:line="114" w:lineRule="exact"/>
        <w:rPr>
          <w:sz w:val="20"/>
          <w:szCs w:val="20"/>
          <w:color w:val="auto"/>
        </w:rPr>
      </w:pPr>
    </w:p>
    <w:p>
      <w:pPr>
        <w:ind w:right="80" w:firstLine="444"/>
        <w:spacing w:after="0" w:line="270" w:lineRule="auto"/>
        <w:tabs>
          <w:tab w:leader="none" w:pos="679"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2" w:right="499" w:bottom="1440" w:gutter="0" w:footer="0" w:header="0"/>
        </w:sectPr>
      </w:pPr>
    </w:p>
    <w:bookmarkStart w:id="401" w:name="page402"/>
    <w:bookmarkEnd w:id="401"/>
    <w:p>
      <w:pPr>
        <w:ind w:right="60" w:firstLine="444"/>
        <w:spacing w:after="0" w:line="297" w:lineRule="auto"/>
        <w:tabs>
          <w:tab w:leader="none" w:pos="689"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Payment in Stock</w:t>
      </w:r>
      <w:r>
        <w:rPr>
          <w:rFonts w:ascii="Arial" w:cs="Arial" w:eastAsia="Arial" w:hAnsi="Arial"/>
          <w:sz w:val="16"/>
          <w:szCs w:val="16"/>
          <w:color w:val="auto"/>
        </w:rPr>
        <w:t>. The Company’s required tax withholding obligation may be satisfied, in whole or in part, by the Company (i) withholding from Shares to be issued pursuant to an Award a number of Shares having an aggregate Fair Market Value (as of the date the withholding is effected) that would satisfy the withholding amount due or (ii) causing its transfer agent to sell a number of Shares with an aggregate Fair Market Value (as of the date the withholding is effected) that would satisfy the withholding amount due and remitting the proceeds from such sale to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SECTION 409A AWARDS.</w:t>
      </w:r>
    </w:p>
    <w:p>
      <w:pPr>
        <w:spacing w:after="0" w:line="11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AMENDMENTS AND TERMINATION</w:t>
      </w:r>
    </w:p>
    <w:p>
      <w:pPr>
        <w:spacing w:after="0" w:line="114" w:lineRule="exact"/>
        <w:rPr>
          <w:sz w:val="20"/>
          <w:szCs w:val="20"/>
          <w:color w:val="auto"/>
        </w:rPr>
      </w:pPr>
    </w:p>
    <w:p>
      <w:pPr>
        <w:ind w:right="80" w:firstLine="436"/>
        <w:spacing w:after="0" w:line="281" w:lineRule="auto"/>
        <w:rPr>
          <w:sz w:val="20"/>
          <w:szCs w:val="20"/>
          <w:color w:val="auto"/>
        </w:rPr>
      </w:pPr>
      <w:r>
        <w:rPr>
          <w:rFonts w:ascii="Arial" w:cs="Arial" w:eastAsia="Arial" w:hAnsi="Arial"/>
          <w:sz w:val="16"/>
          <w:szCs w:val="16"/>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w:t>
      </w:r>
    </w:p>
    <w:p>
      <w:pPr>
        <w:spacing w:after="0" w:line="3"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2" w:right="49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STATUS OF PLAN</w:t>
      </w:r>
    </w:p>
    <w:p>
      <w:pPr>
        <w:spacing w:after="0" w:line="114"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GENERAL PROVISIONS</w:t>
      </w:r>
    </w:p>
    <w:p>
      <w:pPr>
        <w:spacing w:after="0" w:line="114" w:lineRule="exact"/>
        <w:rPr>
          <w:sz w:val="20"/>
          <w:szCs w:val="20"/>
          <w:color w:val="auto"/>
        </w:rPr>
      </w:pPr>
    </w:p>
    <w:p>
      <w:pPr>
        <w:ind w:right="200" w:firstLine="444"/>
        <w:spacing w:after="0" w:line="297" w:lineRule="auto"/>
        <w:tabs>
          <w:tab w:leader="none" w:pos="67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52" w:lineRule="exact"/>
        <w:rPr>
          <w:rFonts w:ascii="Arial" w:cs="Arial" w:eastAsia="Arial" w:hAnsi="Arial"/>
          <w:sz w:val="16"/>
          <w:szCs w:val="16"/>
          <w:color w:val="auto"/>
        </w:rPr>
      </w:pPr>
    </w:p>
    <w:p>
      <w:pPr>
        <w:ind w:firstLine="444"/>
        <w:spacing w:after="0" w:line="251" w:lineRule="auto"/>
        <w:tabs>
          <w:tab w:leader="none" w:pos="689"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85" w:lineRule="exact"/>
        <w:rPr>
          <w:rFonts w:ascii="Arial" w:cs="Arial" w:eastAsia="Arial" w:hAnsi="Arial"/>
          <w:sz w:val="18"/>
          <w:szCs w:val="18"/>
          <w:color w:val="auto"/>
        </w:rPr>
      </w:pPr>
    </w:p>
    <w:p>
      <w:pPr>
        <w:ind w:right="120" w:firstLine="444"/>
        <w:spacing w:after="0" w:line="275" w:lineRule="auto"/>
        <w:tabs>
          <w:tab w:leader="none" w:pos="679"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adoption of the Plan and the grant of Awards do not confer upon any Person any right to continued employment or Service Relationship with the Company or any Subsidiary.</w:t>
      </w:r>
    </w:p>
    <w:p>
      <w:pPr>
        <w:spacing w:after="0" w:line="64" w:lineRule="exact"/>
        <w:rPr>
          <w:rFonts w:ascii="Arial" w:cs="Arial" w:eastAsia="Arial" w:hAnsi="Arial"/>
          <w:sz w:val="18"/>
          <w:szCs w:val="18"/>
          <w:color w:val="auto"/>
        </w:rPr>
      </w:pPr>
    </w:p>
    <w:p>
      <w:pPr>
        <w:ind w:right="20" w:firstLine="444"/>
        <w:spacing w:after="0" w:line="335" w:lineRule="auto"/>
        <w:tabs>
          <w:tab w:leader="none" w:pos="68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21" w:lineRule="exact"/>
        <w:rPr>
          <w:rFonts w:ascii="Arial" w:cs="Arial" w:eastAsia="Arial" w:hAnsi="Arial"/>
          <w:sz w:val="16"/>
          <w:szCs w:val="16"/>
          <w:color w:val="auto"/>
        </w:rPr>
      </w:pPr>
    </w:p>
    <w:p>
      <w:pPr>
        <w:ind w:right="100" w:firstLine="444"/>
        <w:spacing w:after="0" w:line="351" w:lineRule="auto"/>
        <w:tabs>
          <w:tab w:leader="none" w:pos="679"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Designation of Beneficiary</w:t>
      </w:r>
      <w:r>
        <w:rPr>
          <w:rFonts w:ascii="Arial" w:cs="Arial" w:eastAsia="Arial" w:hAnsi="Arial"/>
          <w:sz w:val="14"/>
          <w:szCs w:val="14"/>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480" w:top="272" w:right="539" w:bottom="1440" w:gutter="0" w:footer="0" w:header="0"/>
        </w:sectPr>
      </w:pPr>
    </w:p>
    <w:bookmarkStart w:id="403" w:name="page404"/>
    <w:bookmarkEnd w:id="403"/>
    <w:p>
      <w:pPr>
        <w:ind w:right="160" w:firstLine="444"/>
        <w:spacing w:after="0" w:line="271" w:lineRule="auto"/>
        <w:tabs>
          <w:tab w:leader="none" w:pos="659"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68" w:lineRule="exact"/>
        <w:rPr>
          <w:sz w:val="20"/>
          <w:szCs w:val="20"/>
          <w:color w:val="auto"/>
        </w:rPr>
      </w:pPr>
    </w:p>
    <w:p>
      <w:pPr>
        <w:ind w:left="980" w:right="1020"/>
        <w:spacing w:after="0" w:line="275" w:lineRule="auto"/>
        <w:rPr>
          <w:sz w:val="20"/>
          <w:szCs w:val="20"/>
          <w:color w:val="auto"/>
        </w:rPr>
      </w:pPr>
      <w:r>
        <w:rPr>
          <w:rFonts w:ascii="Arial" w:cs="Arial" w:eastAsia="Arial" w:hAnsi="Arial"/>
          <w:sz w:val="17"/>
          <w:szCs w:val="17"/>
          <w:color w:val="auto"/>
        </w:rPr>
        <w:t>The transferability of this certificate and the shares of stock represented hereby are subject to the restrictions, terms and conditions (including repurchase and restrictions against transfers) contained in the Monte Rosa Therapeutics, Inc. 2020 Stock Option and Grant Plan and any agreements entered into thereunder by and between the company and the holder of this certificate (a copy of which is available at the offices of the company for examination).</w:t>
      </w:r>
    </w:p>
    <w:p>
      <w:pPr>
        <w:spacing w:after="0" w:line="67" w:lineRule="exact"/>
        <w:rPr>
          <w:sz w:val="20"/>
          <w:szCs w:val="20"/>
          <w:color w:val="auto"/>
        </w:rPr>
      </w:pPr>
    </w:p>
    <w:p>
      <w:pPr>
        <w:ind w:right="20" w:firstLine="444"/>
        <w:spacing w:after="0" w:line="253" w:lineRule="auto"/>
        <w:tabs>
          <w:tab w:leader="none" w:pos="689"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Information to Holders of Options</w:t>
      </w:r>
      <w:r>
        <w:rPr>
          <w:rFonts w:ascii="Arial" w:cs="Arial" w:eastAsia="Arial" w:hAnsi="Arial"/>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EFFECTIVE DATE OF PLAN</w:t>
      </w:r>
    </w:p>
    <w:p>
      <w:pPr>
        <w:spacing w:after="0" w:line="114"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p>
    <w:p>
      <w:pPr>
        <w:spacing w:after="0" w:line="114"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State of Delaware, without regard to conflict of law principles that would result in the application of any law other than the law of the State of Delaware.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INCENTIVE STOCK OPTION GRANT NOTICE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Pursuant to the Monte Rosa Therapeutics, Inc. 2020 Stock Option and Grant Plan (the “Plan”), Monte Rosa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ectPr>
          <w:pgSz w:w="11900" w:h="16838" w:orient="portrait"/>
          <w:cols w:equalWidth="0" w:num="1">
            <w:col w:w="10900"/>
          </w:cols>
          <w:pgMar w:left="480" w:top="268" w:right="5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(the “Optionee”)</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 of Shares: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 Shares of Common Stock</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22"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(the “Vesting Commencement Date”)</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(the “Expiration Date”)</w:t>
      </w:r>
      <w:r>
        <w:rPr>
          <w:rFonts w:ascii="Arial" w:cs="Arial" w:eastAsia="Arial" w:hAnsi="Arial"/>
          <w:sz w:val="13"/>
          <w:szCs w:val="13"/>
          <w:color w:val="auto"/>
        </w:rPr>
        <w:t>1</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 Price/Share: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(the “Option Exercise Price”)</w:t>
      </w:r>
      <w:r>
        <w:rPr>
          <w:rFonts w:ascii="Arial" w:cs="Arial" w:eastAsia="Arial" w:hAnsi="Arial"/>
          <w:sz w:val="13"/>
          <w:szCs w:val="13"/>
          <w:color w:val="auto"/>
        </w:rPr>
        <w:t>2</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1172210</wp:posOffset>
            </wp:positionV>
            <wp:extent cx="76454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25 percent of the Shares shall vest and become exercisable on 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w:t>
      </w:r>
    </w:p>
    <w:p>
      <w:pPr>
        <w:spacing w:after="0" w:line="200" w:lineRule="exact"/>
        <w:rPr>
          <w:sz w:val="20"/>
          <w:szCs w:val="20"/>
          <w:color w:val="auto"/>
        </w:rPr>
      </w:pPr>
    </w:p>
    <w:p>
      <w:pPr>
        <w:sectPr>
          <w:pgSz w:w="11900" w:h="16838" w:orient="portrait"/>
          <w:cols w:equalWidth="0" w:num="2">
            <w:col w:w="2460" w:space="720"/>
            <w:col w:w="7720"/>
          </w:cols>
          <w:pgMar w:left="480" w:top="268" w:right="519" w:bottom="1440" w:gutter="0" w:footer="0" w:header="0"/>
          <w:type w:val="continuous"/>
        </w:sectPr>
      </w:pPr>
    </w:p>
    <w:p>
      <w:pPr>
        <w:spacing w:after="0" w:line="313" w:lineRule="exact"/>
        <w:rPr>
          <w:sz w:val="20"/>
          <w:szCs w:val="20"/>
          <w:color w:val="auto"/>
        </w:rPr>
      </w:pPr>
    </w:p>
    <w:p>
      <w:pPr>
        <w:ind w:left="440" w:right="540" w:hanging="433"/>
        <w:spacing w:after="0" w:line="255" w:lineRule="auto"/>
        <w:tabs>
          <w:tab w:leader="none" w:pos="440" w:val="left"/>
        </w:tabs>
        <w:numPr>
          <w:ilvl w:val="0"/>
          <w:numId w:val="292"/>
        </w:numPr>
        <w:rPr>
          <w:rFonts w:ascii="Arial" w:cs="Arial" w:eastAsia="Arial" w:hAnsi="Arial"/>
          <w:sz w:val="15"/>
          <w:szCs w:val="15"/>
          <w:color w:val="auto"/>
        </w:rPr>
      </w:pPr>
      <w:r>
        <w:rPr>
          <w:rFonts w:ascii="Arial" w:cs="Arial" w:eastAsia="Arial" w:hAnsi="Arial"/>
          <w:sz w:val="18"/>
          <w:szCs w:val="18"/>
          <w:color w:val="auto"/>
        </w:rPr>
        <w:t>The maximum term for an incentive stock option is 10 years (five years for 10 percent owner), with earlier termination upon termination of employment or sale of the company. An earlier termination date is permissible.</w:t>
      </w:r>
    </w:p>
    <w:p>
      <w:pPr>
        <w:spacing w:after="0" w:line="1" w:lineRule="exact"/>
        <w:rPr>
          <w:sz w:val="20"/>
          <w:szCs w:val="20"/>
          <w:color w:val="auto"/>
        </w:rPr>
      </w:pPr>
    </w:p>
    <w:p>
      <w:pPr>
        <w:ind w:left="440" w:right="140" w:hanging="433"/>
        <w:spacing w:after="0" w:line="256" w:lineRule="auto"/>
        <w:tabs>
          <w:tab w:leader="none" w:pos="440" w:val="left"/>
        </w:tabs>
        <w:numPr>
          <w:ilvl w:val="0"/>
          <w:numId w:val="293"/>
        </w:numPr>
        <w:rPr>
          <w:rFonts w:ascii="Arial" w:cs="Arial" w:eastAsia="Arial" w:hAnsi="Arial"/>
          <w:sz w:val="15"/>
          <w:szCs w:val="15"/>
          <w:color w:val="auto"/>
        </w:rPr>
      </w:pPr>
      <w:r>
        <w:rPr>
          <w:rFonts w:ascii="Arial" w:cs="Arial" w:eastAsia="Arial" w:hAnsi="Arial"/>
          <w:sz w:val="18"/>
          <w:szCs w:val="18"/>
          <w:color w:val="auto"/>
        </w:rPr>
        <w:t>The exercise price may be no less than the fair market value of the Common Stock on the date of grant. ISO rules require the exercise price to be no less than 110% of fair market value if the optionee is a 10% owner.</w:t>
      </w:r>
    </w:p>
    <w:p>
      <w:pPr>
        <w:sectPr>
          <w:pgSz w:w="11900" w:h="16838" w:orient="portrait"/>
          <w:cols w:equalWidth="0" w:num="1">
            <w:col w:w="10900"/>
          </w:cols>
          <w:pgMar w:left="480" w:top="268" w:right="519" w:bottom="1440" w:gutter="0" w:footer="0" w:header="0"/>
          <w:type w:val="continuous"/>
        </w:sectPr>
      </w:pPr>
    </w:p>
    <w:bookmarkStart w:id="405" w:name="page406"/>
    <w:bookmarkEnd w:id="405"/>
    <w:p>
      <w:pPr>
        <w:ind w:left="5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3(c) of the Plan</w:t>
      </w:r>
      <w:r>
        <w:rPr>
          <w:rFonts w:ascii="Arial" w:cs="Arial" w:eastAsia="Arial" w:hAnsi="Arial"/>
          <w:sz w:val="16"/>
          <w:szCs w:val="16"/>
          <w:b w:val="1"/>
          <w:bCs w:val="1"/>
          <w:color w:val="auto"/>
        </w:rPr>
        <w:t>[ provided; however INSERT ANY</w:t>
      </w:r>
    </w:p>
    <w:p>
      <w:pPr>
        <w:spacing w:after="0" w:line="4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ACCELERATED VESTING PROVISION HERE]</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Incentive Stock Option Agreement, 2020 Stock Option and Grant Plan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480" w:top="268" w:right="1159"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INCENTIVE STOCK OPTION AGREEMENT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125" w:lineRule="exact"/>
        <w:rPr>
          <w:sz w:val="20"/>
          <w:szCs w:val="20"/>
          <w:color w:val="auto"/>
        </w:rPr>
      </w:pPr>
    </w:p>
    <w:p>
      <w:pPr>
        <w:ind w:left="620" w:hanging="176"/>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113" w:lineRule="exact"/>
        <w:rPr>
          <w:rFonts w:ascii="Arial" w:cs="Arial" w:eastAsia="Arial" w:hAnsi="Arial"/>
          <w:sz w:val="18"/>
          <w:szCs w:val="18"/>
          <w:color w:val="auto"/>
        </w:rPr>
      </w:pPr>
    </w:p>
    <w:p>
      <w:pPr>
        <w:ind w:right="300" w:firstLine="990"/>
        <w:spacing w:after="0" w:line="271" w:lineRule="auto"/>
        <w:tabs>
          <w:tab w:leader="none" w:pos="123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7" w:lineRule="exact"/>
        <w:rPr>
          <w:rFonts w:ascii="Arial" w:cs="Arial" w:eastAsia="Arial" w:hAnsi="Arial"/>
          <w:sz w:val="18"/>
          <w:szCs w:val="18"/>
          <w:color w:val="auto"/>
        </w:rPr>
      </w:pPr>
    </w:p>
    <w:p>
      <w:pPr>
        <w:ind w:left="1600" w:hanging="213"/>
        <w:spacing w:after="0"/>
        <w:tabs>
          <w:tab w:leader="none" w:pos="160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3" w:lineRule="exact"/>
        <w:rPr>
          <w:rFonts w:ascii="Arial" w:cs="Arial" w:eastAsia="Arial" w:hAnsi="Arial"/>
          <w:sz w:val="18"/>
          <w:szCs w:val="18"/>
          <w:color w:val="auto"/>
        </w:rPr>
      </w:pPr>
    </w:p>
    <w:p>
      <w:pPr>
        <w:ind w:left="1640" w:hanging="253"/>
        <w:spacing w:after="0"/>
        <w:tabs>
          <w:tab w:leader="none" w:pos="1640" w:val="left"/>
        </w:tabs>
        <w:numPr>
          <w:ilvl w:val="2"/>
          <w:numId w:val="294"/>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 Grant Notice.</w:t>
      </w:r>
    </w:p>
    <w:p>
      <w:pPr>
        <w:spacing w:after="0" w:line="243" w:lineRule="exact"/>
        <w:rPr>
          <w:rFonts w:ascii="Arial" w:cs="Arial" w:eastAsia="Arial" w:hAnsi="Arial"/>
          <w:sz w:val="16"/>
          <w:szCs w:val="16"/>
          <w:color w:val="auto"/>
        </w:rPr>
      </w:pPr>
    </w:p>
    <w:p>
      <w:pPr>
        <w:ind w:right="140" w:firstLine="990"/>
        <w:spacing w:after="0" w:line="259" w:lineRule="auto"/>
        <w:tabs>
          <w:tab w:leader="none" w:pos="1224"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8" w:lineRule="exact"/>
        <w:rPr>
          <w:rFonts w:ascii="Arial" w:cs="Arial" w:eastAsia="Arial" w:hAnsi="Arial"/>
          <w:sz w:val="18"/>
          <w:szCs w:val="18"/>
          <w:color w:val="auto"/>
        </w:rPr>
      </w:pPr>
    </w:p>
    <w:p>
      <w:pPr>
        <w:ind w:left="440" w:right="160" w:firstLine="947"/>
        <w:spacing w:after="0" w:line="307" w:lineRule="auto"/>
        <w:tabs>
          <w:tab w:leader="none" w:pos="1596" w:val="left"/>
        </w:tabs>
        <w:numPr>
          <w:ilvl w:val="2"/>
          <w:numId w:val="294"/>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42" w:lineRule="exact"/>
        <w:rPr>
          <w:rFonts w:ascii="Arial" w:cs="Arial" w:eastAsia="Arial" w:hAnsi="Arial"/>
          <w:sz w:val="16"/>
          <w:szCs w:val="16"/>
          <w:color w:val="auto"/>
        </w:rPr>
      </w:pPr>
    </w:p>
    <w:p>
      <w:pPr>
        <w:ind w:left="440" w:right="160" w:firstLine="947"/>
        <w:spacing w:after="0" w:line="287" w:lineRule="auto"/>
        <w:tabs>
          <w:tab w:leader="none" w:pos="1645" w:val="left"/>
        </w:tabs>
        <w:numPr>
          <w:ilvl w:val="2"/>
          <w:numId w:val="294"/>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Service Relationship terminates for any reason other than death or Disability, and unless otherwise determined by the Committee, this Stock Option may be exercised, to the extent exercisable on the date of termination, for a period of</w:t>
      </w:r>
    </w:p>
    <w:p>
      <w:pPr>
        <w:ind w:left="440" w:firstLine="4"/>
        <w:spacing w:after="0" w:line="256" w:lineRule="auto"/>
        <w:tabs>
          <w:tab w:leader="none" w:pos="66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8"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68" w:right="519" w:bottom="1440" w:gutter="0" w:footer="0" w:header="0"/>
        </w:sectPr>
      </w:pPr>
    </w:p>
    <w:bookmarkStart w:id="407" w:name="page408"/>
    <w:bookmarkEnd w:id="407"/>
    <w:p>
      <w:pPr>
        <w:ind w:firstLine="990"/>
        <w:spacing w:after="0" w:line="285" w:lineRule="auto"/>
        <w:tabs>
          <w:tab w:leader="none" w:pos="1235"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61" w:lineRule="exact"/>
        <w:rPr>
          <w:rFonts w:ascii="Arial" w:cs="Arial" w:eastAsia="Arial" w:hAnsi="Arial"/>
          <w:sz w:val="16"/>
          <w:szCs w:val="16"/>
          <w:color w:val="auto"/>
        </w:rPr>
      </w:pPr>
    </w:p>
    <w:p>
      <w:pPr>
        <w:ind w:left="620" w:hanging="176"/>
        <w:spacing w:after="0"/>
        <w:tabs>
          <w:tab w:leader="none" w:pos="62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72" w:lineRule="auto"/>
        <w:tabs>
          <w:tab w:leader="none" w:pos="1225"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9" w:lineRule="exact"/>
        <w:rPr>
          <w:rFonts w:ascii="Arial" w:cs="Arial" w:eastAsia="Arial" w:hAnsi="Arial"/>
          <w:sz w:val="17"/>
          <w:szCs w:val="17"/>
          <w:color w:val="auto"/>
        </w:rPr>
      </w:pPr>
    </w:p>
    <w:p>
      <w:pPr>
        <w:ind w:left="1240" w:hanging="250"/>
        <w:spacing w:after="0"/>
        <w:tabs>
          <w:tab w:leader="none" w:pos="12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1" w:lineRule="exact"/>
        <w:rPr>
          <w:rFonts w:ascii="Arial" w:cs="Arial" w:eastAsia="Arial" w:hAnsi="Arial"/>
          <w:sz w:val="17"/>
          <w:szCs w:val="17"/>
          <w:color w:val="auto"/>
        </w:rPr>
      </w:pPr>
    </w:p>
    <w:p>
      <w:pPr>
        <w:ind w:right="140" w:firstLine="444"/>
        <w:spacing w:after="0" w:line="271" w:lineRule="auto"/>
        <w:tabs>
          <w:tab w:leader="none" w:pos="61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7" w:lineRule="exact"/>
        <w:rPr>
          <w:rFonts w:ascii="Arial" w:cs="Arial" w:eastAsia="Arial" w:hAnsi="Arial"/>
          <w:sz w:val="18"/>
          <w:szCs w:val="18"/>
          <w:color w:val="auto"/>
        </w:rPr>
      </w:pPr>
    </w:p>
    <w:p>
      <w:pPr>
        <w:ind w:right="40" w:firstLine="444"/>
        <w:spacing w:after="0" w:line="288" w:lineRule="auto"/>
        <w:tabs>
          <w:tab w:leader="none" w:pos="615"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Transferability of Stock Option</w:t>
      </w:r>
      <w:r>
        <w:rPr>
          <w:rFonts w:ascii="Arial" w:cs="Arial" w:eastAsia="Arial" w:hAnsi="Arial"/>
          <w:sz w:val="16"/>
          <w:szCs w:val="16"/>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408" w:name="page409"/>
    <w:bookmarkEnd w:id="408"/>
    <w:p>
      <w:pPr>
        <w:ind w:left="-100" w:right="160" w:firstLine="444"/>
        <w:spacing w:after="0" w:line="271" w:lineRule="auto"/>
        <w:tabs>
          <w:tab w:leader="none" w:pos="51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7" w:lineRule="exact"/>
        <w:rPr>
          <w:rFonts w:ascii="Arial" w:cs="Arial" w:eastAsia="Arial" w:hAnsi="Arial"/>
          <w:sz w:val="18"/>
          <w:szCs w:val="18"/>
          <w:color w:val="auto"/>
        </w:rPr>
      </w:pPr>
    </w:p>
    <w:p>
      <w:pPr>
        <w:ind w:left="520" w:hanging="176"/>
        <w:spacing w:after="0"/>
        <w:tabs>
          <w:tab w:leader="none" w:pos="52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00" w:right="340" w:firstLine="990"/>
        <w:spacing w:after="0" w:line="335" w:lineRule="auto"/>
        <w:tabs>
          <w:tab w:leader="none" w:pos="112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21" w:lineRule="exact"/>
        <w:rPr>
          <w:rFonts w:ascii="Arial" w:cs="Arial" w:eastAsia="Arial" w:hAnsi="Arial"/>
          <w:sz w:val="16"/>
          <w:szCs w:val="16"/>
          <w:color w:val="auto"/>
        </w:rPr>
      </w:pPr>
    </w:p>
    <w:p>
      <w:pPr>
        <w:ind w:left="-100" w:right="20" w:firstLine="990"/>
        <w:spacing w:after="0" w:line="253" w:lineRule="auto"/>
        <w:tabs>
          <w:tab w:leader="none" w:pos="113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85" w:lineRule="exact"/>
        <w:rPr>
          <w:rFonts w:ascii="Arial" w:cs="Arial" w:eastAsia="Arial" w:hAnsi="Arial"/>
          <w:sz w:val="18"/>
          <w:szCs w:val="18"/>
          <w:color w:val="auto"/>
        </w:rPr>
      </w:pPr>
    </w:p>
    <w:p>
      <w:pPr>
        <w:jc w:val="both"/>
        <w:ind w:left="-100" w:firstLine="990"/>
        <w:spacing w:after="0" w:line="335" w:lineRule="auto"/>
        <w:tabs>
          <w:tab w:leader="none" w:pos="112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21" w:lineRule="exact"/>
        <w:rPr>
          <w:rFonts w:ascii="Arial" w:cs="Arial" w:eastAsia="Arial" w:hAnsi="Arial"/>
          <w:sz w:val="16"/>
          <w:szCs w:val="16"/>
          <w:color w:val="auto"/>
        </w:rPr>
      </w:pPr>
    </w:p>
    <w:p>
      <w:pPr>
        <w:ind w:left="-100" w:right="220" w:firstLine="990"/>
        <w:spacing w:after="0" w:line="335" w:lineRule="auto"/>
        <w:tabs>
          <w:tab w:leader="none" w:pos="113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Delaware, without regard to conflict of law principles that would result in the application of any law other than the law of the State of Delaware.</w:t>
      </w:r>
    </w:p>
    <w:p>
      <w:pPr>
        <w:spacing w:after="0" w:line="21" w:lineRule="exact"/>
        <w:rPr>
          <w:rFonts w:ascii="Arial" w:cs="Arial" w:eastAsia="Arial" w:hAnsi="Arial"/>
          <w:sz w:val="16"/>
          <w:szCs w:val="16"/>
          <w:color w:val="auto"/>
        </w:rPr>
      </w:pPr>
    </w:p>
    <w:p>
      <w:pPr>
        <w:ind w:left="-100" w:right="220" w:firstLine="990"/>
        <w:spacing w:after="0" w:line="271" w:lineRule="auto"/>
        <w:tabs>
          <w:tab w:leader="none" w:pos="112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7" w:lineRule="exact"/>
        <w:rPr>
          <w:rFonts w:ascii="Arial" w:cs="Arial" w:eastAsia="Arial" w:hAnsi="Arial"/>
          <w:sz w:val="18"/>
          <w:szCs w:val="18"/>
          <w:color w:val="auto"/>
        </w:rPr>
      </w:pPr>
    </w:p>
    <w:p>
      <w:pPr>
        <w:ind w:left="-100" w:right="40" w:firstLine="990"/>
        <w:spacing w:after="0" w:line="271" w:lineRule="auto"/>
        <w:tabs>
          <w:tab w:leader="none" w:pos="1105"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7" w:lineRule="exact"/>
        <w:rPr>
          <w:rFonts w:ascii="Arial" w:cs="Arial" w:eastAsia="Arial" w:hAnsi="Arial"/>
          <w:sz w:val="18"/>
          <w:szCs w:val="18"/>
          <w:color w:val="auto"/>
        </w:rPr>
      </w:pPr>
    </w:p>
    <w:p>
      <w:pPr>
        <w:ind w:left="-100" w:firstLine="990"/>
        <w:spacing w:after="0" w:line="255" w:lineRule="auto"/>
        <w:tabs>
          <w:tab w:leader="none" w:pos="113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83" w:lineRule="exact"/>
        <w:rPr>
          <w:rFonts w:ascii="Arial" w:cs="Arial" w:eastAsia="Arial" w:hAnsi="Arial"/>
          <w:sz w:val="18"/>
          <w:szCs w:val="18"/>
          <w:color w:val="auto"/>
        </w:rPr>
      </w:pPr>
    </w:p>
    <w:p>
      <w:pPr>
        <w:jc w:val="both"/>
        <w:ind w:left="-100" w:right="120" w:firstLine="990"/>
        <w:spacing w:after="0" w:line="259" w:lineRule="auto"/>
        <w:tabs>
          <w:tab w:leader="none" w:pos="113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2" w:right="599" w:bottom="1440" w:gutter="0" w:footer="0" w:header="0"/>
        </w:sectPr>
      </w:pPr>
    </w:p>
    <w:bookmarkStart w:id="409" w:name="page410"/>
    <w:bookmarkEnd w:id="409"/>
    <w:p>
      <w:pPr>
        <w:ind w:left="-20" w:right="880" w:firstLine="990"/>
        <w:spacing w:after="0" w:line="301" w:lineRule="auto"/>
        <w:tabs>
          <w:tab w:leader="none" w:pos="1175"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44" w:lineRule="exact"/>
        <w:rPr>
          <w:rFonts w:ascii="Arial" w:cs="Arial" w:eastAsia="Arial" w:hAnsi="Arial"/>
          <w:sz w:val="17"/>
          <w:szCs w:val="17"/>
          <w:color w:val="auto"/>
        </w:rPr>
      </w:pPr>
    </w:p>
    <w:p>
      <w:pPr>
        <w:ind w:left="-20" w:right="240" w:firstLine="990"/>
        <w:spacing w:after="0" w:line="271" w:lineRule="auto"/>
        <w:tabs>
          <w:tab w:leader="none" w:pos="1175"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7" w:lineRule="exact"/>
        <w:rPr>
          <w:rFonts w:ascii="Arial" w:cs="Arial" w:eastAsia="Arial" w:hAnsi="Arial"/>
          <w:sz w:val="18"/>
          <w:szCs w:val="18"/>
          <w:color w:val="auto"/>
        </w:rPr>
      </w:pPr>
    </w:p>
    <w:p>
      <w:pPr>
        <w:ind w:left="600" w:hanging="176"/>
        <w:spacing w:after="0"/>
        <w:tabs>
          <w:tab w:leader="none" w:pos="60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20" w:right="120" w:firstLine="990"/>
        <w:spacing w:after="0" w:line="253" w:lineRule="auto"/>
        <w:tabs>
          <w:tab w:leader="none" w:pos="120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Boston, Massachusetts.</w:t>
      </w:r>
    </w:p>
    <w:p>
      <w:pPr>
        <w:spacing w:after="0" w:line="85" w:lineRule="exact"/>
        <w:rPr>
          <w:rFonts w:ascii="Arial" w:cs="Arial" w:eastAsia="Arial" w:hAnsi="Arial"/>
          <w:sz w:val="18"/>
          <w:szCs w:val="18"/>
          <w:color w:val="auto"/>
        </w:rPr>
      </w:pPr>
    </w:p>
    <w:p>
      <w:pPr>
        <w:ind w:left="-20" w:right="20" w:firstLine="990"/>
        <w:spacing w:after="0" w:line="285" w:lineRule="auto"/>
        <w:tabs>
          <w:tab w:leader="none" w:pos="121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1" w:lineRule="exact"/>
        <w:rPr>
          <w:rFonts w:ascii="Arial" w:cs="Arial" w:eastAsia="Arial" w:hAnsi="Arial"/>
          <w:sz w:val="16"/>
          <w:szCs w:val="16"/>
          <w:color w:val="auto"/>
        </w:rPr>
      </w:pPr>
    </w:p>
    <w:p>
      <w:pPr>
        <w:jc w:val="both"/>
        <w:ind w:left="-20" w:right="180" w:firstLine="990"/>
        <w:spacing w:after="0" w:line="275" w:lineRule="auto"/>
        <w:tabs>
          <w:tab w:leader="none" w:pos="1205"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66" w:lineRule="exact"/>
        <w:rPr>
          <w:rFonts w:ascii="Arial" w:cs="Arial" w:eastAsia="Arial" w:hAnsi="Arial"/>
          <w:sz w:val="17"/>
          <w:szCs w:val="17"/>
          <w:color w:val="auto"/>
        </w:rPr>
      </w:pPr>
    </w:p>
    <w:p>
      <w:pPr>
        <w:jc w:val="both"/>
        <w:ind w:left="-20" w:firstLine="990"/>
        <w:spacing w:after="0" w:line="255" w:lineRule="auto"/>
        <w:tabs>
          <w:tab w:leader="none" w:pos="121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71" w:right="499" w:bottom="1440" w:gutter="0" w:footer="0" w:header="0"/>
        </w:sectPr>
      </w:pPr>
    </w:p>
    <w:bookmarkStart w:id="410" w:name="page411"/>
    <w:bookmarkEnd w:id="410"/>
    <w:p>
      <w:pPr>
        <w:ind w:right="2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w:t>
      </w:r>
    </w:p>
    <w:p>
      <w:pPr>
        <w:spacing w:after="0" w:line="1" w:lineRule="exact"/>
        <w:rPr>
          <w:sz w:val="20"/>
          <w:szCs w:val="20"/>
          <w:color w:val="auto"/>
        </w:rPr>
      </w:pPr>
    </w:p>
    <w:p>
      <w:pPr>
        <w:jc w:val="both"/>
        <w:ind w:right="100" w:firstLine="7"/>
        <w:spacing w:after="0" w:line="268" w:lineRule="auto"/>
        <w:tabs>
          <w:tab w:leader="none" w:pos="31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72" w:lineRule="exact"/>
        <w:rPr>
          <w:rFonts w:ascii="Arial" w:cs="Arial" w:eastAsia="Arial" w:hAnsi="Arial"/>
          <w:sz w:val="17"/>
          <w:szCs w:val="17"/>
          <w:color w:val="auto"/>
        </w:rPr>
      </w:pPr>
    </w:p>
    <w:p>
      <w:pPr>
        <w:ind w:firstLine="444"/>
        <w:spacing w:after="0" w:line="266" w:lineRule="auto"/>
        <w:tabs>
          <w:tab w:leader="none" w:pos="615"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t>Waiver of Statutory Information Rights</w:t>
      </w:r>
      <w:r>
        <w:rPr>
          <w:rFonts w:ascii="Arial" w:cs="Arial" w:eastAsia="Arial" w:hAnsi="Arial"/>
          <w:sz w:val="17"/>
          <w:szCs w:val="17"/>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1" w:right="519" w:bottom="1440" w:gutter="0" w:footer="0" w:header="0"/>
        </w:sectPr>
      </w:pPr>
    </w:p>
    <w:bookmarkStart w:id="411" w:name="page412"/>
    <w:bookmarkEnd w:id="41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14998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251460</wp:posOffset>
            </wp:positionV>
            <wp:extent cx="14998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80" w:firstLine="436"/>
        <w:spacing w:after="0" w:line="287" w:lineRule="auto"/>
        <w:rPr>
          <w:sz w:val="20"/>
          <w:szCs w:val="20"/>
          <w:color w:val="auto"/>
        </w:rPr>
      </w:pPr>
      <w:r>
        <w:rPr>
          <w:rFonts w:ascii="Arial" w:cs="Arial" w:eastAsia="Arial" w:hAnsi="Arial"/>
          <w:sz w:val="16"/>
          <w:szCs w:val="16"/>
          <w:color w:val="auto"/>
        </w:rPr>
        <w:t>Pursuant to the terms of the grant notice and stock option agreement between the undersigned and Monte Rosa Therapeutics, Inc. (the “Company”) dated __________ (the “Agreement”) under the Monte Rosa Therapeutics, Inc. 2020 Stock Option and Grant Plan, I, [Insert 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hereby [Circle One] partially/fully exercise such option by including herein payment in the amount of $______ representing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for [Fill in number of Shares] _______ Shares. I have chosen the following form(s) of payment:</w:t>
      </w:r>
    </w:p>
    <w:p>
      <w:pPr>
        <w:spacing w:after="0" w:line="115" w:lineRule="exact"/>
        <w:rPr>
          <w:sz w:val="20"/>
          <w:szCs w:val="20"/>
          <w:color w:val="auto"/>
        </w:rPr>
      </w:pPr>
    </w:p>
    <w:p>
      <w:pPr>
        <w:ind w:left="1740" w:hanging="542"/>
        <w:spacing w:after="0"/>
        <w:tabs>
          <w:tab w:leader="none" w:pos="1740" w:val="left"/>
        </w:tabs>
        <w:numPr>
          <w:ilvl w:val="0"/>
          <w:numId w:val="302"/>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27" w:lineRule="exact"/>
        <w:rPr>
          <w:rFonts w:ascii="MS PGothic" w:cs="MS PGothic" w:eastAsia="MS PGothic" w:hAnsi="MS PGothic"/>
          <w:sz w:val="18"/>
          <w:szCs w:val="18"/>
          <w:color w:val="auto"/>
        </w:rPr>
      </w:pPr>
    </w:p>
    <w:p>
      <w:pPr>
        <w:ind w:left="1740" w:hanging="542"/>
        <w:spacing w:after="0"/>
        <w:tabs>
          <w:tab w:leader="none" w:pos="1740" w:val="left"/>
        </w:tabs>
        <w:numPr>
          <w:ilvl w:val="0"/>
          <w:numId w:val="302"/>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Monte Rosa Therapeutics, Inc.</w:t>
      </w:r>
    </w:p>
    <w:p>
      <w:pPr>
        <w:spacing w:after="0" w:line="127" w:lineRule="exact"/>
        <w:rPr>
          <w:rFonts w:ascii="MS PGothic" w:cs="MS PGothic" w:eastAsia="MS PGothic" w:hAnsi="MS PGothic"/>
          <w:sz w:val="18"/>
          <w:szCs w:val="18"/>
          <w:color w:val="auto"/>
        </w:rPr>
      </w:pPr>
    </w:p>
    <w:p>
      <w:pPr>
        <w:ind w:left="1740" w:hanging="542"/>
        <w:spacing w:after="0"/>
        <w:tabs>
          <w:tab w:leader="none" w:pos="1740" w:val="left"/>
        </w:tabs>
        <w:numPr>
          <w:ilvl w:val="0"/>
          <w:numId w:val="302"/>
        </w:numPr>
        <w:rPr>
          <w:rFonts w:ascii="MS PGothic" w:cs="MS PGothic" w:eastAsia="MS PGothic" w:hAnsi="MS PGothic"/>
          <w:sz w:val="18"/>
          <w:szCs w:val="18"/>
          <w:color w:val="auto"/>
        </w:rPr>
      </w:pPr>
      <w:r>
        <w:rPr>
          <w:rFonts w:ascii="Arial" w:cs="Arial" w:eastAsia="Arial" w:hAnsi="Arial"/>
          <w:sz w:val="18"/>
          <w:szCs w:val="18"/>
          <w:color w:val="auto"/>
        </w:rPr>
        <w:t>3.Other (as referenced in the Agreement and described in the Plan (please describe))</w:t>
      </w:r>
    </w:p>
    <w:p>
      <w:pPr>
        <w:spacing w:after="0" w:line="22" w:lineRule="exact"/>
        <w:rPr>
          <w:rFonts w:ascii="MS PGothic" w:cs="MS PGothic" w:eastAsia="MS PGothic" w:hAnsi="MS PGothic"/>
          <w:sz w:val="18"/>
          <w:szCs w:val="18"/>
          <w:color w:val="auto"/>
        </w:rPr>
      </w:pPr>
    </w:p>
    <w:p>
      <w:pPr>
        <w:ind w:left="17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4" w:lineRule="exact"/>
        <w:rPr>
          <w:sz w:val="20"/>
          <w:szCs w:val="20"/>
          <w:color w:val="auto"/>
        </w:rPr>
      </w:pPr>
    </w:p>
    <w:p>
      <w:pPr>
        <w:ind w:left="1600" w:hanging="213"/>
        <w:spacing w:after="0"/>
        <w:tabs>
          <w:tab w:leader="none" w:pos="16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for resale or with a view to the distribution thereof.</w:t>
      </w:r>
    </w:p>
    <w:p>
      <w:pPr>
        <w:spacing w:after="0" w:line="136" w:lineRule="exact"/>
        <w:rPr>
          <w:rFonts w:ascii="Arial" w:cs="Arial" w:eastAsia="Arial" w:hAnsi="Arial"/>
          <w:sz w:val="16"/>
          <w:szCs w:val="16"/>
          <w:color w:val="auto"/>
        </w:rPr>
      </w:pPr>
    </w:p>
    <w:p>
      <w:pPr>
        <w:ind w:left="440" w:firstLine="947"/>
        <w:spacing w:after="0" w:line="259" w:lineRule="auto"/>
        <w:tabs>
          <w:tab w:leader="none" w:pos="164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8" w:lineRule="exact"/>
        <w:rPr>
          <w:rFonts w:ascii="Arial" w:cs="Arial" w:eastAsia="Arial" w:hAnsi="Arial"/>
          <w:sz w:val="18"/>
          <w:szCs w:val="18"/>
          <w:color w:val="auto"/>
        </w:rPr>
      </w:pPr>
    </w:p>
    <w:p>
      <w:pPr>
        <w:ind w:left="440" w:right="20" w:firstLine="947"/>
        <w:spacing w:after="0" w:line="271" w:lineRule="auto"/>
        <w:tabs>
          <w:tab w:leader="none" w:pos="169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7" w:lineRule="exact"/>
        <w:rPr>
          <w:rFonts w:ascii="Arial" w:cs="Arial" w:eastAsia="Arial" w:hAnsi="Arial"/>
          <w:sz w:val="18"/>
          <w:szCs w:val="18"/>
          <w:color w:val="auto"/>
        </w:rPr>
      </w:pPr>
    </w:p>
    <w:p>
      <w:pPr>
        <w:ind w:left="440" w:right="500" w:firstLine="947"/>
        <w:spacing w:after="0" w:line="271" w:lineRule="auto"/>
        <w:tabs>
          <w:tab w:leader="none" w:pos="16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can afford a complete loss of the value of the Shares and am able to bear the economic risk of holding such Shares for an indefinite period of time.</w:t>
      </w:r>
    </w:p>
    <w:p>
      <w:pPr>
        <w:spacing w:after="0" w:line="67" w:lineRule="exact"/>
        <w:rPr>
          <w:rFonts w:ascii="Arial" w:cs="Arial" w:eastAsia="Arial" w:hAnsi="Arial"/>
          <w:sz w:val="18"/>
          <w:szCs w:val="18"/>
          <w:color w:val="auto"/>
        </w:rPr>
      </w:pPr>
    </w:p>
    <w:p>
      <w:pPr>
        <w:ind w:left="440" w:right="20" w:firstLine="947"/>
        <w:spacing w:after="0" w:line="252" w:lineRule="auto"/>
        <w:tabs>
          <w:tab w:leader="none" w:pos="163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12" w:name="page413"/>
    <w:bookmarkEnd w:id="412"/>
    <w:p>
      <w:pPr>
        <w:ind w:right="340" w:firstLine="947"/>
        <w:spacing w:after="0" w:line="271" w:lineRule="auto"/>
        <w:tabs>
          <w:tab w:leader="none" w:pos="1245"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have read and understand the Plan and acknowledge and agree that the Shares are subject to all of the relevant terms of the Plan, including without limitation, the transfer restrictions set forth in Section 9 of the Plan.</w:t>
      </w:r>
    </w:p>
    <w:p>
      <w:pPr>
        <w:spacing w:after="0" w:line="67" w:lineRule="exact"/>
        <w:rPr>
          <w:rFonts w:ascii="Arial" w:cs="Arial" w:eastAsia="Arial" w:hAnsi="Arial"/>
          <w:sz w:val="18"/>
          <w:szCs w:val="18"/>
          <w:color w:val="auto"/>
        </w:rPr>
      </w:pPr>
    </w:p>
    <w:p>
      <w:pPr>
        <w:ind w:left="1300" w:hanging="353"/>
        <w:spacing w:after="0"/>
        <w:tabs>
          <w:tab w:leader="none" w:pos="13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1" w:lineRule="exact"/>
        <w:rPr>
          <w:rFonts w:ascii="Arial" w:cs="Arial" w:eastAsia="Arial" w:hAnsi="Arial"/>
          <w:sz w:val="16"/>
          <w:szCs w:val="16"/>
          <w:color w:val="auto"/>
        </w:rPr>
      </w:pPr>
    </w:p>
    <w:p>
      <w:pPr>
        <w:ind w:left="1340" w:hanging="393"/>
        <w:spacing w:after="0"/>
        <w:tabs>
          <w:tab w:leader="none" w:pos="134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I understand and agree that the Company has certain repurchase rights with respect to the Shares pursuant to Section 9(c) of the</w:t>
      </w:r>
    </w:p>
    <w:p>
      <w:pPr>
        <w:spacing w:after="0" w:line="6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Plan.</w:t>
      </w:r>
    </w:p>
    <w:p>
      <w:pPr>
        <w:spacing w:after="0" w:line="101" w:lineRule="exact"/>
        <w:rPr>
          <w:rFonts w:ascii="Arial" w:cs="Arial" w:eastAsia="Arial" w:hAnsi="Arial"/>
          <w:sz w:val="14"/>
          <w:szCs w:val="14"/>
          <w:color w:val="auto"/>
        </w:rPr>
      </w:pPr>
    </w:p>
    <w:p>
      <w:pPr>
        <w:ind w:right="540" w:firstLine="947"/>
        <w:spacing w:after="0" w:line="271" w:lineRule="auto"/>
        <w:tabs>
          <w:tab w:leader="none" w:pos="124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67" w:lineRule="exact"/>
        <w:rPr>
          <w:rFonts w:ascii="Arial" w:cs="Arial" w:eastAsia="Arial" w:hAnsi="Arial"/>
          <w:sz w:val="18"/>
          <w:szCs w:val="18"/>
          <w:color w:val="auto"/>
        </w:rPr>
      </w:pPr>
    </w:p>
    <w:p>
      <w:pPr>
        <w:ind w:left="1200" w:hanging="253"/>
        <w:spacing w:after="0"/>
        <w:tabs>
          <w:tab w:leader="none" w:pos="12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understand and agree to the waiver of statutory information rights as set forth in Section 8 of the Agreement.</w:t>
      </w:r>
    </w:p>
    <w:p>
      <w:pPr>
        <w:spacing w:after="0" w:line="2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285115</wp:posOffset>
            </wp:positionV>
            <wp:extent cx="27686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1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217170</wp:posOffset>
            </wp:positionV>
            <wp:extent cx="27686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438150</wp:posOffset>
            </wp:positionV>
            <wp:extent cx="27686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659130</wp:posOffset>
            </wp:positionV>
            <wp:extent cx="27686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-11430</wp:posOffset>
            </wp:positionV>
            <wp:extent cx="21786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40"/>
          </w:cols>
          <w:pgMar w:left="920" w:top="272" w:right="539" w:bottom="1440" w:gutter="0" w:footer="0" w:header="0"/>
        </w:sectPr>
      </w:pPr>
    </w:p>
    <w:bookmarkStart w:id="413" w:name="page414"/>
    <w:bookmarkEnd w:id="413"/>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NON-QUALIFIED STOCK OPTION GRANT NOTICE</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Pursuant to the Monte Rosa Therapeutics, Inc. 2020 Stock Option and Grant Plan (the “Plan”), Monte Rosa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ectPr>
          <w:pgSz w:w="11900" w:h="16838" w:orient="portrait"/>
          <w:cols w:equalWidth="0" w:num="1">
            <w:col w:w="10880"/>
          </w:cols>
          <w:pgMar w:left="480" w:top="268" w:right="5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(the “Optionee”)</w:t>
      </w:r>
    </w:p>
    <w:p>
      <w:pPr>
        <w:spacing w:after="0" w:line="137"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6"/>
          <w:szCs w:val="16"/>
          <w:color w:val="auto"/>
        </w:rPr>
        <w:t>No.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 Shares of Common Stock</w:t>
      </w:r>
    </w:p>
    <w:p>
      <w:pPr>
        <w:spacing w:after="0" w:line="137"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ectPr>
          <w:pgSz w:w="11900" w:h="16838" w:orient="portrait"/>
          <w:cols w:equalWidth="0" w:num="1">
            <w:col w:w="10880"/>
          </w:cols>
          <w:pgMar w:left="480" w:top="268" w:right="5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(the “Vesting Commencement Date”)</w:t>
      </w:r>
    </w:p>
    <w:p>
      <w:pPr>
        <w:spacing w:after="0" w:line="137"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 (the “Expiration Date”)</w:t>
      </w:r>
    </w:p>
    <w:p>
      <w:pPr>
        <w:spacing w:after="0" w:line="137"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6"/>
          <w:szCs w:val="16"/>
          <w:color w:val="auto"/>
        </w:rPr>
        <w:t>Option Exercise Price/Share: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 (the “Option Exercise Price”)</w:t>
      </w:r>
    </w:p>
    <w:p>
      <w:pPr>
        <w:spacing w:after="0" w:line="137"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6"/>
          <w:szCs w:val="16"/>
          <w:color w:val="auto"/>
        </w:rPr>
        <w:t>25 percent of the Shares shall vest and become exercisable on 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w:t>
      </w:r>
      <w:r>
        <w:rPr>
          <w:rFonts w:ascii="Arial" w:cs="Arial" w:eastAsia="Arial" w:hAnsi="Arial"/>
          <w:sz w:val="16"/>
          <w:szCs w:val="16"/>
          <w:b w:val="1"/>
          <w:bCs w:val="1"/>
          <w:color w:val="auto"/>
        </w:rPr>
        <w:t>[ provided; however INSERT ANY ACCELERATED VESTING PROVISION HERE]</w:t>
      </w:r>
      <w:r>
        <w:rPr>
          <w:rFonts w:ascii="Arial" w:cs="Arial" w:eastAsia="Arial" w:hAnsi="Arial"/>
          <w:sz w:val="16"/>
          <w:szCs w:val="16"/>
          <w:color w:val="auto"/>
        </w:rPr>
        <w:t>.</w:t>
      </w:r>
    </w:p>
    <w:p>
      <w:pPr>
        <w:spacing w:after="0" w:line="162" w:lineRule="exact"/>
        <w:rPr>
          <w:sz w:val="20"/>
          <w:szCs w:val="20"/>
          <w:color w:val="auto"/>
        </w:rPr>
      </w:pPr>
    </w:p>
    <w:p>
      <w:pPr>
        <w:sectPr>
          <w:pgSz w:w="11900" w:h="16838" w:orient="portrait"/>
          <w:cols w:equalWidth="0" w:num="2">
            <w:col w:w="2900" w:space="720"/>
            <w:col w:w="7260"/>
          </w:cols>
          <w:pgMar w:left="480" w:top="268"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Attachments</w:t>
      </w:r>
      <w:r>
        <w:rPr>
          <w:rFonts w:ascii="Arial" w:cs="Arial" w:eastAsia="Arial" w:hAnsi="Arial"/>
          <w:sz w:val="16"/>
          <w:szCs w:val="16"/>
          <w:color w:val="auto"/>
        </w:rPr>
        <w:t>: Non-Qualified Stock Option Agreement, 2020 Stock Option and Grant Plan</w:t>
      </w:r>
    </w:p>
    <w:p>
      <w:pPr>
        <w:sectPr>
          <w:pgSz w:w="11900" w:h="16838" w:orient="portrait"/>
          <w:cols w:equalWidth="0" w:num="1">
            <w:col w:w="10880"/>
          </w:cols>
          <w:pgMar w:left="480" w:top="268" w:right="539" w:bottom="1440" w:gutter="0" w:footer="0" w:header="0"/>
          <w:type w:val="continuous"/>
        </w:sectPr>
      </w:pPr>
    </w:p>
    <w:bookmarkStart w:id="414" w:name="page415"/>
    <w:bookmarkEnd w:id="4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NON-QUALIFIED STOCK OPTION AGREEMENT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232" w:lineRule="exact"/>
        <w:rPr>
          <w:sz w:val="20"/>
          <w:szCs w:val="20"/>
          <w:color w:val="auto"/>
        </w:rPr>
      </w:pPr>
    </w:p>
    <w:p>
      <w:pPr>
        <w:ind w:left="620" w:hanging="176"/>
        <w:spacing w:after="0"/>
        <w:tabs>
          <w:tab w:leader="none" w:pos="62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240" w:hanging="250"/>
        <w:spacing w:after="0"/>
        <w:tabs>
          <w:tab w:leader="none" w:pos="12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220" w:lineRule="exact"/>
        <w:rPr>
          <w:rFonts w:ascii="Arial" w:cs="Arial" w:eastAsia="Arial" w:hAnsi="Arial"/>
          <w:sz w:val="18"/>
          <w:szCs w:val="18"/>
          <w:color w:val="auto"/>
        </w:rPr>
      </w:pPr>
    </w:p>
    <w:p>
      <w:pPr>
        <w:ind w:right="300" w:firstLine="990"/>
        <w:spacing w:after="0" w:line="271" w:lineRule="auto"/>
        <w:tabs>
          <w:tab w:leader="none" w:pos="123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7" w:lineRule="exact"/>
        <w:rPr>
          <w:rFonts w:ascii="Arial" w:cs="Arial" w:eastAsia="Arial" w:hAnsi="Arial"/>
          <w:sz w:val="18"/>
          <w:szCs w:val="18"/>
          <w:color w:val="auto"/>
        </w:rPr>
      </w:pPr>
    </w:p>
    <w:p>
      <w:pPr>
        <w:ind w:left="1600" w:hanging="213"/>
        <w:spacing w:after="0"/>
        <w:tabs>
          <w:tab w:leader="none" w:pos="160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3" w:lineRule="exact"/>
        <w:rPr>
          <w:rFonts w:ascii="Arial" w:cs="Arial" w:eastAsia="Arial" w:hAnsi="Arial"/>
          <w:sz w:val="18"/>
          <w:szCs w:val="18"/>
          <w:color w:val="auto"/>
        </w:rPr>
      </w:pPr>
    </w:p>
    <w:p>
      <w:pPr>
        <w:ind w:left="1640" w:hanging="253"/>
        <w:spacing w:after="0"/>
        <w:tabs>
          <w:tab w:leader="none" w:pos="1640" w:val="left"/>
        </w:tabs>
        <w:numPr>
          <w:ilvl w:val="2"/>
          <w:numId w:val="305"/>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 Grant Notice.</w:t>
      </w:r>
    </w:p>
    <w:p>
      <w:pPr>
        <w:spacing w:after="0" w:line="243" w:lineRule="exact"/>
        <w:rPr>
          <w:rFonts w:ascii="Arial" w:cs="Arial" w:eastAsia="Arial" w:hAnsi="Arial"/>
          <w:sz w:val="16"/>
          <w:szCs w:val="16"/>
          <w:color w:val="auto"/>
        </w:rPr>
      </w:pPr>
    </w:p>
    <w:p>
      <w:pPr>
        <w:ind w:right="140" w:firstLine="990"/>
        <w:spacing w:after="0" w:line="259" w:lineRule="auto"/>
        <w:tabs>
          <w:tab w:leader="none" w:pos="1224"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8" w:lineRule="exact"/>
        <w:rPr>
          <w:rFonts w:ascii="Arial" w:cs="Arial" w:eastAsia="Arial" w:hAnsi="Arial"/>
          <w:sz w:val="18"/>
          <w:szCs w:val="18"/>
          <w:color w:val="auto"/>
        </w:rPr>
      </w:pPr>
    </w:p>
    <w:p>
      <w:pPr>
        <w:ind w:left="440" w:right="160" w:firstLine="947"/>
        <w:spacing w:after="0" w:line="307" w:lineRule="auto"/>
        <w:tabs>
          <w:tab w:leader="none" w:pos="1596" w:val="left"/>
        </w:tabs>
        <w:numPr>
          <w:ilvl w:val="2"/>
          <w:numId w:val="305"/>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42" w:lineRule="exact"/>
        <w:rPr>
          <w:rFonts w:ascii="Arial" w:cs="Arial" w:eastAsia="Arial" w:hAnsi="Arial"/>
          <w:sz w:val="16"/>
          <w:szCs w:val="16"/>
          <w:color w:val="auto"/>
        </w:rPr>
      </w:pPr>
    </w:p>
    <w:p>
      <w:pPr>
        <w:ind w:left="440" w:right="160" w:firstLine="947"/>
        <w:spacing w:after="0" w:line="287" w:lineRule="auto"/>
        <w:tabs>
          <w:tab w:leader="none" w:pos="1645" w:val="left"/>
        </w:tabs>
        <w:numPr>
          <w:ilvl w:val="2"/>
          <w:numId w:val="305"/>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Service Relationship terminates for any reason other than death or Disability, and unless otherwise determined by the Committee, this Stock Option may be exercised, to the extent exercisable on the date of termination, for a period of</w:t>
      </w:r>
    </w:p>
    <w:p>
      <w:pPr>
        <w:ind w:left="440" w:firstLine="4"/>
        <w:spacing w:after="0" w:line="256" w:lineRule="auto"/>
        <w:tabs>
          <w:tab w:leader="none" w:pos="66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8" w:lineRule="exact"/>
        <w:rPr>
          <w:sz w:val="20"/>
          <w:szCs w:val="20"/>
          <w:color w:val="auto"/>
        </w:rPr>
      </w:pPr>
    </w:p>
    <w:p>
      <w:pPr>
        <w:jc w:val="both"/>
        <w:ind w:right="80" w:firstLine="436"/>
        <w:spacing w:after="0" w:line="307" w:lineRule="auto"/>
        <w:rPr>
          <w:sz w:val="20"/>
          <w:szCs w:val="20"/>
          <w:color w:val="auto"/>
        </w:rPr>
      </w:pPr>
      <w:r>
        <w:rPr>
          <w:rFonts w:ascii="Arial" w:cs="Arial" w:eastAsia="Arial" w:hAnsi="Arial"/>
          <w:sz w:val="16"/>
          <w:szCs w:val="16"/>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415" w:name="page416"/>
    <w:bookmarkEnd w:id="415"/>
    <w:p>
      <w:pPr>
        <w:ind w:left="620" w:hanging="176"/>
        <w:spacing w:after="0"/>
        <w:tabs>
          <w:tab w:leader="none" w:pos="6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Exercise of Stock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72" w:lineRule="auto"/>
        <w:tabs>
          <w:tab w:leader="none" w:pos="1225" w:val="left"/>
        </w:tabs>
        <w:numPr>
          <w:ilvl w:val="1"/>
          <w:numId w:val="307"/>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9" w:lineRule="exact"/>
        <w:rPr>
          <w:rFonts w:ascii="Arial" w:cs="Arial" w:eastAsia="Arial" w:hAnsi="Arial"/>
          <w:sz w:val="17"/>
          <w:szCs w:val="17"/>
          <w:color w:val="auto"/>
        </w:rPr>
      </w:pPr>
    </w:p>
    <w:p>
      <w:pPr>
        <w:ind w:left="1240" w:hanging="250"/>
        <w:spacing w:after="0"/>
        <w:tabs>
          <w:tab w:leader="none" w:pos="12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1" w:lineRule="exact"/>
        <w:rPr>
          <w:rFonts w:ascii="Arial" w:cs="Arial" w:eastAsia="Arial" w:hAnsi="Arial"/>
          <w:sz w:val="17"/>
          <w:szCs w:val="17"/>
          <w:color w:val="auto"/>
        </w:rPr>
      </w:pPr>
    </w:p>
    <w:p>
      <w:pPr>
        <w:ind w:right="140" w:firstLine="444"/>
        <w:spacing w:after="0" w:line="271" w:lineRule="auto"/>
        <w:tabs>
          <w:tab w:leader="none" w:pos="61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7" w:lineRule="exact"/>
        <w:rPr>
          <w:rFonts w:ascii="Arial" w:cs="Arial" w:eastAsia="Arial" w:hAnsi="Arial"/>
          <w:sz w:val="18"/>
          <w:szCs w:val="18"/>
          <w:color w:val="auto"/>
        </w:rPr>
      </w:pPr>
    </w:p>
    <w:p>
      <w:pPr>
        <w:ind w:right="40" w:firstLine="444"/>
        <w:spacing w:after="0" w:line="288" w:lineRule="auto"/>
        <w:tabs>
          <w:tab w:leader="none" w:pos="615"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Transferability of Stock Option</w:t>
      </w:r>
      <w:r>
        <w:rPr>
          <w:rFonts w:ascii="Arial" w:cs="Arial" w:eastAsia="Arial" w:hAnsi="Arial"/>
          <w:sz w:val="16"/>
          <w:szCs w:val="16"/>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59" w:lineRule="exact"/>
        <w:rPr>
          <w:rFonts w:ascii="Arial" w:cs="Arial" w:eastAsia="Arial" w:hAnsi="Arial"/>
          <w:sz w:val="16"/>
          <w:szCs w:val="16"/>
          <w:color w:val="auto"/>
        </w:rPr>
      </w:pPr>
    </w:p>
    <w:p>
      <w:pPr>
        <w:ind w:right="260" w:firstLine="444"/>
        <w:spacing w:after="0" w:line="271" w:lineRule="auto"/>
        <w:tabs>
          <w:tab w:leader="none" w:pos="61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7" w:lineRule="exact"/>
        <w:rPr>
          <w:rFonts w:ascii="Arial" w:cs="Arial" w:eastAsia="Arial" w:hAnsi="Arial"/>
          <w:sz w:val="18"/>
          <w:szCs w:val="18"/>
          <w:color w:val="auto"/>
        </w:rPr>
      </w:pPr>
    </w:p>
    <w:p>
      <w:pPr>
        <w:ind w:left="620" w:hanging="176"/>
        <w:spacing w:after="0"/>
        <w:tabs>
          <w:tab w:leader="none" w:pos="6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440" w:firstLine="990"/>
        <w:spacing w:after="0" w:line="335" w:lineRule="auto"/>
        <w:tabs>
          <w:tab w:leader="none" w:pos="1224"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21" w:lineRule="exact"/>
        <w:rPr>
          <w:rFonts w:ascii="Arial" w:cs="Arial" w:eastAsia="Arial" w:hAnsi="Arial"/>
          <w:sz w:val="16"/>
          <w:szCs w:val="16"/>
          <w:color w:val="auto"/>
        </w:rPr>
      </w:pPr>
    </w:p>
    <w:p>
      <w:pPr>
        <w:ind w:right="120" w:firstLine="990"/>
        <w:spacing w:after="0" w:line="253" w:lineRule="auto"/>
        <w:tabs>
          <w:tab w:leader="none" w:pos="123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16" w:name="page417"/>
    <w:bookmarkEnd w:id="416"/>
    <w:p>
      <w:pPr>
        <w:jc w:val="both"/>
        <w:ind w:left="-100" w:firstLine="990"/>
        <w:spacing w:after="0" w:line="335" w:lineRule="auto"/>
        <w:tabs>
          <w:tab w:leader="none" w:pos="1124"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21" w:lineRule="exact"/>
        <w:rPr>
          <w:rFonts w:ascii="Arial" w:cs="Arial" w:eastAsia="Arial" w:hAnsi="Arial"/>
          <w:sz w:val="16"/>
          <w:szCs w:val="16"/>
          <w:color w:val="auto"/>
        </w:rPr>
      </w:pPr>
    </w:p>
    <w:p>
      <w:pPr>
        <w:ind w:left="-100" w:right="220" w:firstLine="990"/>
        <w:spacing w:after="0" w:line="335" w:lineRule="auto"/>
        <w:tabs>
          <w:tab w:leader="none" w:pos="1134"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Delaware, without regard to conflict of law principles that would result in the application of any law other than the law of the State of Delaware.</w:t>
      </w:r>
    </w:p>
    <w:p>
      <w:pPr>
        <w:spacing w:after="0" w:line="21" w:lineRule="exact"/>
        <w:rPr>
          <w:rFonts w:ascii="Arial" w:cs="Arial" w:eastAsia="Arial" w:hAnsi="Arial"/>
          <w:sz w:val="16"/>
          <w:szCs w:val="16"/>
          <w:color w:val="auto"/>
        </w:rPr>
      </w:pPr>
    </w:p>
    <w:p>
      <w:pPr>
        <w:ind w:left="-100" w:right="220" w:firstLine="990"/>
        <w:spacing w:after="0" w:line="271" w:lineRule="auto"/>
        <w:tabs>
          <w:tab w:leader="none" w:pos="1124"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7" w:lineRule="exact"/>
        <w:rPr>
          <w:rFonts w:ascii="Arial" w:cs="Arial" w:eastAsia="Arial" w:hAnsi="Arial"/>
          <w:sz w:val="18"/>
          <w:szCs w:val="18"/>
          <w:color w:val="auto"/>
        </w:rPr>
      </w:pPr>
    </w:p>
    <w:p>
      <w:pPr>
        <w:ind w:left="-100" w:right="40" w:firstLine="990"/>
        <w:spacing w:after="0" w:line="271" w:lineRule="auto"/>
        <w:tabs>
          <w:tab w:leader="none" w:pos="1105"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7" w:lineRule="exact"/>
        <w:rPr>
          <w:rFonts w:ascii="Arial" w:cs="Arial" w:eastAsia="Arial" w:hAnsi="Arial"/>
          <w:sz w:val="18"/>
          <w:szCs w:val="18"/>
          <w:color w:val="auto"/>
        </w:rPr>
      </w:pPr>
    </w:p>
    <w:p>
      <w:pPr>
        <w:ind w:left="-100" w:firstLine="990"/>
        <w:spacing w:after="0" w:line="255" w:lineRule="auto"/>
        <w:tabs>
          <w:tab w:leader="none" w:pos="1134"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83" w:lineRule="exact"/>
        <w:rPr>
          <w:rFonts w:ascii="Arial" w:cs="Arial" w:eastAsia="Arial" w:hAnsi="Arial"/>
          <w:sz w:val="18"/>
          <w:szCs w:val="18"/>
          <w:color w:val="auto"/>
        </w:rPr>
      </w:pPr>
    </w:p>
    <w:p>
      <w:pPr>
        <w:jc w:val="both"/>
        <w:ind w:left="-100" w:right="120" w:firstLine="990"/>
        <w:spacing w:after="0" w:line="259" w:lineRule="auto"/>
        <w:tabs>
          <w:tab w:leader="none" w:pos="1134"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78" w:lineRule="exact"/>
        <w:rPr>
          <w:rFonts w:ascii="Arial" w:cs="Arial" w:eastAsia="Arial" w:hAnsi="Arial"/>
          <w:sz w:val="18"/>
          <w:szCs w:val="18"/>
          <w:color w:val="auto"/>
        </w:rPr>
      </w:pPr>
    </w:p>
    <w:p>
      <w:pPr>
        <w:ind w:left="-100" w:right="780" w:firstLine="990"/>
        <w:spacing w:after="0" w:line="301" w:lineRule="auto"/>
        <w:tabs>
          <w:tab w:leader="none" w:pos="1095"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44" w:lineRule="exact"/>
        <w:rPr>
          <w:rFonts w:ascii="Arial" w:cs="Arial" w:eastAsia="Arial" w:hAnsi="Arial"/>
          <w:sz w:val="17"/>
          <w:szCs w:val="17"/>
          <w:color w:val="auto"/>
        </w:rPr>
      </w:pPr>
    </w:p>
    <w:p>
      <w:pPr>
        <w:ind w:left="-100" w:right="140" w:firstLine="990"/>
        <w:spacing w:after="0" w:line="271" w:lineRule="auto"/>
        <w:tabs>
          <w:tab w:leader="none" w:pos="1095"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7" w:lineRule="exact"/>
        <w:rPr>
          <w:rFonts w:ascii="Arial" w:cs="Arial" w:eastAsia="Arial" w:hAnsi="Arial"/>
          <w:sz w:val="18"/>
          <w:szCs w:val="18"/>
          <w:color w:val="auto"/>
        </w:rPr>
      </w:pPr>
    </w:p>
    <w:p>
      <w:pPr>
        <w:ind w:left="520" w:hanging="176"/>
        <w:spacing w:after="0"/>
        <w:tabs>
          <w:tab w:leader="none" w:pos="5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100" w:firstLine="990"/>
        <w:spacing w:after="0" w:line="253" w:lineRule="auto"/>
        <w:tabs>
          <w:tab w:leader="none" w:pos="1125"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72" w:right="599" w:bottom="1440" w:gutter="0" w:footer="0" w:header="0"/>
        </w:sectPr>
      </w:pPr>
    </w:p>
    <w:bookmarkStart w:id="417" w:name="page418"/>
    <w:bookmarkEnd w:id="417"/>
    <w:p>
      <w:pPr>
        <w:ind w:left="-20" w:right="20" w:firstLine="990"/>
        <w:spacing w:after="0" w:line="285" w:lineRule="auto"/>
        <w:tabs>
          <w:tab w:leader="none" w:pos="1215" w:val="left"/>
        </w:tabs>
        <w:numPr>
          <w:ilvl w:val="1"/>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1" w:lineRule="exact"/>
        <w:rPr>
          <w:rFonts w:ascii="Arial" w:cs="Arial" w:eastAsia="Arial" w:hAnsi="Arial"/>
          <w:sz w:val="16"/>
          <w:szCs w:val="16"/>
          <w:color w:val="auto"/>
        </w:rPr>
      </w:pPr>
    </w:p>
    <w:p>
      <w:pPr>
        <w:jc w:val="both"/>
        <w:ind w:left="-20" w:right="180" w:firstLine="990"/>
        <w:spacing w:after="0" w:line="275" w:lineRule="auto"/>
        <w:tabs>
          <w:tab w:leader="none" w:pos="1205"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66" w:lineRule="exact"/>
        <w:rPr>
          <w:rFonts w:ascii="Arial" w:cs="Arial" w:eastAsia="Arial" w:hAnsi="Arial"/>
          <w:sz w:val="17"/>
          <w:szCs w:val="17"/>
          <w:color w:val="auto"/>
        </w:rPr>
      </w:pPr>
    </w:p>
    <w:p>
      <w:pPr>
        <w:ind w:left="-20" w:firstLine="990"/>
        <w:spacing w:after="0" w:line="285" w:lineRule="auto"/>
        <w:tabs>
          <w:tab w:leader="none" w:pos="1215"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61" w:lineRule="exact"/>
        <w:rPr>
          <w:rFonts w:ascii="Arial" w:cs="Arial" w:eastAsia="Arial" w:hAnsi="Arial"/>
          <w:sz w:val="16"/>
          <w:szCs w:val="16"/>
          <w:color w:val="auto"/>
        </w:rPr>
      </w:pPr>
    </w:p>
    <w:p>
      <w:pPr>
        <w:ind w:left="-20" w:right="360" w:firstLine="444"/>
        <w:spacing w:after="0" w:line="275" w:lineRule="auto"/>
        <w:tabs>
          <w:tab w:leader="none" w:pos="595"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Waiver of Statutory Information Rights</w:t>
      </w:r>
      <w:r>
        <w:rPr>
          <w:rFonts w:ascii="Arial" w:cs="Arial" w:eastAsia="Arial" w:hAnsi="Arial"/>
          <w:sz w:val="17"/>
          <w:szCs w:val="17"/>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2" w:right="499" w:bottom="1440" w:gutter="0" w:footer="0" w:header="0"/>
        </w:sectPr>
      </w:pPr>
    </w:p>
    <w:bookmarkStart w:id="418" w:name="page419"/>
    <w:bookmarkEnd w:id="41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480" w:top="272" w:right="639" w:bottom="1440" w:gutter="0" w:footer="0" w:header="0"/>
        </w:sectPr>
      </w:pPr>
    </w:p>
    <w:bookmarkStart w:id="419" w:name="page420"/>
    <w:bookmarkEnd w:id="4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80" w:firstLine="436"/>
        <w:spacing w:after="0" w:line="287" w:lineRule="auto"/>
        <w:rPr>
          <w:sz w:val="20"/>
          <w:szCs w:val="20"/>
          <w:color w:val="auto"/>
        </w:rPr>
      </w:pPr>
      <w:r>
        <w:rPr>
          <w:rFonts w:ascii="Arial" w:cs="Arial" w:eastAsia="Arial" w:hAnsi="Arial"/>
          <w:sz w:val="16"/>
          <w:szCs w:val="16"/>
          <w:color w:val="auto"/>
        </w:rPr>
        <w:t>Pursuant to the terms of the grant notice and stock option agreement between the undersigned and Monte Rosa Therapeutics, Inc. (the “Company”) dated __________ (the “Agreement”) under the Monte Rosa Therapeutics, Inc. 2020 Stock Option and Grant Plan, I, [Insert 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hereby [Circle One] partially/fully exercise such option by including herein payment in the amount of $______ representing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for [Fill in number of Shares] _______ Shares. I have chosen the following form(s) of payment:</w:t>
      </w:r>
    </w:p>
    <w:p>
      <w:pPr>
        <w:spacing w:after="0" w:line="235" w:lineRule="exact"/>
        <w:rPr>
          <w:sz w:val="20"/>
          <w:szCs w:val="20"/>
          <w:color w:val="auto"/>
        </w:rPr>
      </w:pPr>
    </w:p>
    <w:p>
      <w:pPr>
        <w:ind w:left="1180" w:hanging="290"/>
        <w:spacing w:after="0"/>
        <w:tabs>
          <w:tab w:leader="none" w:pos="1180" w:val="left"/>
        </w:tabs>
        <w:numPr>
          <w:ilvl w:val="0"/>
          <w:numId w:val="312"/>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13" w:lineRule="exact"/>
        <w:rPr>
          <w:rFonts w:ascii="MS PGothic" w:cs="MS PGothic" w:eastAsia="MS PGothic" w:hAnsi="MS PGothic"/>
          <w:sz w:val="18"/>
          <w:szCs w:val="18"/>
          <w:color w:val="auto"/>
        </w:rPr>
      </w:pPr>
    </w:p>
    <w:p>
      <w:pPr>
        <w:ind w:left="1180" w:hanging="290"/>
        <w:spacing w:after="0"/>
        <w:tabs>
          <w:tab w:leader="none" w:pos="1180" w:val="left"/>
        </w:tabs>
        <w:numPr>
          <w:ilvl w:val="0"/>
          <w:numId w:val="312"/>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Monte Rosa Therapeutics, Inc.</w:t>
      </w:r>
    </w:p>
    <w:p>
      <w:pPr>
        <w:spacing w:after="0" w:line="113" w:lineRule="exact"/>
        <w:rPr>
          <w:rFonts w:ascii="MS PGothic" w:cs="MS PGothic" w:eastAsia="MS PGothic" w:hAnsi="MS PGothic"/>
          <w:sz w:val="18"/>
          <w:szCs w:val="18"/>
          <w:color w:val="auto"/>
        </w:rPr>
      </w:pPr>
    </w:p>
    <w:p>
      <w:pPr>
        <w:ind w:left="1180" w:hanging="290"/>
        <w:spacing w:after="0"/>
        <w:tabs>
          <w:tab w:leader="none" w:pos="1180" w:val="left"/>
        </w:tabs>
        <w:numPr>
          <w:ilvl w:val="0"/>
          <w:numId w:val="312"/>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22" w:lineRule="exact"/>
        <w:rPr>
          <w:rFonts w:ascii="MS PGothic" w:cs="MS PGothic" w:eastAsia="MS PGothic" w:hAnsi="MS PGothic"/>
          <w:sz w:val="18"/>
          <w:szCs w:val="18"/>
          <w:color w:val="auto"/>
        </w:rPr>
      </w:pPr>
    </w:p>
    <w:p>
      <w:pPr>
        <w:ind w:left="140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4" w:lineRule="exact"/>
        <w:rPr>
          <w:sz w:val="20"/>
          <w:szCs w:val="20"/>
          <w:color w:val="auto"/>
        </w:rPr>
      </w:pPr>
    </w:p>
    <w:p>
      <w:pPr>
        <w:ind w:left="1600" w:hanging="213"/>
        <w:spacing w:after="0"/>
        <w:tabs>
          <w:tab w:leader="none" w:pos="16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for resale or with a view to the distribution thereof.</w:t>
      </w:r>
    </w:p>
    <w:p>
      <w:pPr>
        <w:spacing w:after="0" w:line="136" w:lineRule="exact"/>
        <w:rPr>
          <w:rFonts w:ascii="Arial" w:cs="Arial" w:eastAsia="Arial" w:hAnsi="Arial"/>
          <w:sz w:val="16"/>
          <w:szCs w:val="16"/>
          <w:color w:val="auto"/>
        </w:rPr>
      </w:pPr>
    </w:p>
    <w:p>
      <w:pPr>
        <w:ind w:left="440" w:firstLine="947"/>
        <w:spacing w:after="0" w:line="259" w:lineRule="auto"/>
        <w:tabs>
          <w:tab w:leader="none" w:pos="164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8" w:lineRule="exact"/>
        <w:rPr>
          <w:rFonts w:ascii="Arial" w:cs="Arial" w:eastAsia="Arial" w:hAnsi="Arial"/>
          <w:sz w:val="18"/>
          <w:szCs w:val="18"/>
          <w:color w:val="auto"/>
        </w:rPr>
      </w:pPr>
    </w:p>
    <w:p>
      <w:pPr>
        <w:ind w:left="440" w:right="20" w:firstLine="947"/>
        <w:spacing w:after="0" w:line="271" w:lineRule="auto"/>
        <w:tabs>
          <w:tab w:leader="none" w:pos="169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7" w:lineRule="exact"/>
        <w:rPr>
          <w:rFonts w:ascii="Arial" w:cs="Arial" w:eastAsia="Arial" w:hAnsi="Arial"/>
          <w:sz w:val="18"/>
          <w:szCs w:val="18"/>
          <w:color w:val="auto"/>
        </w:rPr>
      </w:pPr>
    </w:p>
    <w:p>
      <w:pPr>
        <w:ind w:left="440" w:right="500" w:firstLine="947"/>
        <w:spacing w:after="0" w:line="271" w:lineRule="auto"/>
        <w:tabs>
          <w:tab w:leader="none" w:pos="168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can afford a complete loss of the value of the Shares and am able to bear the economic risk of holding such Shares for an indefinite period of time.</w:t>
      </w:r>
    </w:p>
    <w:p>
      <w:pPr>
        <w:spacing w:after="0" w:line="67" w:lineRule="exact"/>
        <w:rPr>
          <w:rFonts w:ascii="Arial" w:cs="Arial" w:eastAsia="Arial" w:hAnsi="Arial"/>
          <w:sz w:val="18"/>
          <w:szCs w:val="18"/>
          <w:color w:val="auto"/>
        </w:rPr>
      </w:pPr>
    </w:p>
    <w:p>
      <w:pPr>
        <w:ind w:left="440" w:right="20" w:firstLine="947"/>
        <w:spacing w:after="0" w:line="252" w:lineRule="auto"/>
        <w:tabs>
          <w:tab w:leader="none" w:pos="163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8" w:right="499" w:bottom="1440" w:gutter="0" w:footer="0" w:header="0"/>
        </w:sectPr>
      </w:pPr>
    </w:p>
    <w:bookmarkStart w:id="420" w:name="page421"/>
    <w:bookmarkEnd w:id="420"/>
    <w:p>
      <w:pPr>
        <w:ind w:left="-40" w:right="340" w:firstLine="990"/>
        <w:spacing w:after="0" w:line="271" w:lineRule="auto"/>
        <w:tabs>
          <w:tab w:leader="none" w:pos="12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have read and understand the Plan and acknowledge and agree that the Shares are subject to all of the relevant terms of the Plan, including without limitation, the transfer restrictions set forth in Section 9 of the Plan.</w:t>
      </w:r>
    </w:p>
    <w:p>
      <w:pPr>
        <w:spacing w:after="0" w:line="67" w:lineRule="exact"/>
        <w:rPr>
          <w:rFonts w:ascii="Arial" w:cs="Arial" w:eastAsia="Arial" w:hAnsi="Arial"/>
          <w:sz w:val="18"/>
          <w:szCs w:val="18"/>
          <w:color w:val="auto"/>
        </w:rPr>
      </w:pPr>
    </w:p>
    <w:p>
      <w:pPr>
        <w:ind w:left="1300" w:hanging="350"/>
        <w:spacing w:after="0"/>
        <w:tabs>
          <w:tab w:leader="none" w:pos="13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 Plan.</w:t>
      </w:r>
    </w:p>
    <w:p>
      <w:pPr>
        <w:spacing w:after="0" w:line="136" w:lineRule="exact"/>
        <w:rPr>
          <w:rFonts w:ascii="Arial" w:cs="Arial" w:eastAsia="Arial" w:hAnsi="Arial"/>
          <w:sz w:val="16"/>
          <w:szCs w:val="16"/>
          <w:color w:val="auto"/>
        </w:rPr>
      </w:pPr>
    </w:p>
    <w:p>
      <w:pPr>
        <w:ind w:left="1360" w:hanging="410"/>
        <w:spacing w:after="0"/>
        <w:tabs>
          <w:tab w:leader="none" w:pos="136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I understand and agree that the Company has certain repurchase rights with respect to the Shares pursuant to Section 9(c) of the Plan.</w:t>
      </w:r>
    </w:p>
    <w:p>
      <w:pPr>
        <w:spacing w:after="0" w:line="159" w:lineRule="exact"/>
        <w:rPr>
          <w:rFonts w:ascii="Arial" w:cs="Arial" w:eastAsia="Arial" w:hAnsi="Arial"/>
          <w:sz w:val="14"/>
          <w:szCs w:val="14"/>
          <w:color w:val="auto"/>
        </w:rPr>
      </w:pPr>
    </w:p>
    <w:p>
      <w:pPr>
        <w:ind w:left="-40" w:right="280" w:firstLine="990"/>
        <w:spacing w:after="0" w:line="271" w:lineRule="auto"/>
        <w:tabs>
          <w:tab w:leader="none" w:pos="12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67" w:lineRule="exact"/>
        <w:rPr>
          <w:rFonts w:ascii="Arial" w:cs="Arial" w:eastAsia="Arial" w:hAnsi="Arial"/>
          <w:sz w:val="18"/>
          <w:szCs w:val="18"/>
          <w:color w:val="auto"/>
        </w:rPr>
      </w:pPr>
    </w:p>
    <w:p>
      <w:pPr>
        <w:ind w:left="1200" w:hanging="250"/>
        <w:spacing w:after="0"/>
        <w:tabs>
          <w:tab w:leader="none" w:pos="12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understand and agree to the waiver of statutory information rights as set forth in Section 8 of the Agreement.</w:t>
      </w: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285115</wp:posOffset>
            </wp:positionV>
            <wp:extent cx="27686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285115</wp:posOffset>
            </wp:positionV>
            <wp:extent cx="27686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574040</wp:posOffset>
            </wp:positionV>
            <wp:extent cx="27686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862965</wp:posOffset>
            </wp:positionV>
            <wp:extent cx="27686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-11430</wp:posOffset>
            </wp:positionV>
            <wp:extent cx="22072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20726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123825</wp:posOffset>
            </wp:positionV>
            <wp:extent cx="39624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520" w:top="272" w:right="539"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STOCK AWARD NOTICE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right="120" w:firstLine="436"/>
        <w:spacing w:after="0" w:line="282" w:lineRule="auto"/>
        <w:rPr>
          <w:sz w:val="20"/>
          <w:szCs w:val="20"/>
          <w:color w:val="auto"/>
        </w:rPr>
      </w:pPr>
      <w:r>
        <w:rPr>
          <w:rFonts w:ascii="Arial" w:cs="Arial" w:eastAsia="Arial" w:hAnsi="Arial"/>
          <w:sz w:val="16"/>
          <w:szCs w:val="16"/>
          <w:color w:val="auto"/>
        </w:rPr>
        <w:t>Pursuant to the Monte Rosa Therapeutics, Inc. 2020 Stock Option and Grant Plan (the “Plan”), Monte Rosa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Arial" w:cs="Arial" w:eastAsia="Arial" w:hAnsi="Arial"/>
          <w:sz w:val="16"/>
          <w:szCs w:val="16"/>
          <w:b w:val="1"/>
          <w:bCs w:val="1"/>
          <w:color w:val="auto"/>
        </w:rPr>
        <w:t>[_______]</w:t>
      </w:r>
      <w:r>
        <w:rPr>
          <w:rFonts w:ascii="Arial" w:cs="Arial" w:eastAsia="Arial" w:hAnsi="Arial"/>
          <w:sz w:val="16"/>
          <w:szCs w:val="16"/>
          <w:color w:val="auto"/>
        </w:rPr>
        <w:t xml:space="preserve"> in</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ectPr>
          <w:pgSz w:w="11900" w:h="16838" w:orient="portrait"/>
          <w:cols w:equalWidth="0" w:num="1">
            <w:col w:w="10920"/>
          </w:cols>
          <w:pgMar w:left="480" w:top="268" w:right="49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(the “Grantee”)</w:t>
      </w:r>
    </w:p>
    <w:p>
      <w:pPr>
        <w:spacing w:after="0" w:line="200" w:lineRule="exact"/>
        <w:rPr>
          <w:sz w:val="20"/>
          <w:szCs w:val="20"/>
          <w:color w:val="auto"/>
        </w:rPr>
      </w:pPr>
    </w:p>
    <w:p>
      <w:pPr>
        <w:sectPr>
          <w:pgSz w:w="11900" w:h="16838" w:orient="portrait"/>
          <w:cols w:equalWidth="0" w:num="2">
            <w:col w:w="2020" w:space="720"/>
            <w:col w:w="818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 of Shares: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 Shares of Common Stock (the “Shares”)</w:t>
      </w:r>
    </w:p>
    <w:p>
      <w:pPr>
        <w:spacing w:after="0" w:line="200" w:lineRule="exact"/>
        <w:rPr>
          <w:sz w:val="20"/>
          <w:szCs w:val="20"/>
          <w:color w:val="auto"/>
        </w:rPr>
      </w:pPr>
    </w:p>
    <w:p>
      <w:pPr>
        <w:sectPr>
          <w:pgSz w:w="11900" w:h="16838" w:orient="portrait"/>
          <w:cols w:equalWidth="0" w:num="2">
            <w:col w:w="2020" w:space="720"/>
            <w:col w:w="818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 ____</w:t>
      </w:r>
    </w:p>
    <w:p>
      <w:pPr>
        <w:spacing w:after="0" w:line="200" w:lineRule="exact"/>
        <w:rPr>
          <w:sz w:val="20"/>
          <w:szCs w:val="20"/>
          <w:color w:val="auto"/>
        </w:rPr>
      </w:pPr>
    </w:p>
    <w:p>
      <w:pPr>
        <w:sectPr>
          <w:pgSz w:w="11900" w:h="16838" w:orient="portrait"/>
          <w:cols w:equalWidth="0" w:num="2">
            <w:col w:w="2020" w:space="720"/>
            <w:col w:w="818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Date of Purchase of Shares: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 ____</w:t>
      </w:r>
    </w:p>
    <w:p>
      <w:pPr>
        <w:spacing w:after="0" w:line="200" w:lineRule="exact"/>
        <w:rPr>
          <w:sz w:val="20"/>
          <w:szCs w:val="20"/>
          <w:color w:val="auto"/>
        </w:rPr>
      </w:pPr>
    </w:p>
    <w:p>
      <w:pPr>
        <w:sectPr>
          <w:pgSz w:w="11900" w:h="16838" w:orient="portrait"/>
          <w:cols w:equalWidth="0" w:num="2">
            <w:col w:w="2020" w:space="720"/>
            <w:col w:w="818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 ____ (the “Vesting Commencement Date”)</w:t>
      </w:r>
    </w:p>
    <w:p>
      <w:pPr>
        <w:spacing w:after="0" w:line="200" w:lineRule="exact"/>
        <w:rPr>
          <w:sz w:val="20"/>
          <w:szCs w:val="20"/>
          <w:color w:val="auto"/>
        </w:rPr>
      </w:pPr>
    </w:p>
    <w:p>
      <w:pPr>
        <w:sectPr>
          <w:pgSz w:w="11900" w:h="16838" w:orient="portrait"/>
          <w:cols w:equalWidth="0" w:num="2">
            <w:col w:w="2180" w:space="560"/>
            <w:col w:w="818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Per Share Purchase Price: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$________ (the “Per Share Purchase Price”)</w:t>
      </w:r>
    </w:p>
    <w:p>
      <w:pPr>
        <w:spacing w:after="0" w:line="200" w:lineRule="exact"/>
        <w:rPr>
          <w:sz w:val="20"/>
          <w:szCs w:val="20"/>
          <w:color w:val="auto"/>
        </w:rPr>
      </w:pPr>
    </w:p>
    <w:p>
      <w:pPr>
        <w:sectPr>
          <w:pgSz w:w="11900" w:h="16838" w:orient="portrait"/>
          <w:cols w:equalWidth="0" w:num="2">
            <w:col w:w="2020" w:space="720"/>
            <w:col w:w="8180"/>
          </w:cols>
          <w:pgMar w:left="480" w:top="268" w:right="49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25 percent of the Shares shall vest on the first anniversary of the Vesting Commencement Date; provided that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Grantee continues to have a Service Relationship with the Company at such time. Thereafter, the remaining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75 percent of the Shares shall vest in 36 equal monthly installments following the first anniversary of the Vesting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provided the Grantee continues to have a Service Relationship with the Company at such</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time. Notwithstanding anything in the Agreement to the contrary in the case of a Sale Event, the Shares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shall be treated as provided in Section 3(c)</w:t>
      </w:r>
    </w:p>
    <w:p>
      <w:pPr>
        <w:sectPr>
          <w:pgSz w:w="11900" w:h="16838" w:orient="portrait"/>
          <w:cols w:equalWidth="0" w:num="2">
            <w:col w:w="2020" w:space="720"/>
            <w:col w:w="8180"/>
          </w:cols>
          <w:pgMar w:left="480" w:top="268" w:right="499" w:bottom="1440" w:gutter="0" w:footer="0" w:header="0"/>
          <w:type w:val="continuous"/>
        </w:sectPr>
      </w:pPr>
    </w:p>
    <w:bookmarkStart w:id="422" w:name="page423"/>
    <w:bookmarkEnd w:id="422"/>
    <w:p>
      <w:pPr>
        <w:ind w:left="6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of the Plan </w:t>
      </w:r>
      <w:r>
        <w:rPr>
          <w:rFonts w:ascii="Arial" w:cs="Arial" w:eastAsia="Arial" w:hAnsi="Arial"/>
          <w:sz w:val="18"/>
          <w:szCs w:val="18"/>
          <w:b w:val="1"/>
          <w:bCs w:val="1"/>
          <w:color w:val="auto"/>
        </w:rPr>
        <w:t>[provided; however INSERT ANY</w:t>
      </w:r>
    </w:p>
    <w:p>
      <w:pPr>
        <w:spacing w:after="0" w:line="24"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ACCELERATED VESTING PROVISION HERE]</w:t>
      </w:r>
      <w:r>
        <w:rPr>
          <w:rFonts w:ascii="Arial" w:cs="Arial" w:eastAsia="Arial" w:hAnsi="Arial"/>
          <w:sz w:val="15"/>
          <w:szCs w:val="15"/>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Attachments: Restricted Stock Agreement, 2020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221678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79"/>
          </w:cols>
          <w:pgMar w:left="480" w:top="268" w:right="1440"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STOCK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MONTE ROSA THERAPEUTICS,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STOCK OPTION AND GRANT PLAN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125" w:lineRule="exact"/>
        <w:rPr>
          <w:sz w:val="20"/>
          <w:szCs w:val="20"/>
          <w:color w:val="auto"/>
        </w:rPr>
      </w:pPr>
    </w:p>
    <w:p>
      <w:pPr>
        <w:ind w:left="580" w:hanging="176"/>
        <w:spacing w:after="0"/>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 Vesting; Investment Representations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0" w:right="340" w:firstLine="990"/>
        <w:spacing w:after="0" w:line="271" w:lineRule="auto"/>
        <w:tabs>
          <w:tab w:leader="none" w:pos="1184"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The Company hereby sells to the Grantee, and the Grantee hereby purchases from the Company, the number of Shares set forth in the Award Notice for the Per Share Purchase Price.</w:t>
      </w:r>
    </w:p>
    <w:p>
      <w:pPr>
        <w:spacing w:after="0" w:line="67" w:lineRule="exact"/>
        <w:rPr>
          <w:rFonts w:ascii="Arial" w:cs="Arial" w:eastAsia="Arial" w:hAnsi="Arial"/>
          <w:sz w:val="18"/>
          <w:szCs w:val="18"/>
          <w:color w:val="auto"/>
        </w:rPr>
      </w:pPr>
    </w:p>
    <w:p>
      <w:pPr>
        <w:ind w:left="-40" w:right="20" w:firstLine="990"/>
        <w:spacing w:after="0" w:line="335" w:lineRule="auto"/>
        <w:tabs>
          <w:tab w:leader="none" w:pos="1194"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21" w:lineRule="exact"/>
        <w:rPr>
          <w:rFonts w:ascii="Arial" w:cs="Arial" w:eastAsia="Arial" w:hAnsi="Arial"/>
          <w:sz w:val="16"/>
          <w:szCs w:val="16"/>
          <w:color w:val="auto"/>
        </w:rPr>
      </w:pPr>
    </w:p>
    <w:p>
      <w:pPr>
        <w:ind w:left="-40" w:right="180" w:firstLine="990"/>
        <w:spacing w:after="0" w:line="271" w:lineRule="auto"/>
        <w:tabs>
          <w:tab w:leader="none" w:pos="1184"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In connection with the purchase and sale of the Shares contemplated by Section 1(a) above, the Grantee hereby represents and warrants to the Company as follows:</w:t>
      </w:r>
    </w:p>
    <w:p>
      <w:pPr>
        <w:spacing w:after="0" w:line="67" w:lineRule="exact"/>
        <w:rPr>
          <w:rFonts w:ascii="Arial" w:cs="Arial" w:eastAsia="Arial" w:hAnsi="Arial"/>
          <w:sz w:val="18"/>
          <w:szCs w:val="18"/>
          <w:color w:val="auto"/>
        </w:rPr>
      </w:pPr>
    </w:p>
    <w:p>
      <w:pPr>
        <w:ind w:left="400" w:right="160" w:firstLine="947"/>
        <w:spacing w:after="0" w:line="271" w:lineRule="auto"/>
        <w:tabs>
          <w:tab w:leader="none" w:pos="1556"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Grantee is purchasing the Shares for the Grantee’s own account for investment only, and not for resale or with a view to the distribution thereof.</w:t>
      </w:r>
    </w:p>
    <w:p>
      <w:pPr>
        <w:spacing w:after="0" w:line="67" w:lineRule="exact"/>
        <w:rPr>
          <w:rFonts w:ascii="Arial" w:cs="Arial" w:eastAsia="Arial" w:hAnsi="Arial"/>
          <w:sz w:val="18"/>
          <w:szCs w:val="18"/>
          <w:color w:val="auto"/>
        </w:rPr>
      </w:pPr>
    </w:p>
    <w:p>
      <w:pPr>
        <w:jc w:val="both"/>
        <w:ind w:left="400" w:right="160" w:firstLine="947"/>
        <w:spacing w:after="0" w:line="259" w:lineRule="auto"/>
        <w:tabs>
          <w:tab w:leader="none" w:pos="160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78" w:lineRule="exact"/>
        <w:rPr>
          <w:rFonts w:ascii="Arial" w:cs="Arial" w:eastAsia="Arial" w:hAnsi="Arial"/>
          <w:sz w:val="18"/>
          <w:szCs w:val="18"/>
          <w:color w:val="auto"/>
        </w:rPr>
      </w:pPr>
    </w:p>
    <w:p>
      <w:pPr>
        <w:ind w:left="400" w:right="180" w:firstLine="947"/>
        <w:spacing w:after="0" w:line="271" w:lineRule="auto"/>
        <w:tabs>
          <w:tab w:leader="none" w:pos="165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67" w:lineRule="exact"/>
        <w:rPr>
          <w:rFonts w:ascii="Arial" w:cs="Arial" w:eastAsia="Arial" w:hAnsi="Arial"/>
          <w:sz w:val="18"/>
          <w:szCs w:val="18"/>
          <w:color w:val="auto"/>
        </w:rPr>
      </w:pPr>
    </w:p>
    <w:p>
      <w:pPr>
        <w:ind w:left="400" w:right="200" w:firstLine="947"/>
        <w:spacing w:after="0" w:line="271" w:lineRule="auto"/>
        <w:tabs>
          <w:tab w:leader="none" w:pos="164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Grantee can afford a complete loss of the value of the Shares and is able to bear the economic risk of holding such Shares for an indefinite period.</w:t>
      </w:r>
    </w:p>
    <w:p>
      <w:pPr>
        <w:spacing w:after="0" w:line="67" w:lineRule="exact"/>
        <w:rPr>
          <w:rFonts w:ascii="Arial" w:cs="Arial" w:eastAsia="Arial" w:hAnsi="Arial"/>
          <w:sz w:val="18"/>
          <w:szCs w:val="18"/>
          <w:color w:val="auto"/>
        </w:rPr>
      </w:pPr>
    </w:p>
    <w:p>
      <w:pPr>
        <w:ind w:left="400" w:firstLine="947"/>
        <w:spacing w:after="0" w:line="252" w:lineRule="auto"/>
        <w:tabs>
          <w:tab w:leader="none" w:pos="159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68" w:right="539" w:bottom="1440" w:gutter="0" w:footer="0" w:header="0"/>
        </w:sectPr>
      </w:pPr>
    </w:p>
    <w:bookmarkStart w:id="424" w:name="page425"/>
    <w:bookmarkEnd w:id="424"/>
    <w:p>
      <w:pPr>
        <w:ind w:left="400" w:right="320" w:firstLine="947"/>
        <w:spacing w:after="0" w:line="271" w:lineRule="auto"/>
        <w:tabs>
          <w:tab w:leader="none" w:pos="1645" w:val="left"/>
        </w:tabs>
        <w:numPr>
          <w:ilvl w:val="2"/>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67" w:lineRule="exact"/>
        <w:rPr>
          <w:rFonts w:ascii="Arial" w:cs="Arial" w:eastAsia="Arial" w:hAnsi="Arial"/>
          <w:sz w:val="18"/>
          <w:szCs w:val="18"/>
          <w:color w:val="auto"/>
        </w:rPr>
      </w:pPr>
    </w:p>
    <w:p>
      <w:pPr>
        <w:ind w:left="400" w:right="700" w:firstLine="947"/>
        <w:spacing w:after="0" w:line="271" w:lineRule="auto"/>
        <w:tabs>
          <w:tab w:leader="none" w:pos="1694"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Grantee understands and agrees that the Company has a right of first refusal with respect to the Shares pursuant to Section 9(b) of the Plan.</w:t>
      </w:r>
    </w:p>
    <w:p>
      <w:pPr>
        <w:spacing w:after="0" w:line="67" w:lineRule="exact"/>
        <w:rPr>
          <w:rFonts w:ascii="Arial" w:cs="Arial" w:eastAsia="Arial" w:hAnsi="Arial"/>
          <w:sz w:val="18"/>
          <w:szCs w:val="18"/>
          <w:color w:val="auto"/>
        </w:rPr>
      </w:pPr>
    </w:p>
    <w:p>
      <w:pPr>
        <w:ind w:left="400" w:right="480" w:firstLine="947"/>
        <w:spacing w:after="0" w:line="271" w:lineRule="auto"/>
        <w:tabs>
          <w:tab w:leader="none" w:pos="1744"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Grantee understands and agree that the Company has certain repurchase rights with respect to the Shares pursuant to Section 9(c) of the Plan.</w:t>
      </w:r>
    </w:p>
    <w:p>
      <w:pPr>
        <w:spacing w:after="0" w:line="67" w:lineRule="exact"/>
        <w:rPr>
          <w:rFonts w:ascii="Arial" w:cs="Arial" w:eastAsia="Arial" w:hAnsi="Arial"/>
          <w:sz w:val="18"/>
          <w:szCs w:val="18"/>
          <w:color w:val="auto"/>
        </w:rPr>
      </w:pPr>
    </w:p>
    <w:p>
      <w:pPr>
        <w:ind w:left="400" w:right="200" w:firstLine="947"/>
        <w:spacing w:after="0" w:line="301" w:lineRule="auto"/>
        <w:tabs>
          <w:tab w:leader="none" w:pos="1645" w:val="left"/>
        </w:tabs>
        <w:numPr>
          <w:ilvl w:val="2"/>
          <w:numId w:val="316"/>
        </w:numPr>
        <w:rPr>
          <w:rFonts w:ascii="Arial" w:cs="Arial" w:eastAsia="Arial" w:hAnsi="Arial"/>
          <w:sz w:val="17"/>
          <w:szCs w:val="17"/>
          <w:color w:val="auto"/>
        </w:rPr>
      </w:pPr>
      <w:r>
        <w:rPr>
          <w:rFonts w:ascii="Arial" w:cs="Arial" w:eastAsia="Arial" w:hAnsi="Arial"/>
          <w:sz w:val="17"/>
          <w:szCs w:val="17"/>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44" w:lineRule="exact"/>
        <w:rPr>
          <w:rFonts w:ascii="Arial" w:cs="Arial" w:eastAsia="Arial" w:hAnsi="Arial"/>
          <w:sz w:val="17"/>
          <w:szCs w:val="17"/>
          <w:color w:val="auto"/>
        </w:rPr>
      </w:pPr>
    </w:p>
    <w:p>
      <w:pPr>
        <w:ind w:left="-40" w:firstLine="444"/>
        <w:spacing w:after="0" w:line="271" w:lineRule="auto"/>
        <w:tabs>
          <w:tab w:leader="none" w:pos="57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67" w:lineRule="exact"/>
        <w:rPr>
          <w:rFonts w:ascii="Arial" w:cs="Arial" w:eastAsia="Arial" w:hAnsi="Arial"/>
          <w:sz w:val="18"/>
          <w:szCs w:val="18"/>
          <w:color w:val="auto"/>
        </w:rPr>
      </w:pPr>
    </w:p>
    <w:p>
      <w:pPr>
        <w:ind w:left="-40" w:right="460" w:firstLine="444"/>
        <w:spacing w:after="0" w:line="271" w:lineRule="auto"/>
        <w:tabs>
          <w:tab w:leader="none" w:pos="57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(whether or not vested) shall be subject to certain transfer restrictions and other limitations including, without limitation, the provisions contained in Section 9 of the Plan</w:t>
      </w:r>
    </w:p>
    <w:p>
      <w:pPr>
        <w:spacing w:after="0" w:line="67" w:lineRule="exact"/>
        <w:rPr>
          <w:rFonts w:ascii="Arial" w:cs="Arial" w:eastAsia="Arial" w:hAnsi="Arial"/>
          <w:sz w:val="18"/>
          <w:szCs w:val="18"/>
          <w:color w:val="auto"/>
        </w:rPr>
      </w:pPr>
    </w:p>
    <w:p>
      <w:pPr>
        <w:ind w:left="-40" w:right="120" w:firstLine="444"/>
        <w:spacing w:after="0" w:line="271" w:lineRule="auto"/>
        <w:tabs>
          <w:tab w:leader="none" w:pos="57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Restricted Stock Award shall be subject to and governed by all the terms and conditions of the Plan.</w:t>
      </w:r>
    </w:p>
    <w:p>
      <w:pPr>
        <w:spacing w:after="0" w:line="67" w:lineRule="exact"/>
        <w:rPr>
          <w:rFonts w:ascii="Arial" w:cs="Arial" w:eastAsia="Arial" w:hAnsi="Arial"/>
          <w:sz w:val="18"/>
          <w:szCs w:val="18"/>
          <w:color w:val="auto"/>
        </w:rPr>
      </w:pPr>
    </w:p>
    <w:p>
      <w:pPr>
        <w:ind w:left="580" w:hanging="176"/>
        <w:spacing w:after="0"/>
        <w:tabs>
          <w:tab w:leader="none" w:pos="58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0" w:right="100" w:firstLine="990"/>
        <w:spacing w:after="0" w:line="255" w:lineRule="auto"/>
        <w:tabs>
          <w:tab w:leader="none" w:pos="1184"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Record Owner; Dividends</w:t>
      </w:r>
      <w:r>
        <w:rPr>
          <w:rFonts w:ascii="Arial" w:cs="Arial" w:eastAsia="Arial" w:hAnsi="Arial"/>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is under no duty to declare any such dividends or to make any such distribution.</w:t>
      </w:r>
    </w:p>
    <w:p>
      <w:pPr>
        <w:spacing w:after="0" w:line="83" w:lineRule="exact"/>
        <w:rPr>
          <w:rFonts w:ascii="Arial" w:cs="Arial" w:eastAsia="Arial" w:hAnsi="Arial"/>
          <w:sz w:val="18"/>
          <w:szCs w:val="18"/>
          <w:color w:val="auto"/>
        </w:rPr>
      </w:pPr>
    </w:p>
    <w:p>
      <w:pPr>
        <w:ind w:left="-40" w:right="40" w:firstLine="990"/>
        <w:spacing w:after="0" w:line="297" w:lineRule="auto"/>
        <w:tabs>
          <w:tab w:leader="none" w:pos="1194"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A sample Section 83(b) election is attached to this Agreement as Exhibit A.</w:t>
      </w:r>
    </w:p>
    <w:p>
      <w:pPr>
        <w:spacing w:after="0" w:line="52" w:lineRule="exact"/>
        <w:rPr>
          <w:rFonts w:ascii="Arial" w:cs="Arial" w:eastAsia="Arial" w:hAnsi="Arial"/>
          <w:sz w:val="16"/>
          <w:szCs w:val="16"/>
          <w:color w:val="auto"/>
        </w:rPr>
      </w:pPr>
    </w:p>
    <w:p>
      <w:pPr>
        <w:ind w:left="-40" w:right="420" w:firstLine="990"/>
        <w:spacing w:after="0" w:line="335" w:lineRule="auto"/>
        <w:tabs>
          <w:tab w:leader="none" w:pos="1184"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72" w:right="519" w:bottom="1440" w:gutter="0" w:footer="0" w:header="0"/>
        </w:sectPr>
      </w:pPr>
    </w:p>
    <w:bookmarkStart w:id="425" w:name="page426"/>
    <w:bookmarkEnd w:id="425"/>
    <w:p>
      <w:pPr>
        <w:ind w:left="-20" w:right="120" w:firstLine="990"/>
        <w:spacing w:after="0" w:line="335" w:lineRule="auto"/>
        <w:tabs>
          <w:tab w:leader="none" w:pos="1214"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21" w:lineRule="exact"/>
        <w:rPr>
          <w:rFonts w:ascii="Arial" w:cs="Arial" w:eastAsia="Arial" w:hAnsi="Arial"/>
          <w:sz w:val="16"/>
          <w:szCs w:val="16"/>
          <w:color w:val="auto"/>
        </w:rPr>
      </w:pPr>
    </w:p>
    <w:p>
      <w:pPr>
        <w:ind w:left="-20" w:right="320" w:firstLine="990"/>
        <w:spacing w:after="0" w:line="335" w:lineRule="auto"/>
        <w:tabs>
          <w:tab w:leader="none" w:pos="1204"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Delaware, without regard to conflict of law principles that would result in the application of any law other than the law of the State of Delaware.</w:t>
      </w:r>
    </w:p>
    <w:p>
      <w:pPr>
        <w:spacing w:after="0" w:line="21" w:lineRule="exact"/>
        <w:rPr>
          <w:rFonts w:ascii="Arial" w:cs="Arial" w:eastAsia="Arial" w:hAnsi="Arial"/>
          <w:sz w:val="16"/>
          <w:szCs w:val="16"/>
          <w:color w:val="auto"/>
        </w:rPr>
      </w:pPr>
    </w:p>
    <w:p>
      <w:pPr>
        <w:ind w:left="-20" w:right="340" w:firstLine="990"/>
        <w:spacing w:after="0" w:line="271" w:lineRule="auto"/>
        <w:tabs>
          <w:tab w:leader="none" w:pos="1185"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7" w:lineRule="exact"/>
        <w:rPr>
          <w:rFonts w:ascii="Arial" w:cs="Arial" w:eastAsia="Arial" w:hAnsi="Arial"/>
          <w:sz w:val="18"/>
          <w:szCs w:val="18"/>
          <w:color w:val="auto"/>
        </w:rPr>
      </w:pPr>
    </w:p>
    <w:p>
      <w:pPr>
        <w:ind w:left="-20" w:right="100" w:firstLine="990"/>
        <w:spacing w:after="0" w:line="271" w:lineRule="auto"/>
        <w:tabs>
          <w:tab w:leader="none" w:pos="1214"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7" w:lineRule="exact"/>
        <w:rPr>
          <w:rFonts w:ascii="Arial" w:cs="Arial" w:eastAsia="Arial" w:hAnsi="Arial"/>
          <w:sz w:val="18"/>
          <w:szCs w:val="18"/>
          <w:color w:val="auto"/>
        </w:rPr>
      </w:pPr>
    </w:p>
    <w:p>
      <w:pPr>
        <w:ind w:left="-20" w:firstLine="990"/>
        <w:spacing w:after="0" w:line="255" w:lineRule="auto"/>
        <w:tabs>
          <w:tab w:leader="none" w:pos="1214"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83" w:lineRule="exact"/>
        <w:rPr>
          <w:rFonts w:ascii="Arial" w:cs="Arial" w:eastAsia="Arial" w:hAnsi="Arial"/>
          <w:sz w:val="18"/>
          <w:szCs w:val="18"/>
          <w:color w:val="auto"/>
        </w:rPr>
      </w:pPr>
    </w:p>
    <w:p>
      <w:pPr>
        <w:jc w:val="both"/>
        <w:ind w:left="-20" w:right="260" w:firstLine="990"/>
        <w:spacing w:after="0" w:line="259" w:lineRule="auto"/>
        <w:tabs>
          <w:tab w:leader="none" w:pos="1175"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78" w:lineRule="exact"/>
        <w:rPr>
          <w:rFonts w:ascii="Arial" w:cs="Arial" w:eastAsia="Arial" w:hAnsi="Arial"/>
          <w:sz w:val="18"/>
          <w:szCs w:val="18"/>
          <w:color w:val="auto"/>
        </w:rPr>
      </w:pPr>
    </w:p>
    <w:p>
      <w:pPr>
        <w:ind w:left="-20" w:right="880" w:firstLine="990"/>
        <w:spacing w:after="0" w:line="301" w:lineRule="auto"/>
        <w:tabs>
          <w:tab w:leader="none" w:pos="1175"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44" w:lineRule="exact"/>
        <w:rPr>
          <w:rFonts w:ascii="Arial" w:cs="Arial" w:eastAsia="Arial" w:hAnsi="Arial"/>
          <w:sz w:val="17"/>
          <w:szCs w:val="17"/>
          <w:color w:val="auto"/>
        </w:rPr>
      </w:pPr>
    </w:p>
    <w:p>
      <w:pPr>
        <w:ind w:left="-20" w:right="280" w:firstLine="990"/>
        <w:spacing w:after="0" w:line="271" w:lineRule="auto"/>
        <w:tabs>
          <w:tab w:leader="none" w:pos="1214"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7" w:lineRule="exact"/>
        <w:rPr>
          <w:rFonts w:ascii="Arial" w:cs="Arial" w:eastAsia="Arial" w:hAnsi="Arial"/>
          <w:sz w:val="18"/>
          <w:szCs w:val="18"/>
          <w:color w:val="auto"/>
        </w:rPr>
      </w:pPr>
    </w:p>
    <w:p>
      <w:pPr>
        <w:ind w:left="600" w:hanging="176"/>
        <w:spacing w:after="0"/>
        <w:tabs>
          <w:tab w:leader="none" w:pos="60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right="80" w:firstLine="990"/>
        <w:spacing w:after="0" w:line="253" w:lineRule="auto"/>
        <w:tabs>
          <w:tab w:leader="none" w:pos="120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1 - 16, and judgment upon the award rendered by the arbitrators may be entered by any court having jurisdiction thereof. The place of arbitration shall be Boston, Massachusetts.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2" w:right="499" w:bottom="1440" w:gutter="0" w:footer="0" w:header="0"/>
        </w:sectPr>
      </w:pPr>
    </w:p>
    <w:bookmarkStart w:id="426" w:name="page427"/>
    <w:bookmarkEnd w:id="426"/>
    <w:p>
      <w:pPr>
        <w:ind w:left="-20" w:right="20" w:firstLine="990"/>
        <w:spacing w:after="0" w:line="285" w:lineRule="auto"/>
        <w:tabs>
          <w:tab w:leader="none" w:pos="1215" w:val="left"/>
        </w:tabs>
        <w:numPr>
          <w:ilvl w:val="0"/>
          <w:numId w:val="3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1" w:lineRule="exact"/>
        <w:rPr>
          <w:rFonts w:ascii="Arial" w:cs="Arial" w:eastAsia="Arial" w:hAnsi="Arial"/>
          <w:sz w:val="16"/>
          <w:szCs w:val="16"/>
          <w:color w:val="auto"/>
        </w:rPr>
      </w:pPr>
    </w:p>
    <w:p>
      <w:pPr>
        <w:ind w:left="-20" w:right="180" w:firstLine="990"/>
        <w:spacing w:after="0" w:line="275" w:lineRule="auto"/>
        <w:tabs>
          <w:tab w:leader="none" w:pos="120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66" w:lineRule="exact"/>
        <w:rPr>
          <w:rFonts w:ascii="Arial" w:cs="Arial" w:eastAsia="Arial" w:hAnsi="Arial"/>
          <w:sz w:val="17"/>
          <w:szCs w:val="17"/>
          <w:color w:val="auto"/>
        </w:rPr>
      </w:pPr>
    </w:p>
    <w:p>
      <w:pPr>
        <w:ind w:left="-20" w:firstLine="990"/>
        <w:spacing w:after="0" w:line="285" w:lineRule="auto"/>
        <w:tabs>
          <w:tab w:leader="none" w:pos="121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72" w:right="499" w:bottom="1440" w:gutter="0" w:footer="0" w:header="0"/>
        </w:sectPr>
      </w:pPr>
    </w:p>
    <w:bookmarkStart w:id="427" w:name="page428"/>
    <w:bookmarkEnd w:id="427"/>
    <w:p>
      <w:pPr>
        <w:ind w:left="-80" w:firstLine="444"/>
        <w:spacing w:after="0" w:line="266" w:lineRule="auto"/>
        <w:tabs>
          <w:tab w:leader="none" w:pos="535"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Waiver of Statutory Information Rights</w:t>
      </w:r>
      <w:r>
        <w:rPr>
          <w:rFonts w:ascii="Arial" w:cs="Arial" w:eastAsia="Arial" w:hAnsi="Arial"/>
          <w:sz w:val="17"/>
          <w:szCs w:val="17"/>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560" w:top="272" w:right="579" w:bottom="1440" w:gutter="0" w:footer="0" w:header="0"/>
        </w:sectPr>
      </w:pPr>
    </w:p>
    <w:bookmarkStart w:id="428" w:name="page429"/>
    <w:bookmarkEnd w:id="4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83(b) Election</w:t>
      </w:r>
    </w:p>
    <w:p>
      <w:pPr>
        <w:spacing w:after="0" w:line="208" w:lineRule="exact"/>
        <w:rPr>
          <w:sz w:val="20"/>
          <w:szCs w:val="20"/>
          <w:color w:val="auto"/>
        </w:rPr>
      </w:pPr>
    </w:p>
    <w:p>
      <w:pPr>
        <w:ind w:firstLine="436"/>
        <w:spacing w:after="0" w:line="301" w:lineRule="auto"/>
        <w:rPr>
          <w:sz w:val="20"/>
          <w:szCs w:val="20"/>
          <w:color w:val="auto"/>
        </w:rPr>
      </w:pPr>
      <w:r>
        <w:rPr>
          <w:rFonts w:ascii="Arial" w:cs="Arial" w:eastAsia="Arial" w:hAnsi="Arial"/>
          <w:sz w:val="17"/>
          <w:szCs w:val="17"/>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58" w:lineRule="exact"/>
        <w:rPr>
          <w:sz w:val="20"/>
          <w:szCs w:val="20"/>
          <w:color w:val="auto"/>
        </w:rPr>
      </w:pPr>
    </w:p>
    <w:p>
      <w:pPr>
        <w:ind w:left="440" w:right="920" w:hanging="433"/>
        <w:spacing w:after="0" w:line="395" w:lineRule="auto"/>
        <w:tabs>
          <w:tab w:leader="none" w:pos="42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name, taxpayer identification number, address of the undersigned, and the taxable year for which this election is being made are: Name:</w:t>
      </w:r>
    </w:p>
    <w:p>
      <w:pPr>
        <w:ind w:left="44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Social Security No.:</w:t>
      </w:r>
    </w:p>
    <w:p>
      <w:pPr>
        <w:spacing w:after="0" w:line="14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Taxable Year: Calendar Year 20__</w:t>
      </w:r>
    </w:p>
    <w:p>
      <w:pPr>
        <w:spacing w:after="0" w:line="127" w:lineRule="exact"/>
        <w:rPr>
          <w:rFonts w:ascii="Arial" w:cs="Arial" w:eastAsia="Arial" w:hAnsi="Arial"/>
          <w:sz w:val="18"/>
          <w:szCs w:val="18"/>
          <w:color w:val="auto"/>
        </w:rPr>
      </w:pPr>
    </w:p>
    <w:p>
      <w:pPr>
        <w:ind w:left="440" w:hanging="433"/>
        <w:spacing w:after="0"/>
        <w:tabs>
          <w:tab w:leader="none" w:pos="4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property which is the subject of this election is [number of unvested shares] shares of common stock of Monte Rosa Therapeutics, Inc.</w:t>
      </w:r>
    </w:p>
    <w:p>
      <w:pPr>
        <w:spacing w:after="0" w:line="150" w:lineRule="exact"/>
        <w:rPr>
          <w:rFonts w:ascii="Arial" w:cs="Arial" w:eastAsia="Arial" w:hAnsi="Arial"/>
          <w:sz w:val="16"/>
          <w:szCs w:val="16"/>
          <w:color w:val="auto"/>
        </w:rPr>
      </w:pPr>
    </w:p>
    <w:p>
      <w:pPr>
        <w:ind w:left="440" w:hanging="433"/>
        <w:spacing w:after="0"/>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property was transferred to the undersigned on [date of purchase/transfer].</w:t>
      </w:r>
    </w:p>
    <w:p>
      <w:pPr>
        <w:spacing w:after="0" w:line="127" w:lineRule="exact"/>
        <w:rPr>
          <w:rFonts w:ascii="Arial" w:cs="Arial" w:eastAsia="Arial" w:hAnsi="Arial"/>
          <w:sz w:val="18"/>
          <w:szCs w:val="18"/>
          <w:color w:val="auto"/>
        </w:rPr>
      </w:pPr>
    </w:p>
    <w:p>
      <w:pPr>
        <w:ind w:left="440" w:hanging="433"/>
        <w:spacing w:after="0"/>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The Shares will be subject to restrictions on transfer and risk of forfeiture upon termination of service relationship and in certain other events.</w:t>
      </w:r>
    </w:p>
    <w:p>
      <w:pPr>
        <w:spacing w:after="0" w:line="150" w:lineRule="exact"/>
        <w:rPr>
          <w:rFonts w:ascii="Arial" w:cs="Arial" w:eastAsia="Arial" w:hAnsi="Arial"/>
          <w:sz w:val="18"/>
          <w:szCs w:val="18"/>
          <w:color w:val="auto"/>
        </w:rPr>
      </w:pPr>
    </w:p>
    <w:p>
      <w:pPr>
        <w:ind w:left="440" w:right="80" w:hanging="433"/>
        <w:spacing w:after="0" w:line="335" w:lineRule="auto"/>
        <w:tabs>
          <w:tab w:leader="none" w:pos="4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34" w:lineRule="exact"/>
        <w:rPr>
          <w:rFonts w:ascii="Arial" w:cs="Arial" w:eastAsia="Arial" w:hAnsi="Arial"/>
          <w:sz w:val="16"/>
          <w:szCs w:val="16"/>
          <w:color w:val="auto"/>
        </w:rPr>
      </w:pPr>
    </w:p>
    <w:p>
      <w:pPr>
        <w:ind w:left="440" w:hanging="433"/>
        <w:spacing w:after="0"/>
        <w:tabs>
          <w:tab w:leader="none" w:pos="4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For the property transferred, the undersigned paid $[exercise price] per share x [number of unvested shares] shares = $_________________.</w:t>
      </w:r>
    </w:p>
    <w:p>
      <w:pPr>
        <w:spacing w:after="0" w:line="150" w:lineRule="exact"/>
        <w:rPr>
          <w:rFonts w:ascii="Arial" w:cs="Arial" w:eastAsia="Arial" w:hAnsi="Arial"/>
          <w:sz w:val="16"/>
          <w:szCs w:val="16"/>
          <w:color w:val="auto"/>
        </w:rPr>
      </w:pPr>
    </w:p>
    <w:p>
      <w:pPr>
        <w:ind w:left="440" w:hanging="433"/>
        <w:spacing w:after="0"/>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amount to include in gross income is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-2482850</wp:posOffset>
            </wp:positionV>
            <wp:extent cx="208915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-2261870</wp:posOffset>
            </wp:positionV>
            <wp:extent cx="208915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-2040890</wp:posOffset>
            </wp:positionV>
            <wp:extent cx="208915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-1819910</wp:posOffset>
            </wp:positionV>
            <wp:extent cx="208915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including a check or money order . . .” given in </w:t>
      </w:r>
      <w:r>
        <w:rPr>
          <w:rFonts w:ascii="Arial" w:cs="Arial" w:eastAsia="Arial" w:hAnsi="Arial"/>
          <w:sz w:val="18"/>
          <w:szCs w:val="18"/>
          <w:i w:val="1"/>
          <w:iCs w:val="1"/>
          <w:color w:val="auto"/>
        </w:rPr>
        <w:t>Where Do You File</w:t>
      </w:r>
      <w:r>
        <w:rPr>
          <w:rFonts w:ascii="Arial" w:cs="Arial" w:eastAsia="Arial" w:hAnsi="Arial"/>
          <w:sz w:val="18"/>
          <w:szCs w:val="18"/>
          <w:color w:val="auto"/>
        </w:rPr>
        <w:t xml:space="preserve"> in the Instructions for Form 1040 and the Instructions for Form 1040A (which information can also be found at: </w:t>
      </w:r>
      <w:r>
        <w:rPr>
          <w:rFonts w:ascii="Arial" w:cs="Arial" w:eastAsia="Arial" w:hAnsi="Arial"/>
          <w:sz w:val="18"/>
          <w:szCs w:val="18"/>
          <w:u w:val="single" w:color="auto"/>
          <w:color w:val="auto"/>
        </w:rPr>
        <w:t>https://www.irs.gov/uac/where-to-file-addresses-for-taxpayers-and-tax-professionals</w:t>
      </w:r>
      <w:r>
        <w:rPr>
          <w:rFonts w:ascii="Arial" w:cs="Arial" w:eastAsia="Arial" w:hAnsi="Arial"/>
          <w:sz w:val="18"/>
          <w:szCs w:val="18"/>
          <w:color w:val="auto"/>
        </w:rPr>
        <w:t xml:space="preserve"> ). A copy of the election will also be furnished to the person for whom the services were performed. The undersigned is the person performing services in connection with which the property was transferred.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13335</wp:posOffset>
            </wp:positionV>
            <wp:extent cx="332041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Taxpayer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480" w:top="268" w:right="579"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CASH INCENTIVE BONUS PLAN</w:t>
      </w:r>
    </w:p>
    <w:p>
      <w:pPr>
        <w:spacing w:after="0" w:line="235" w:lineRule="exact"/>
        <w:rPr>
          <w:sz w:val="20"/>
          <w:szCs w:val="20"/>
          <w:color w:val="auto"/>
        </w:rPr>
      </w:pPr>
    </w:p>
    <w:p>
      <w:pPr>
        <w:ind w:left="440" w:hanging="433"/>
        <w:spacing w:after="0"/>
        <w:tabs>
          <w:tab w:leader="none" w:pos="44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4"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This Senior Executive Cash Incentive Bonus Plan (the “</w:t>
      </w:r>
      <w:r>
        <w:rPr>
          <w:rFonts w:ascii="Arial" w:cs="Arial" w:eastAsia="Arial" w:hAnsi="Arial"/>
          <w:sz w:val="18"/>
          <w:szCs w:val="18"/>
          <w:b w:val="1"/>
          <w:bCs w:val="1"/>
          <w:i w:val="1"/>
          <w:iCs w:val="1"/>
          <w:color w:val="auto"/>
        </w:rPr>
        <w:t>Incentive Plan</w:t>
      </w:r>
      <w:r>
        <w:rPr>
          <w:rFonts w:ascii="Arial" w:cs="Arial" w:eastAsia="Arial" w:hAnsi="Arial"/>
          <w:sz w:val="18"/>
          <w:szCs w:val="18"/>
          <w:color w:val="auto"/>
        </w:rPr>
        <w:t>”) is intended to provide an incentive for superior work and to motivate eligible executives of Monte Rosa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337" w:lineRule="exact"/>
        <w:rPr>
          <w:sz w:val="20"/>
          <w:szCs w:val="20"/>
          <w:color w:val="auto"/>
        </w:rPr>
      </w:pPr>
    </w:p>
    <w:p>
      <w:pPr>
        <w:ind w:left="440" w:hanging="433"/>
        <w:spacing w:after="0"/>
        <w:tabs>
          <w:tab w:leader="none" w:pos="44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Covered Executives</w:t>
      </w:r>
    </w:p>
    <w:p>
      <w:pPr>
        <w:spacing w:after="0" w:line="114"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From time to time, the Compensation Committee of the Board of Directors of the Company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may select certain key executives (the “</w:t>
      </w:r>
      <w:r>
        <w:rPr>
          <w:rFonts w:ascii="Arial" w:cs="Arial" w:eastAsia="Arial" w:hAnsi="Arial"/>
          <w:sz w:val="18"/>
          <w:szCs w:val="18"/>
          <w:b w:val="1"/>
          <w:bCs w:val="1"/>
          <w:i w:val="1"/>
          <w:iCs w:val="1"/>
          <w:color w:val="auto"/>
        </w:rPr>
        <w:t>Covered Executives</w:t>
      </w:r>
      <w:r>
        <w:rPr>
          <w:rFonts w:ascii="Arial" w:cs="Arial" w:eastAsia="Arial" w:hAnsi="Arial"/>
          <w:sz w:val="18"/>
          <w:szCs w:val="18"/>
          <w:color w:val="auto"/>
        </w:rPr>
        <w:t>”) to be eligible to receive bonuses hereunder. Participation in this Plan does not change the “at will” nature of a Covered Executive’s employment with the Company.</w:t>
      </w:r>
    </w:p>
    <w:p>
      <w:pPr>
        <w:spacing w:after="0" w:line="333" w:lineRule="exact"/>
        <w:rPr>
          <w:sz w:val="20"/>
          <w:szCs w:val="20"/>
          <w:color w:val="auto"/>
        </w:rPr>
      </w:pPr>
    </w:p>
    <w:p>
      <w:pPr>
        <w:ind w:left="440" w:hanging="433"/>
        <w:spacing w:after="0"/>
        <w:tabs>
          <w:tab w:leader="none" w:pos="4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Compensation Committee shall have the sole discretion and authority to administer and interpret the Incentive Plan.</w:t>
      </w:r>
    </w:p>
    <w:p>
      <w:pPr>
        <w:spacing w:after="0" w:line="368" w:lineRule="exact"/>
        <w:rPr>
          <w:rFonts w:ascii="Arial" w:cs="Arial" w:eastAsia="Arial" w:hAnsi="Arial"/>
          <w:sz w:val="18"/>
          <w:szCs w:val="18"/>
          <w:color w:val="auto"/>
        </w:rPr>
      </w:pPr>
    </w:p>
    <w:p>
      <w:pPr>
        <w:ind w:left="440" w:hanging="433"/>
        <w:spacing w:after="0"/>
        <w:tabs>
          <w:tab w:leader="none" w:pos="4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Bonus Determinations</w:t>
      </w:r>
    </w:p>
    <w:p>
      <w:pPr>
        <w:spacing w:after="0" w:line="113" w:lineRule="exact"/>
        <w:rPr>
          <w:rFonts w:ascii="Arial" w:cs="Arial" w:eastAsia="Arial" w:hAnsi="Arial"/>
          <w:sz w:val="18"/>
          <w:szCs w:val="18"/>
          <w:color w:val="auto"/>
        </w:rPr>
      </w:pPr>
    </w:p>
    <w:p>
      <w:pPr>
        <w:ind w:firstLine="444"/>
        <w:spacing w:after="0" w:line="280" w:lineRule="auto"/>
        <w:tabs>
          <w:tab w:leader="none" w:pos="679"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Corporate Performance Goals</w:t>
      </w:r>
      <w:r>
        <w:rPr>
          <w:rFonts w:ascii="Arial" w:cs="Arial" w:eastAsia="Arial" w:hAnsi="Arial"/>
          <w:sz w:val="16"/>
          <w:szCs w:val="16"/>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Arial" w:cs="Arial" w:eastAsia="Arial" w:hAnsi="Arial"/>
          <w:sz w:val="16"/>
          <w:szCs w:val="16"/>
          <w:b w:val="1"/>
          <w:bCs w:val="1"/>
          <w:i w:val="1"/>
          <w:iCs w:val="1"/>
          <w:color w:val="auto"/>
        </w:rPr>
        <w:t>Corporate Performance Goals</w:t>
      </w:r>
      <w:r>
        <w:rPr>
          <w:rFonts w:ascii="Arial" w:cs="Arial" w:eastAsia="Arial" w:hAnsi="Arial"/>
          <w:sz w:val="16"/>
          <w:szCs w:val="16"/>
          <w:color w:val="auto"/>
        </w:rPr>
        <w:t>”), including, without limitation, the following: developmental, publication, clinical or regulatory milestones and results;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any of which may be (A) measured in absolute terms or compared to any incremental increase, (B) measured in terms of growth, (C) compared to another company or companies or to results of a peer group,</w:t>
      </w:r>
    </w:p>
    <w:p>
      <w:pPr>
        <w:spacing w:after="0" w:line="5" w:lineRule="exact"/>
        <w:rPr>
          <w:rFonts w:ascii="Arial" w:cs="Arial" w:eastAsia="Arial" w:hAnsi="Arial"/>
          <w:sz w:val="16"/>
          <w:szCs w:val="16"/>
          <w:color w:val="auto"/>
        </w:rPr>
      </w:pPr>
    </w:p>
    <w:p>
      <w:pPr>
        <w:ind w:right="140"/>
        <w:spacing w:after="0" w:line="250" w:lineRule="auto"/>
        <w:rPr>
          <w:rFonts w:ascii="Arial" w:cs="Arial" w:eastAsia="Arial" w:hAnsi="Arial"/>
          <w:sz w:val="16"/>
          <w:szCs w:val="16"/>
          <w:color w:val="auto"/>
        </w:rPr>
      </w:pPr>
      <w:r>
        <w:rPr>
          <w:rFonts w:ascii="Arial" w:cs="Arial" w:eastAsia="Arial" w:hAnsi="Arial"/>
          <w:sz w:val="18"/>
          <w:szCs w:val="18"/>
          <w:color w:val="auto"/>
        </w:rPr>
        <w:t>(D)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w:t>
      </w:r>
    </w:p>
    <w:p>
      <w:pPr>
        <w:sectPr>
          <w:pgSz w:w="11900" w:h="16838" w:orient="portrait"/>
          <w:cols w:equalWidth="0" w:num="1">
            <w:col w:w="10920"/>
          </w:cols>
          <w:pgMar w:left="480" w:top="121" w:right="499" w:bottom="1440" w:gutter="0" w:footer="0" w:header="0"/>
        </w:sectPr>
      </w:pPr>
    </w:p>
    <w:bookmarkStart w:id="430" w:name="page431"/>
    <w:bookmarkEnd w:id="430"/>
    <w:p>
      <w:pPr>
        <w:ind w:left="-20" w:right="220" w:firstLine="444"/>
        <w:spacing w:after="0" w:line="293" w:lineRule="auto"/>
        <w:tabs>
          <w:tab w:leader="none" w:pos="669"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Calculation of Corporate Performance Goals</w:t>
      </w:r>
      <w:r>
        <w:rPr>
          <w:rFonts w:ascii="Arial" w:cs="Arial" w:eastAsia="Arial" w:hAnsi="Arial"/>
          <w:sz w:val="16"/>
          <w:szCs w:val="16"/>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that is consistently applied with respect to a Corporate Performance Goal in the relevant performance period.</w:t>
      </w:r>
    </w:p>
    <w:p>
      <w:pPr>
        <w:spacing w:after="0" w:line="160" w:lineRule="exact"/>
        <w:rPr>
          <w:rFonts w:ascii="Arial" w:cs="Arial" w:eastAsia="Arial" w:hAnsi="Arial"/>
          <w:sz w:val="16"/>
          <w:szCs w:val="16"/>
          <w:color w:val="auto"/>
        </w:rPr>
      </w:pPr>
    </w:p>
    <w:p>
      <w:pPr>
        <w:ind w:left="-20" w:right="200" w:firstLine="444"/>
        <w:spacing w:after="0" w:line="271" w:lineRule="auto"/>
        <w:tabs>
          <w:tab w:leader="none" w:pos="659"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Target; Minimum; Maximum</w:t>
      </w:r>
      <w:r>
        <w:rPr>
          <w:rFonts w:ascii="Arial" w:cs="Arial" w:eastAsia="Arial" w:hAnsi="Arial"/>
          <w:sz w:val="18"/>
          <w:szCs w:val="18"/>
          <w:color w:val="auto"/>
        </w:rPr>
        <w:t>. Each Corporate Performance Goal shall have a “target” (100 percent attainment of the Corporate Performance Goal) and may also have a “minimum” hurdle and/or a “maximum” amount.</w:t>
      </w:r>
    </w:p>
    <w:p>
      <w:pPr>
        <w:spacing w:after="0" w:line="174" w:lineRule="exact"/>
        <w:rPr>
          <w:rFonts w:ascii="Arial" w:cs="Arial" w:eastAsia="Arial" w:hAnsi="Arial"/>
          <w:sz w:val="18"/>
          <w:szCs w:val="18"/>
          <w:color w:val="auto"/>
        </w:rPr>
      </w:pPr>
    </w:p>
    <w:p>
      <w:pPr>
        <w:ind w:left="-20" w:firstLine="444"/>
        <w:spacing w:after="0" w:line="267" w:lineRule="auto"/>
        <w:tabs>
          <w:tab w:leader="none" w:pos="669"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Bonus Requirements; Individual Goals</w:t>
      </w:r>
      <w:r>
        <w:rPr>
          <w:rFonts w:ascii="Arial" w:cs="Arial" w:eastAsia="Arial" w:hAnsi="Arial"/>
          <w:sz w:val="17"/>
          <w:szCs w:val="17"/>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82" w:lineRule="exact"/>
        <w:rPr>
          <w:rFonts w:ascii="Arial" w:cs="Arial" w:eastAsia="Arial" w:hAnsi="Arial"/>
          <w:sz w:val="17"/>
          <w:szCs w:val="17"/>
          <w:color w:val="auto"/>
        </w:rPr>
      </w:pPr>
    </w:p>
    <w:p>
      <w:pPr>
        <w:ind w:left="-20" w:right="100" w:firstLine="444"/>
        <w:spacing w:after="0" w:line="255" w:lineRule="auto"/>
        <w:tabs>
          <w:tab w:leader="none" w:pos="659"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Individual Target Bonuses</w:t>
      </w:r>
      <w:r>
        <w:rPr>
          <w:rFonts w:ascii="Arial" w:cs="Arial" w:eastAsia="Arial" w:hAnsi="Arial"/>
          <w:sz w:val="18"/>
          <w:szCs w:val="18"/>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90" w:lineRule="exact"/>
        <w:rPr>
          <w:rFonts w:ascii="Arial" w:cs="Arial" w:eastAsia="Arial" w:hAnsi="Arial"/>
          <w:sz w:val="18"/>
          <w:szCs w:val="18"/>
          <w:color w:val="auto"/>
        </w:rPr>
      </w:pPr>
    </w:p>
    <w:p>
      <w:pPr>
        <w:jc w:val="both"/>
        <w:ind w:left="-20" w:right="40" w:firstLine="444"/>
        <w:spacing w:after="0" w:line="255" w:lineRule="auto"/>
        <w:tabs>
          <w:tab w:leader="none" w:pos="639"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Employment Requirement</w:t>
      </w:r>
      <w:r>
        <w:rPr>
          <w:rFonts w:ascii="Arial" w:cs="Arial" w:eastAsia="Arial" w:hAnsi="Arial"/>
          <w:sz w:val="18"/>
          <w:szCs w:val="18"/>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2" w:right="499" w:bottom="1440" w:gutter="0" w:footer="0" w:header="0"/>
        </w:sectPr>
      </w:pPr>
    </w:p>
    <w:bookmarkStart w:id="431" w:name="page432"/>
    <w:bookmarkEnd w:id="431"/>
    <w:p>
      <w:pPr>
        <w:ind w:left="433" w:hanging="433"/>
        <w:spacing w:after="0"/>
        <w:tabs>
          <w:tab w:leader="none" w:pos="433"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Timing of Payment</w:t>
      </w:r>
    </w:p>
    <w:p>
      <w:pPr>
        <w:spacing w:after="0" w:line="113" w:lineRule="exact"/>
        <w:rPr>
          <w:rFonts w:ascii="Arial" w:cs="Arial" w:eastAsia="Arial" w:hAnsi="Arial"/>
          <w:sz w:val="18"/>
          <w:szCs w:val="18"/>
          <w:color w:val="auto"/>
        </w:rPr>
      </w:pPr>
    </w:p>
    <w:p>
      <w:pPr>
        <w:ind w:left="-7" w:right="120" w:firstLine="444"/>
        <w:spacing w:after="0" w:line="297" w:lineRule="auto"/>
        <w:tabs>
          <w:tab w:leader="none" w:pos="671" w:val="left"/>
        </w:tabs>
        <w:numPr>
          <w:ilvl w:val="1"/>
          <w:numId w:val="327"/>
        </w:numPr>
        <w:rPr>
          <w:rFonts w:ascii="Arial" w:cs="Arial" w:eastAsia="Arial" w:hAnsi="Arial"/>
          <w:sz w:val="16"/>
          <w:szCs w:val="16"/>
          <w:color w:val="auto"/>
        </w:rPr>
      </w:pPr>
      <w:r>
        <w:rPr>
          <w:rFonts w:ascii="Arial" w:cs="Arial" w:eastAsia="Arial" w:hAnsi="Arial"/>
          <w:sz w:val="16"/>
          <w:szCs w:val="16"/>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59" w:lineRule="exact"/>
        <w:rPr>
          <w:rFonts w:ascii="Arial" w:cs="Arial" w:eastAsia="Arial" w:hAnsi="Arial"/>
          <w:sz w:val="16"/>
          <w:szCs w:val="16"/>
          <w:color w:val="auto"/>
        </w:rPr>
      </w:pPr>
    </w:p>
    <w:p>
      <w:pPr>
        <w:ind w:left="-7" w:firstLine="444"/>
        <w:spacing w:after="0" w:line="275" w:lineRule="auto"/>
        <w:tabs>
          <w:tab w:leader="none" w:pos="681" w:val="left"/>
        </w:tabs>
        <w:numPr>
          <w:ilvl w:val="1"/>
          <w:numId w:val="327"/>
        </w:numPr>
        <w:rPr>
          <w:rFonts w:ascii="Arial" w:cs="Arial" w:eastAsia="Arial" w:hAnsi="Arial"/>
          <w:sz w:val="17"/>
          <w:szCs w:val="17"/>
          <w:color w:val="auto"/>
        </w:rPr>
      </w:pPr>
      <w:r>
        <w:rPr>
          <w:rFonts w:ascii="Arial" w:cs="Arial" w:eastAsia="Arial" w:hAnsi="Arial"/>
          <w:sz w:val="17"/>
          <w:szCs w:val="17"/>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173" w:lineRule="exact"/>
        <w:rPr>
          <w:rFonts w:ascii="Arial" w:cs="Arial" w:eastAsia="Arial" w:hAnsi="Arial"/>
          <w:sz w:val="17"/>
          <w:szCs w:val="17"/>
          <w:color w:val="auto"/>
        </w:rPr>
      </w:pPr>
    </w:p>
    <w:p>
      <w:pPr>
        <w:ind w:left="673" w:hanging="236"/>
        <w:spacing w:after="0"/>
        <w:tabs>
          <w:tab w:leader="none" w:pos="673" w:val="left"/>
        </w:tabs>
        <w:numPr>
          <w:ilvl w:val="1"/>
          <w:numId w:val="327"/>
        </w:numPr>
        <w:rPr>
          <w:rFonts w:ascii="Arial" w:cs="Arial" w:eastAsia="Arial" w:hAnsi="Arial"/>
          <w:sz w:val="16"/>
          <w:szCs w:val="16"/>
          <w:color w:val="auto"/>
        </w:rPr>
      </w:pPr>
      <w:r>
        <w:rPr>
          <w:rFonts w:ascii="Arial" w:cs="Arial" w:eastAsia="Arial" w:hAnsi="Arial"/>
          <w:sz w:val="16"/>
          <w:szCs w:val="16"/>
          <w:color w:val="auto"/>
        </w:rPr>
        <w:t>For the avoidance of doubt, bonuses earned at any time in a fiscal year must be paid no later than 74 days after the last day of such fiscal year.</w:t>
      </w:r>
    </w:p>
    <w:p>
      <w:pPr>
        <w:spacing w:after="0" w:line="391" w:lineRule="exact"/>
        <w:rPr>
          <w:rFonts w:ascii="Arial" w:cs="Arial" w:eastAsia="Arial" w:hAnsi="Arial"/>
          <w:sz w:val="16"/>
          <w:szCs w:val="16"/>
          <w:color w:val="auto"/>
        </w:rPr>
      </w:pPr>
    </w:p>
    <w:p>
      <w:pPr>
        <w:ind w:left="433" w:hanging="433"/>
        <w:spacing w:after="0"/>
        <w:tabs>
          <w:tab w:leader="none" w:pos="433"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113"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8"/>
          <w:szCs w:val="18"/>
          <w:color w:val="auto"/>
        </w:rPr>
        <w:t>The Company reserves the right to amend or terminate the Incentive Plan at any time in its sole discretion.</w:t>
      </w:r>
    </w:p>
    <w:p>
      <w:pPr>
        <w:spacing w:after="0" w:line="15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93"/>
          </w:cols>
          <w:pgMar w:left="487" w:top="272" w:right="51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 INDEMNIFICATION AGREEMENT</w:t>
      </w:r>
    </w:p>
    <w:p>
      <w:pPr>
        <w:spacing w:after="0" w:line="225"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[Date] by and between Monte Rosa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[Officer Name]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attract and retain the services of highly qualified individuals, such as Indemnitee, to serve the Company;</w:t>
      </w:r>
    </w:p>
    <w:p>
      <w:pPr>
        <w:spacing w:after="0" w:line="244"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WHEREAS, the Fourth Amended and Restated Certificate of Incorporation (as amended and in effect from time to time, the “</w:t>
      </w:r>
      <w:r>
        <w:rPr>
          <w:rFonts w:ascii="Arial" w:cs="Arial" w:eastAsia="Arial" w:hAnsi="Arial"/>
          <w:sz w:val="18"/>
          <w:szCs w:val="18"/>
          <w:u w:val="single" w:color="auto"/>
          <w:color w:val="auto"/>
        </w:rPr>
        <w:t>Charter</w:t>
      </w:r>
      <w:r>
        <w:rPr>
          <w:rFonts w:ascii="Arial" w:cs="Arial" w:eastAsia="Arial" w:hAnsi="Arial"/>
          <w:sz w:val="18"/>
          <w:szCs w:val="18"/>
          <w:color w:val="auto"/>
        </w:rPr>
        <w:t>”) and the Amended and Restated Bylaws (as amended and in effect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0"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6"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5"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86" w:lineRule="exact"/>
        <w:rPr>
          <w:sz w:val="20"/>
          <w:szCs w:val="20"/>
          <w:color w:val="auto"/>
        </w:rPr>
      </w:pPr>
    </w:p>
    <w:p>
      <w:pPr>
        <w:ind w:right="120" w:firstLine="436"/>
        <w:spacing w:after="0" w:line="335"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28"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ectPr>
          <w:pgSz w:w="11900" w:h="16838" w:orient="portrait"/>
          <w:cols w:equalWidth="0" w:num="1">
            <w:col w:w="10920"/>
          </w:cols>
          <w:pgMar w:left="480" w:top="120" w:right="499" w:bottom="1440" w:gutter="0" w:footer="0" w:header="0"/>
        </w:sectPr>
      </w:pPr>
    </w:p>
    <w:bookmarkStart w:id="433" w:name="page434"/>
    <w:bookmarkEnd w:id="433"/>
    <w:p>
      <w:pPr>
        <w:ind w:right="14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serve or continue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114" w:lineRule="exact"/>
        <w:rPr>
          <w:sz w:val="20"/>
          <w:szCs w:val="20"/>
          <w:color w:val="auto"/>
        </w:rPr>
      </w:pPr>
    </w:p>
    <w:p>
      <w:pPr>
        <w:ind w:right="120" w:firstLine="990"/>
        <w:spacing w:after="0" w:line="255" w:lineRule="auto"/>
        <w:tabs>
          <w:tab w:leader="none" w:pos="122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and “Associate</w:t>
      </w:r>
      <w:r>
        <w:rPr>
          <w:rFonts w:ascii="Arial" w:cs="Arial" w:eastAsia="Arial" w:hAnsi="Arial"/>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83" w:lineRule="exact"/>
        <w:rPr>
          <w:rFonts w:ascii="Arial" w:cs="Arial" w:eastAsia="Arial" w:hAnsi="Arial"/>
          <w:sz w:val="18"/>
          <w:szCs w:val="18"/>
          <w:color w:val="auto"/>
        </w:rPr>
      </w:pPr>
    </w:p>
    <w:p>
      <w:pPr>
        <w:ind w:left="1240" w:hanging="250"/>
        <w:spacing w:after="0"/>
        <w:tabs>
          <w:tab w:leader="none" w:pos="12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 Person shall be deemed the “Beneficial Owner” of, and shall be deemed to “Beneficially Own” and have “Beneficial Ownership”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securities:</w:t>
      </w:r>
    </w:p>
    <w:p>
      <w:pPr>
        <w:spacing w:after="0" w:line="101" w:lineRule="exact"/>
        <w:rPr>
          <w:sz w:val="20"/>
          <w:szCs w:val="20"/>
          <w:color w:val="auto"/>
        </w:rPr>
      </w:pPr>
    </w:p>
    <w:p>
      <w:pPr>
        <w:ind w:right="60" w:firstLine="990"/>
        <w:spacing w:after="0" w:line="271" w:lineRule="auto"/>
        <w:tabs>
          <w:tab w:leader="none" w:pos="119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67" w:lineRule="exact"/>
        <w:rPr>
          <w:rFonts w:ascii="Arial" w:cs="Arial" w:eastAsia="Arial" w:hAnsi="Arial"/>
          <w:sz w:val="18"/>
          <w:szCs w:val="18"/>
          <w:color w:val="auto"/>
        </w:rPr>
      </w:pPr>
    </w:p>
    <w:p>
      <w:pPr>
        <w:ind w:right="40" w:firstLine="990"/>
        <w:spacing w:after="0" w:line="251" w:lineRule="auto"/>
        <w:tabs>
          <w:tab w:leader="none" w:pos="124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89" w:lineRule="exact"/>
        <w:rPr>
          <w:rFonts w:ascii="Arial" w:cs="Arial" w:eastAsia="Arial" w:hAnsi="Arial"/>
          <w:sz w:val="18"/>
          <w:szCs w:val="18"/>
          <w:color w:val="auto"/>
        </w:rPr>
      </w:pPr>
    </w:p>
    <w:p>
      <w:pPr>
        <w:ind w:right="460" w:firstLine="990"/>
        <w:spacing w:after="0" w:line="255" w:lineRule="auto"/>
        <w:tabs>
          <w:tab w:leader="none" w:pos="129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83" w:lineRule="exact"/>
        <w:rPr>
          <w:rFonts w:ascii="Arial" w:cs="Arial" w:eastAsia="Arial" w:hAnsi="Arial"/>
          <w:sz w:val="18"/>
          <w:szCs w:val="18"/>
          <w:color w:val="auto"/>
        </w:rPr>
      </w:pPr>
    </w:p>
    <w:p>
      <w:pPr>
        <w:ind w:firstLine="990"/>
        <w:spacing w:after="0" w:line="287" w:lineRule="auto"/>
        <w:tabs>
          <w:tab w:leader="none" w:pos="128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434" w:name="page435"/>
    <w:bookmarkEnd w:id="434"/>
    <w:p>
      <w:pPr>
        <w:ind w:right="540" w:firstLine="436"/>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events</w:t>
      </w:r>
      <w:r>
        <w:rPr>
          <w:rFonts w:ascii="Arial" w:cs="Arial" w:eastAsia="Arial" w:hAnsi="Arial"/>
          <w:sz w:val="18"/>
          <w:szCs w:val="18"/>
          <w:i w:val="1"/>
          <w:iCs w:val="1"/>
          <w:color w:val="auto"/>
        </w:rPr>
        <w:t>:</w:t>
      </w:r>
    </w:p>
    <w:p>
      <w:pPr>
        <w:spacing w:after="0" w:line="101" w:lineRule="exact"/>
        <w:rPr>
          <w:sz w:val="20"/>
          <w:szCs w:val="20"/>
          <w:color w:val="auto"/>
        </w:rPr>
      </w:pPr>
    </w:p>
    <w:p>
      <w:pPr>
        <w:ind w:right="80" w:firstLine="990"/>
        <w:spacing w:after="0" w:line="288" w:lineRule="auto"/>
        <w:tabs>
          <w:tab w:leader="none" w:pos="1195"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Any Person is or becomes the Beneficial Owner (as defined above), directly or indirectly, of securities of the Company representing fifty percent (50%) or more of the combined voting power of the Company’s then outstanding securities [(other than acquisitions of Class B Common Stock by a Qualified Stockholder or its Permitted Transferees (as such terms are defined in the Charter))] unless the change in relative Beneficial Ownership of the Company’s securities by any Person results solely from a reduction in the aggregate number of outstanding shares of securities entitled to vote generally in the election of directors [or as a result of conversions of Class B Common Stock],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59" w:lineRule="exact"/>
        <w:rPr>
          <w:rFonts w:ascii="Arial" w:cs="Arial" w:eastAsia="Arial" w:hAnsi="Arial"/>
          <w:sz w:val="16"/>
          <w:szCs w:val="16"/>
          <w:color w:val="auto"/>
        </w:rPr>
      </w:pPr>
    </w:p>
    <w:p>
      <w:pPr>
        <w:ind w:right="140" w:firstLine="990"/>
        <w:spacing w:after="0" w:line="252" w:lineRule="auto"/>
        <w:tabs>
          <w:tab w:leader="none" w:pos="1244"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86" w:lineRule="exact"/>
        <w:rPr>
          <w:rFonts w:ascii="Arial" w:cs="Arial" w:eastAsia="Arial" w:hAnsi="Arial"/>
          <w:sz w:val="18"/>
          <w:szCs w:val="18"/>
          <w:color w:val="auto"/>
        </w:rPr>
      </w:pPr>
    </w:p>
    <w:p>
      <w:pPr>
        <w:ind w:firstLine="990"/>
        <w:spacing w:after="0" w:line="293" w:lineRule="auto"/>
        <w:tabs>
          <w:tab w:leader="none" w:pos="1294"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435" w:name="page436"/>
    <w:bookmarkEnd w:id="435"/>
    <w:p>
      <w:pPr>
        <w:ind w:left="-40" w:firstLine="990"/>
        <w:spacing w:after="0" w:line="335" w:lineRule="auto"/>
        <w:tabs>
          <w:tab w:leader="none" w:pos="1244"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Liquidation</w:t>
      </w:r>
      <w:r>
        <w:rPr>
          <w:rFonts w:ascii="Arial" w:cs="Arial" w:eastAsia="Arial" w:hAnsi="Arial"/>
          <w:sz w:val="16"/>
          <w:szCs w:val="16"/>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21" w:lineRule="exact"/>
        <w:rPr>
          <w:rFonts w:ascii="Arial" w:cs="Arial" w:eastAsia="Arial" w:hAnsi="Arial"/>
          <w:sz w:val="16"/>
          <w:szCs w:val="16"/>
          <w:color w:val="auto"/>
        </w:rPr>
      </w:pPr>
    </w:p>
    <w:p>
      <w:pPr>
        <w:ind w:left="-40" w:right="80" w:firstLine="990"/>
        <w:spacing w:after="0" w:line="259" w:lineRule="auto"/>
        <w:tabs>
          <w:tab w:leader="none" w:pos="1194"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79" w:lineRule="exact"/>
        <w:rPr>
          <w:sz w:val="20"/>
          <w:szCs w:val="20"/>
          <w:color w:val="auto"/>
        </w:rPr>
      </w:pPr>
    </w:p>
    <w:p>
      <w:pPr>
        <w:ind w:left="-40" w:firstLine="990"/>
        <w:spacing w:after="0" w:line="335" w:lineRule="auto"/>
        <w:tabs>
          <w:tab w:leader="none" w:pos="119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21" w:lineRule="exact"/>
        <w:rPr>
          <w:rFonts w:ascii="Arial" w:cs="Arial" w:eastAsia="Arial" w:hAnsi="Arial"/>
          <w:sz w:val="16"/>
          <w:szCs w:val="16"/>
          <w:color w:val="auto"/>
        </w:rPr>
      </w:pPr>
    </w:p>
    <w:p>
      <w:pPr>
        <w:ind w:left="-40" w:right="40" w:firstLine="990"/>
        <w:spacing w:after="0" w:line="255" w:lineRule="auto"/>
        <w:tabs>
          <w:tab w:leader="none" w:pos="11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83" w:lineRule="exact"/>
        <w:rPr>
          <w:rFonts w:ascii="Arial" w:cs="Arial" w:eastAsia="Arial" w:hAnsi="Arial"/>
          <w:sz w:val="18"/>
          <w:szCs w:val="18"/>
          <w:color w:val="auto"/>
        </w:rPr>
      </w:pPr>
    </w:p>
    <w:p>
      <w:pPr>
        <w:jc w:val="both"/>
        <w:ind w:left="-40" w:right="360" w:firstLine="990"/>
        <w:spacing w:after="0" w:line="259" w:lineRule="auto"/>
        <w:tabs>
          <w:tab w:leader="none" w:pos="116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78" w:lineRule="exact"/>
        <w:rPr>
          <w:rFonts w:ascii="Arial" w:cs="Arial" w:eastAsia="Arial" w:hAnsi="Arial"/>
          <w:sz w:val="18"/>
          <w:szCs w:val="18"/>
          <w:color w:val="auto"/>
        </w:rPr>
      </w:pPr>
    </w:p>
    <w:p>
      <w:pPr>
        <w:ind w:left="-40" w:firstLine="990"/>
        <w:spacing w:after="0" w:line="293" w:lineRule="auto"/>
        <w:tabs>
          <w:tab w:leader="none" w:pos="119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53" w:lineRule="exact"/>
        <w:rPr>
          <w:rFonts w:ascii="Arial" w:cs="Arial" w:eastAsia="Arial" w:hAnsi="Arial"/>
          <w:sz w:val="16"/>
          <w:szCs w:val="16"/>
          <w:color w:val="auto"/>
        </w:rPr>
      </w:pPr>
    </w:p>
    <w:p>
      <w:pPr>
        <w:ind w:left="-40" w:firstLine="990"/>
        <w:spacing w:after="0" w:line="268" w:lineRule="auto"/>
        <w:tabs>
          <w:tab w:leader="none" w:pos="119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20" w:top="272" w:right="539" w:bottom="1440" w:gutter="0" w:footer="0" w:header="0"/>
        </w:sectPr>
      </w:pPr>
    </w:p>
    <w:bookmarkStart w:id="436" w:name="page437"/>
    <w:bookmarkEnd w:id="436"/>
    <w:p>
      <w:pPr>
        <w:jc w:val="both"/>
        <w:ind w:right="80" w:firstLine="990"/>
        <w:spacing w:after="0" w:line="255" w:lineRule="auto"/>
        <w:tabs>
          <w:tab w:leader="none" w:pos="11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83" w:lineRule="exact"/>
        <w:rPr>
          <w:rFonts w:ascii="Arial" w:cs="Arial" w:eastAsia="Arial" w:hAnsi="Arial"/>
          <w:sz w:val="18"/>
          <w:szCs w:val="18"/>
          <w:color w:val="auto"/>
        </w:rPr>
      </w:pPr>
    </w:p>
    <w:p>
      <w:pPr>
        <w:ind w:right="20" w:firstLine="990"/>
        <w:spacing w:after="0" w:line="285" w:lineRule="auto"/>
        <w:tabs>
          <w:tab w:leader="none" w:pos="119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“Proceeding” shall not include any action, suit or arbitration, or part thereof, initiated by Indemnitee to enforce Indemnitee’s rights under this Agreement as provided for in Section 12(a) of this Agreement.</w:t>
      </w:r>
    </w:p>
    <w:p>
      <w:pPr>
        <w:spacing w:after="0" w:line="169"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64" w:lineRule="exact"/>
        <w:rPr>
          <w:sz w:val="20"/>
          <w:szCs w:val="20"/>
          <w:color w:val="auto"/>
        </w:rPr>
      </w:pPr>
    </w:p>
    <w:p>
      <w:pPr>
        <w:ind w:right="20" w:firstLine="436"/>
        <w:spacing w:after="0" w:line="26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7"/>
          <w:szCs w:val="17"/>
          <w:u w:val="single" w:color="auto"/>
          <w:color w:val="auto"/>
        </w:rPr>
        <w:t>Delaware Court</w:t>
      </w:r>
      <w:r>
        <w:rPr>
          <w:rFonts w:ascii="Arial" w:cs="Arial" w:eastAsia="Arial" w:hAnsi="Arial"/>
          <w:sz w:val="17"/>
          <w:szCs w:val="17"/>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437" w:name="page438"/>
    <w:bookmarkEnd w:id="437"/>
    <w:p>
      <w:pPr>
        <w:ind w:right="80"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Reimbursement for Expenses of a Witness or in Response to a Subpoena</w:t>
      </w:r>
      <w:r>
        <w:rPr>
          <w:rFonts w:ascii="Arial" w:cs="Arial" w:eastAsia="Arial" w:hAnsi="Arial"/>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 Notwithstanding any provision in this Agreement to the contrary, the Company shall not be obligated under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101" w:lineRule="exact"/>
        <w:rPr>
          <w:sz w:val="20"/>
          <w:szCs w:val="20"/>
          <w:color w:val="auto"/>
        </w:rPr>
      </w:pPr>
    </w:p>
    <w:p>
      <w:pPr>
        <w:jc w:val="both"/>
        <w:ind w:right="20" w:firstLine="990"/>
        <w:spacing w:after="0" w:line="259" w:lineRule="auto"/>
        <w:tabs>
          <w:tab w:leader="none" w:pos="122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personal or umbrella liability insurance maintained by Indemnitee;</w:t>
      </w:r>
    </w:p>
    <w:p>
      <w:pPr>
        <w:spacing w:after="0" w:line="78" w:lineRule="exact"/>
        <w:rPr>
          <w:rFonts w:ascii="Arial" w:cs="Arial" w:eastAsia="Arial" w:hAnsi="Arial"/>
          <w:sz w:val="18"/>
          <w:szCs w:val="18"/>
          <w:color w:val="auto"/>
        </w:rPr>
      </w:pPr>
    </w:p>
    <w:p>
      <w:pPr>
        <w:ind w:right="340" w:firstLine="990"/>
        <w:spacing w:after="0" w:line="307" w:lineRule="auto"/>
        <w:tabs>
          <w:tab w:leader="none" w:pos="123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w:t>
      </w:r>
      <w:r>
        <w:rPr>
          <w:rFonts w:ascii="Arial" w:cs="Arial" w:eastAsia="Arial" w:hAnsi="Arial"/>
          <w:sz w:val="16"/>
          <w:szCs w:val="16"/>
          <w:u w:val="single" w:color="auto"/>
          <w:color w:val="auto"/>
        </w:rPr>
        <w:t>SOX</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140" w:firstLine="990"/>
        <w:spacing w:after="0" w:line="255" w:lineRule="auto"/>
        <w:tabs>
          <w:tab w:leader="none" w:pos="122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438" w:name="page439"/>
    <w:bookmarkEnd w:id="438"/>
    <w:p>
      <w:pPr>
        <w:ind w:right="300" w:firstLine="990"/>
        <w:spacing w:after="0" w:line="287" w:lineRule="auto"/>
        <w:tabs>
          <w:tab w:leader="none" w:pos="1235" w:val="left"/>
        </w:tabs>
        <w:numPr>
          <w:ilvl w:val="1"/>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right="100" w:firstLine="7"/>
        <w:spacing w:after="0" w:line="250" w:lineRule="auto"/>
        <w:tabs>
          <w:tab w:leader="none" w:pos="26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Company provides the indemnification, in its sole discretion, pursuant to the powers vested in the Company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85" w:lineRule="exact"/>
        <w:rPr>
          <w:rFonts w:ascii="Arial" w:cs="Arial" w:eastAsia="Arial" w:hAnsi="Arial"/>
          <w:sz w:val="18"/>
          <w:szCs w:val="18"/>
          <w:color w:val="auto"/>
        </w:rPr>
      </w:pPr>
    </w:p>
    <w:p>
      <w:pPr>
        <w:ind w:firstLine="990"/>
        <w:spacing w:after="0" w:line="271" w:lineRule="auto"/>
        <w:tabs>
          <w:tab w:leader="none" w:pos="1225"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5" w:lineRule="exact"/>
        <w:rPr>
          <w:sz w:val="20"/>
          <w:szCs w:val="20"/>
          <w:color w:val="auto"/>
        </w:rPr>
      </w:pPr>
    </w:p>
    <w:p>
      <w:pPr>
        <w:ind w:right="100" w:firstLine="436"/>
        <w:spacing w:after="0" w:line="28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w:t>
      </w:r>
    </w:p>
    <w:p>
      <w:pPr>
        <w:spacing w:after="0" w:line="2" w:lineRule="exact"/>
        <w:rPr>
          <w:sz w:val="20"/>
          <w:szCs w:val="20"/>
          <w:color w:val="auto"/>
        </w:rPr>
      </w:pPr>
    </w:p>
    <w:p>
      <w:pPr>
        <w:ind w:right="20" w:firstLine="7"/>
        <w:spacing w:after="0" w:line="284" w:lineRule="auto"/>
        <w:tabs>
          <w:tab w:leader="none" w:pos="262" w:val="left"/>
        </w:tabs>
        <w:numPr>
          <w:ilvl w:val="0"/>
          <w:numId w:val="337"/>
        </w:numPr>
        <w:rPr>
          <w:rFonts w:ascii="Arial" w:cs="Arial" w:eastAsia="Arial" w:hAnsi="Arial"/>
          <w:sz w:val="16"/>
          <w:szCs w:val="16"/>
          <w:color w:val="auto"/>
        </w:rPr>
      </w:pPr>
      <w:r>
        <w:rPr>
          <w:rFonts w:ascii="Arial" w:cs="Arial" w:eastAsia="Arial" w:hAnsi="Arial"/>
          <w:sz w:val="16"/>
          <w:szCs w:val="16"/>
          <w:color w:val="auto"/>
        </w:rPr>
        <w:t>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114" w:lineRule="exact"/>
        <w:rPr>
          <w:sz w:val="20"/>
          <w:szCs w:val="20"/>
          <w:color w:val="auto"/>
        </w:rPr>
      </w:pPr>
    </w:p>
    <w:p>
      <w:pPr>
        <w:jc w:val="both"/>
        <w:ind w:right="280" w:firstLine="990"/>
        <w:spacing w:after="0" w:line="259" w:lineRule="auto"/>
        <w:tabs>
          <w:tab w:leader="none" w:pos="122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72" w:right="539" w:bottom="1440" w:gutter="0" w:footer="0" w:header="0"/>
        </w:sectPr>
      </w:pPr>
    </w:p>
    <w:bookmarkStart w:id="439" w:name="page440"/>
    <w:bookmarkEnd w:id="439"/>
    <w:p>
      <w:pPr>
        <w:ind w:left="-7" w:firstLine="990"/>
        <w:spacing w:after="0" w:line="281" w:lineRule="auto"/>
        <w:tabs>
          <w:tab w:leader="none" w:pos="1227" w:val="left"/>
        </w:tabs>
        <w:numPr>
          <w:ilvl w:val="1"/>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Arial" w:cs="Arial" w:eastAsia="Arial" w:hAnsi="Arial"/>
          <w:sz w:val="16"/>
          <w:szCs w:val="16"/>
          <w:color w:val="auto"/>
        </w:rPr>
      </w:pPr>
    </w:p>
    <w:p>
      <w:pPr>
        <w:ind w:left="-7" w:right="40" w:firstLine="7"/>
        <w:spacing w:after="0" w:line="298" w:lineRule="auto"/>
        <w:tabs>
          <w:tab w:leader="none" w:pos="27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50" w:lineRule="exact"/>
        <w:rPr>
          <w:rFonts w:ascii="Arial" w:cs="Arial" w:eastAsia="Arial" w:hAnsi="Arial"/>
          <w:sz w:val="16"/>
          <w:szCs w:val="16"/>
          <w:color w:val="auto"/>
        </w:rPr>
      </w:pPr>
    </w:p>
    <w:p>
      <w:pPr>
        <w:ind w:left="-7" w:firstLine="990"/>
        <w:spacing w:after="0" w:line="271" w:lineRule="auto"/>
        <w:tabs>
          <w:tab w:leader="none" w:pos="1217"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67" w:lineRule="exact"/>
        <w:rPr>
          <w:rFonts w:ascii="Arial" w:cs="Arial" w:eastAsia="Arial" w:hAnsi="Arial"/>
          <w:sz w:val="18"/>
          <w:szCs w:val="18"/>
          <w:color w:val="auto"/>
        </w:rPr>
      </w:pPr>
    </w:p>
    <w:p>
      <w:pPr>
        <w:ind w:left="-7" w:right="20" w:firstLine="990"/>
        <w:spacing w:after="0" w:line="286" w:lineRule="auto"/>
        <w:tabs>
          <w:tab w:leader="none" w:pos="1227"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00"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53"/>
          </w:cols>
          <w:pgMar w:left="487" w:top="272" w:right="559" w:bottom="1440" w:gutter="0" w:footer="0" w:header="0"/>
        </w:sectPr>
      </w:pPr>
    </w:p>
    <w:bookmarkStart w:id="440" w:name="page441"/>
    <w:bookmarkEnd w:id="44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114" w:lineRule="exact"/>
        <w:rPr>
          <w:sz w:val="20"/>
          <w:szCs w:val="20"/>
          <w:color w:val="auto"/>
        </w:rPr>
      </w:pPr>
    </w:p>
    <w:p>
      <w:pPr>
        <w:ind w:left="-20" w:right="20" w:firstLine="990"/>
        <w:spacing w:after="0" w:line="282" w:lineRule="auto"/>
        <w:tabs>
          <w:tab w:leader="none" w:pos="120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65" w:lineRule="exact"/>
        <w:rPr>
          <w:rFonts w:ascii="Arial" w:cs="Arial" w:eastAsia="Arial" w:hAnsi="Arial"/>
          <w:sz w:val="16"/>
          <w:szCs w:val="16"/>
          <w:color w:val="auto"/>
        </w:rPr>
      </w:pPr>
    </w:p>
    <w:p>
      <w:pPr>
        <w:ind w:left="-20" w:firstLine="990"/>
        <w:spacing w:after="0" w:line="282" w:lineRule="auto"/>
        <w:tabs>
          <w:tab w:leader="none" w:pos="121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Section 10(a), the Independent Counsel shall be selected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500" w:top="272" w:right="499" w:bottom="1440" w:gutter="0" w:footer="0" w:header="0"/>
        </w:sectPr>
      </w:pPr>
    </w:p>
    <w:bookmarkStart w:id="441" w:name="page442"/>
    <w:bookmarkEnd w:id="441"/>
    <w:p>
      <w:pPr>
        <w:jc w:val="both"/>
        <w:ind w:left="-20" w:firstLine="990"/>
        <w:spacing w:after="0" w:line="275" w:lineRule="auto"/>
        <w:tabs>
          <w:tab w:leader="none" w:pos="1205" w:val="left"/>
        </w:tabs>
        <w:numPr>
          <w:ilvl w:val="0"/>
          <w:numId w:val="3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4" w:lineRule="exact"/>
        <w:rPr>
          <w:sz w:val="20"/>
          <w:szCs w:val="20"/>
          <w:color w:val="auto"/>
        </w:rPr>
      </w:pPr>
    </w:p>
    <w:p>
      <w:pPr>
        <w:ind w:left="-20" w:right="120" w:firstLine="990"/>
        <w:spacing w:after="0" w:line="275" w:lineRule="auto"/>
        <w:tabs>
          <w:tab w:leader="none" w:pos="120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66" w:lineRule="exact"/>
        <w:rPr>
          <w:rFonts w:ascii="Arial" w:cs="Arial" w:eastAsia="Arial" w:hAnsi="Arial"/>
          <w:sz w:val="17"/>
          <w:szCs w:val="17"/>
          <w:color w:val="auto"/>
        </w:rPr>
      </w:pPr>
    </w:p>
    <w:p>
      <w:pPr>
        <w:ind w:left="-20" w:right="20" w:firstLine="990"/>
        <w:spacing w:after="0" w:line="253" w:lineRule="auto"/>
        <w:tabs>
          <w:tab w:leader="none" w:pos="121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85" w:lineRule="exact"/>
        <w:rPr>
          <w:rFonts w:ascii="Arial" w:cs="Arial" w:eastAsia="Arial" w:hAnsi="Arial"/>
          <w:sz w:val="18"/>
          <w:szCs w:val="18"/>
          <w:color w:val="auto"/>
        </w:rPr>
      </w:pPr>
    </w:p>
    <w:p>
      <w:pPr>
        <w:ind w:left="-20" w:right="160" w:firstLine="990"/>
        <w:spacing w:after="0" w:line="266" w:lineRule="auto"/>
        <w:tabs>
          <w:tab w:leader="none" w:pos="120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500" w:top="272" w:right="499" w:bottom="1440" w:gutter="0" w:footer="0" w:header="0"/>
        </w:sectPr>
      </w:pPr>
    </w:p>
    <w:bookmarkStart w:id="442" w:name="page443"/>
    <w:bookmarkEnd w:id="44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4" w:lineRule="exact"/>
        <w:rPr>
          <w:sz w:val="20"/>
          <w:szCs w:val="20"/>
          <w:color w:val="auto"/>
        </w:rPr>
      </w:pPr>
    </w:p>
    <w:p>
      <w:pPr>
        <w:ind w:left="-60" w:firstLine="990"/>
        <w:spacing w:after="0" w:line="283" w:lineRule="auto"/>
        <w:tabs>
          <w:tab w:leader="none" w:pos="11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65" w:lineRule="exact"/>
        <w:rPr>
          <w:rFonts w:ascii="Arial" w:cs="Arial" w:eastAsia="Arial" w:hAnsi="Arial"/>
          <w:sz w:val="16"/>
          <w:szCs w:val="16"/>
          <w:color w:val="auto"/>
        </w:rPr>
      </w:pPr>
    </w:p>
    <w:p>
      <w:pPr>
        <w:ind w:left="-60" w:right="40" w:firstLine="990"/>
        <w:spacing w:after="0" w:line="253" w:lineRule="auto"/>
        <w:tabs>
          <w:tab w:leader="none" w:pos="117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85" w:lineRule="exact"/>
        <w:rPr>
          <w:rFonts w:ascii="Arial" w:cs="Arial" w:eastAsia="Arial" w:hAnsi="Arial"/>
          <w:sz w:val="18"/>
          <w:szCs w:val="18"/>
          <w:color w:val="auto"/>
        </w:rPr>
      </w:pPr>
    </w:p>
    <w:p>
      <w:pPr>
        <w:ind w:left="-60" w:right="60" w:firstLine="990"/>
        <w:spacing w:after="0" w:line="297" w:lineRule="auto"/>
        <w:tabs>
          <w:tab w:leader="none" w:pos="11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52" w:lineRule="exact"/>
        <w:rPr>
          <w:rFonts w:ascii="Arial" w:cs="Arial" w:eastAsia="Arial" w:hAnsi="Arial"/>
          <w:sz w:val="16"/>
          <w:szCs w:val="16"/>
          <w:color w:val="auto"/>
        </w:rPr>
      </w:pPr>
    </w:p>
    <w:p>
      <w:pPr>
        <w:ind w:left="-60" w:right="160" w:firstLine="990"/>
        <w:spacing w:after="0" w:line="259" w:lineRule="auto"/>
        <w:tabs>
          <w:tab w:leader="none" w:pos="117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40" w:top="272" w:right="539" w:bottom="1440" w:gutter="0" w:footer="0" w:header="0"/>
        </w:sectPr>
      </w:pPr>
    </w:p>
    <w:bookmarkStart w:id="443" w:name="page444"/>
    <w:bookmarkEnd w:id="443"/>
    <w:p>
      <w:pPr>
        <w:ind w:left="-7" w:firstLine="990"/>
        <w:spacing w:after="0" w:line="251" w:lineRule="auto"/>
        <w:tabs>
          <w:tab w:leader="none" w:pos="1217"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87" w:lineRule="exact"/>
        <w:rPr>
          <w:rFonts w:ascii="Arial" w:cs="Arial" w:eastAsia="Arial" w:hAnsi="Arial"/>
          <w:sz w:val="18"/>
          <w:szCs w:val="18"/>
          <w:color w:val="auto"/>
        </w:rPr>
      </w:pPr>
    </w:p>
    <w:p>
      <w:pPr>
        <w:ind w:left="-7" w:right="820" w:firstLine="990"/>
        <w:spacing w:after="0" w:line="301" w:lineRule="auto"/>
        <w:tabs>
          <w:tab w:leader="none" w:pos="119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2"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114" w:lineRule="exact"/>
        <w:rPr>
          <w:sz w:val="20"/>
          <w:szCs w:val="20"/>
          <w:color w:val="auto"/>
        </w:rPr>
      </w:pPr>
    </w:p>
    <w:p>
      <w:pPr>
        <w:ind w:left="-7" w:firstLine="990"/>
        <w:spacing w:after="0" w:line="267" w:lineRule="auto"/>
        <w:tabs>
          <w:tab w:leader="none" w:pos="1217"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2" w:lineRule="exact"/>
        <w:rPr>
          <w:rFonts w:ascii="Arial" w:cs="Arial" w:eastAsia="Arial" w:hAnsi="Arial"/>
          <w:sz w:val="17"/>
          <w:szCs w:val="17"/>
          <w:color w:val="auto"/>
        </w:rPr>
      </w:pPr>
    </w:p>
    <w:p>
      <w:pPr>
        <w:ind w:left="-7" w:right="20" w:firstLine="990"/>
        <w:spacing w:after="0" w:line="281" w:lineRule="auto"/>
        <w:tabs>
          <w:tab w:leader="none" w:pos="1227"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w:t>
      </w:r>
    </w:p>
    <w:p>
      <w:pPr>
        <w:spacing w:after="0" w:line="1" w:lineRule="exact"/>
        <w:rPr>
          <w:rFonts w:ascii="Arial" w:cs="Arial" w:eastAsia="Arial" w:hAnsi="Arial"/>
          <w:sz w:val="16"/>
          <w:szCs w:val="16"/>
          <w:color w:val="auto"/>
        </w:rPr>
      </w:pPr>
    </w:p>
    <w:p>
      <w:pPr>
        <w:ind w:left="-7" w:right="540" w:firstLine="7"/>
        <w:spacing w:after="0" w:line="256" w:lineRule="auto"/>
        <w:tabs>
          <w:tab w:leader="none" w:pos="25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copies of such notices delivered to the applicable insurers, and (iii) copies of all subsequent communications and correspondence between the Company and such insurers regarding the Proceeding.</w:t>
      </w:r>
    </w:p>
    <w:p>
      <w:pPr>
        <w:spacing w:after="0" w:line="12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13"/>
          </w:cols>
          <w:pgMar w:left="487" w:top="272" w:right="499" w:bottom="1440" w:gutter="0" w:footer="0" w:header="0"/>
        </w:sectPr>
      </w:pPr>
    </w:p>
    <w:bookmarkStart w:id="444" w:name="page445"/>
    <w:bookmarkEnd w:id="444"/>
    <w:p>
      <w:pPr>
        <w:ind w:right="140" w:firstLine="990"/>
        <w:spacing w:after="0" w:line="259" w:lineRule="auto"/>
        <w:tabs>
          <w:tab w:leader="none" w:pos="1225" w:val="left"/>
        </w:tabs>
        <w:numPr>
          <w:ilvl w:val="0"/>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8" w:lineRule="exact"/>
        <w:rPr>
          <w:rFonts w:ascii="Arial" w:cs="Arial" w:eastAsia="Arial" w:hAnsi="Arial"/>
          <w:sz w:val="18"/>
          <w:szCs w:val="18"/>
          <w:color w:val="auto"/>
        </w:rPr>
      </w:pPr>
    </w:p>
    <w:p>
      <w:pPr>
        <w:jc w:val="both"/>
        <w:ind w:right="40" w:firstLine="990"/>
        <w:spacing w:after="0" w:line="259" w:lineRule="auto"/>
        <w:tabs>
          <w:tab w:leader="none" w:pos="12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86" w:lineRule="exact"/>
        <w:rPr>
          <w:sz w:val="20"/>
          <w:szCs w:val="20"/>
          <w:color w:val="auto"/>
        </w:rPr>
      </w:pPr>
    </w:p>
    <w:p>
      <w:pPr>
        <w:ind w:right="40" w:firstLine="436"/>
        <w:spacing w:after="0" w:line="250"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99"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right="180" w:firstLine="7"/>
        <w:spacing w:after="0" w:line="252" w:lineRule="auto"/>
        <w:tabs>
          <w:tab w:leader="none" w:pos="2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4" w:lineRule="exact"/>
        <w:rPr>
          <w:sz w:val="20"/>
          <w:szCs w:val="20"/>
          <w:color w:val="auto"/>
        </w:rPr>
      </w:pPr>
    </w:p>
    <w:p>
      <w:pPr>
        <w:ind w:right="60" w:firstLine="990"/>
        <w:spacing w:after="0" w:line="259" w:lineRule="auto"/>
        <w:tabs>
          <w:tab w:leader="none" w:pos="122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80" w:top="272" w:right="539" w:bottom="1440" w:gutter="0" w:footer="0" w:header="0"/>
        </w:sectPr>
      </w:pPr>
    </w:p>
    <w:bookmarkStart w:id="445" w:name="page446"/>
    <w:bookmarkEnd w:id="445"/>
    <w:p>
      <w:pPr>
        <w:jc w:val="both"/>
        <w:ind w:firstLine="990"/>
        <w:spacing w:after="0" w:line="255" w:lineRule="auto"/>
        <w:tabs>
          <w:tab w:leader="none" w:pos="1235"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9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93" w:lineRule="exact"/>
        <w:rPr>
          <w:sz w:val="20"/>
          <w:szCs w:val="20"/>
          <w:color w:val="auto"/>
        </w:rPr>
      </w:pPr>
    </w:p>
    <w:p>
      <w:pPr>
        <w:ind w:right="20" w:firstLine="436"/>
        <w:spacing w:after="0" w:line="251"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97" w:lineRule="exact"/>
        <w:rPr>
          <w:sz w:val="20"/>
          <w:szCs w:val="20"/>
          <w:color w:val="auto"/>
        </w:rPr>
      </w:pPr>
    </w:p>
    <w:p>
      <w:pPr>
        <w:ind w:right="220" w:firstLine="436"/>
        <w:spacing w:after="0" w:line="287"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spacing w:after="0" w:line="1" w:lineRule="exact"/>
        <w:rPr>
          <w:sz w:val="20"/>
          <w:szCs w:val="20"/>
          <w:color w:val="auto"/>
        </w:rPr>
      </w:pPr>
    </w:p>
    <w:p>
      <w:pPr>
        <w:ind w:right="20" w:firstLine="7"/>
        <w:spacing w:after="0" w:line="252" w:lineRule="auto"/>
        <w:tabs>
          <w:tab w:leader="none" w:pos="26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84" w:lineRule="exact"/>
        <w:rPr>
          <w:rFonts w:ascii="Arial" w:cs="Arial" w:eastAsia="Arial" w:hAnsi="Arial"/>
          <w:sz w:val="18"/>
          <w:szCs w:val="18"/>
          <w:color w:val="auto"/>
        </w:rPr>
      </w:pPr>
    </w:p>
    <w:p>
      <w:pPr>
        <w:ind w:left="1240" w:hanging="250"/>
        <w:spacing w:after="0"/>
        <w:tabs>
          <w:tab w:leader="none" w:pos="12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480" w:top="272" w:right="559" w:bottom="1440" w:gutter="0" w:footer="0" w:header="0"/>
        </w:sectPr>
      </w:pPr>
    </w:p>
    <w:bookmarkStart w:id="446" w:name="page447"/>
    <w:bookmarkEnd w:id="44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Monte Rosa Therapeutics, Inc.</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645 Summer Street, Suite 102</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 02210</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14"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64"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78"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480" w:top="272" w:right="559" w:bottom="1440" w:gutter="0" w:footer="0" w:header="0"/>
        </w:sectPr>
      </w:pPr>
    </w:p>
    <w:bookmarkStart w:id="447" w:name="page448"/>
    <w:bookmarkEnd w:id="447"/>
    <w:p>
      <w:pPr>
        <w:ind w:right="1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5" w:lineRule="exact"/>
        <w:rPr>
          <w:sz w:val="20"/>
          <w:szCs w:val="20"/>
          <w:color w:val="auto"/>
        </w:rPr>
      </w:pPr>
    </w:p>
    <w:p>
      <w:pPr>
        <w:ind w:right="20" w:firstLine="436"/>
        <w:spacing w:after="0" w:line="28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Identical 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9"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Monetary Damages Insufficient/Specific Enforcement</w:t>
      </w:r>
      <w:r>
        <w:rPr>
          <w:rFonts w:ascii="Arial" w:cs="Arial" w:eastAsia="Arial" w:hAnsi="Arial"/>
          <w:sz w:val="17"/>
          <w:szCs w:val="17"/>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480" w:top="272" w:right="579" w:bottom="1440" w:gutter="0" w:footer="0" w:header="0"/>
        </w:sectPr>
      </w:pPr>
    </w:p>
    <w:bookmarkStart w:id="448" w:name="page449"/>
    <w:bookmarkEnd w:id="4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have caused this Agreement to be signed as of the day and year first above written.</w:t>
      </w:r>
    </w:p>
    <w:p>
      <w:pPr>
        <w:spacing w:after="0" w:line="255"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MONTE ROSA THERAPEUTICS, INC.</w:t>
      </w:r>
    </w:p>
    <w:p>
      <w:pPr>
        <w:spacing w:after="0" w:line="2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253936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276860</wp:posOffset>
            </wp:positionV>
            <wp:extent cx="25393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 of Indemnitee]</w:t>
      </w:r>
    </w:p>
    <w:p>
      <w:pPr>
        <w:sectPr>
          <w:pgSz w:w="11900" w:h="16838" w:orient="portrait"/>
          <w:cols w:equalWidth="0" w:num="1">
            <w:col w:w="9539"/>
          </w:cols>
          <w:pgMar w:left="920" w:top="272" w:right="1440"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 ROSA THERAPEUTICS,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 INDEMNIFICATION AGREEMENT</w:t>
      </w:r>
    </w:p>
    <w:p>
      <w:pPr>
        <w:spacing w:after="0" w:line="225"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[Date] by and between Monte Rosa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[Director Name]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attract and retain the services of highly qualified individuals, such as Indemnitee, to serve the Company;</w:t>
      </w:r>
    </w:p>
    <w:p>
      <w:pPr>
        <w:spacing w:after="0" w:line="244"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WHEREAS, the Fourth Amended and Restated Certificate of Incorporation (as amended and in effect from time to time, the “</w:t>
      </w:r>
      <w:r>
        <w:rPr>
          <w:rFonts w:ascii="Arial" w:cs="Arial" w:eastAsia="Arial" w:hAnsi="Arial"/>
          <w:sz w:val="18"/>
          <w:szCs w:val="18"/>
          <w:u w:val="single" w:color="auto"/>
          <w:color w:val="auto"/>
        </w:rPr>
        <w:t>Charter</w:t>
      </w:r>
      <w:r>
        <w:rPr>
          <w:rFonts w:ascii="Arial" w:cs="Arial" w:eastAsia="Arial" w:hAnsi="Arial"/>
          <w:sz w:val="18"/>
          <w:szCs w:val="18"/>
          <w:color w:val="auto"/>
        </w:rPr>
        <w:t>”) and the Amended and Restated Bylaws (as amended and in effect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0"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6"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5"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86" w:lineRule="exact"/>
        <w:rPr>
          <w:sz w:val="20"/>
          <w:szCs w:val="20"/>
          <w:color w:val="auto"/>
        </w:rPr>
      </w:pPr>
    </w:p>
    <w:p>
      <w:pPr>
        <w:ind w:right="120" w:firstLine="436"/>
        <w:spacing w:after="0" w:line="335"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28" w:lineRule="exact"/>
        <w:rPr>
          <w:sz w:val="20"/>
          <w:szCs w:val="20"/>
          <w:color w:val="auto"/>
        </w:rPr>
      </w:pPr>
    </w:p>
    <w:p>
      <w:pPr>
        <w:ind w:right="640" w:firstLine="436"/>
        <w:spacing w:after="0" w:line="255" w:lineRule="auto"/>
        <w:rPr>
          <w:sz w:val="20"/>
          <w:szCs w:val="20"/>
          <w:color w:val="auto"/>
        </w:rPr>
      </w:pPr>
      <w:r>
        <w:rPr>
          <w:rFonts w:ascii="Arial" w:cs="Arial" w:eastAsia="Arial" w:hAnsi="Arial"/>
          <w:sz w:val="18"/>
          <w:szCs w:val="18"/>
          <w:color w:val="auto"/>
        </w:rPr>
        <w:t>[WHEREAS, Indemnitee has certain rights to indemnification and/or insurance provided by [Name of Fund/Sponsor]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ectPr>
          <w:pgSz w:w="11900" w:h="16838" w:orient="portrait"/>
          <w:cols w:equalWidth="0" w:num="1">
            <w:col w:w="10920"/>
          </w:cols>
          <w:pgMar w:left="480" w:top="121" w:right="499" w:bottom="1440" w:gutter="0" w:footer="0" w:header="0"/>
        </w:sectPr>
      </w:pPr>
    </w:p>
    <w:bookmarkStart w:id="450" w:name="page451"/>
    <w:bookmarkEnd w:id="450"/>
    <w:p>
      <w:pPr>
        <w:ind w:right="1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175"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serve or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114" w:lineRule="exact"/>
        <w:rPr>
          <w:sz w:val="20"/>
          <w:szCs w:val="20"/>
          <w:color w:val="auto"/>
        </w:rPr>
      </w:pPr>
    </w:p>
    <w:p>
      <w:pPr>
        <w:ind w:right="120" w:firstLine="990"/>
        <w:spacing w:after="0" w:line="255" w:lineRule="auto"/>
        <w:tabs>
          <w:tab w:leader="none" w:pos="122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and “Associate</w:t>
      </w:r>
      <w:r>
        <w:rPr>
          <w:rFonts w:ascii="Arial" w:cs="Arial" w:eastAsia="Arial" w:hAnsi="Arial"/>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83" w:lineRule="exact"/>
        <w:rPr>
          <w:rFonts w:ascii="Arial" w:cs="Arial" w:eastAsia="Arial" w:hAnsi="Arial"/>
          <w:sz w:val="18"/>
          <w:szCs w:val="18"/>
          <w:color w:val="auto"/>
        </w:rPr>
      </w:pPr>
    </w:p>
    <w:p>
      <w:pPr>
        <w:ind w:left="1240" w:hanging="250"/>
        <w:spacing w:after="0"/>
        <w:tabs>
          <w:tab w:leader="none" w:pos="12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 Person shall be deemed the “Beneficial Owner” of, and shall be deemed to “Beneficially Own” and have “Beneficial Ownership”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securities:</w:t>
      </w:r>
    </w:p>
    <w:p>
      <w:pPr>
        <w:spacing w:after="0" w:line="101" w:lineRule="exact"/>
        <w:rPr>
          <w:sz w:val="20"/>
          <w:szCs w:val="20"/>
          <w:color w:val="auto"/>
        </w:rPr>
      </w:pPr>
    </w:p>
    <w:p>
      <w:pPr>
        <w:ind w:right="60" w:firstLine="990"/>
        <w:spacing w:after="0" w:line="271" w:lineRule="auto"/>
        <w:tabs>
          <w:tab w:leader="none" w:pos="119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67" w:lineRule="exact"/>
        <w:rPr>
          <w:rFonts w:ascii="Arial" w:cs="Arial" w:eastAsia="Arial" w:hAnsi="Arial"/>
          <w:sz w:val="18"/>
          <w:szCs w:val="18"/>
          <w:color w:val="auto"/>
        </w:rPr>
      </w:pPr>
    </w:p>
    <w:p>
      <w:pPr>
        <w:ind w:right="40" w:firstLine="990"/>
        <w:spacing w:after="0" w:line="251" w:lineRule="auto"/>
        <w:tabs>
          <w:tab w:leader="none" w:pos="124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89" w:lineRule="exact"/>
        <w:rPr>
          <w:rFonts w:ascii="Arial" w:cs="Arial" w:eastAsia="Arial" w:hAnsi="Arial"/>
          <w:sz w:val="18"/>
          <w:szCs w:val="18"/>
          <w:color w:val="auto"/>
        </w:rPr>
      </w:pPr>
    </w:p>
    <w:p>
      <w:pPr>
        <w:ind w:right="460" w:firstLine="990"/>
        <w:spacing w:after="0" w:line="255" w:lineRule="auto"/>
        <w:tabs>
          <w:tab w:leader="none" w:pos="129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451" w:name="page452"/>
    <w:bookmarkEnd w:id="451"/>
    <w:p>
      <w:pPr>
        <w:ind w:firstLine="990"/>
        <w:spacing w:after="0" w:line="287" w:lineRule="auto"/>
        <w:tabs>
          <w:tab w:leader="none" w:pos="1284"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66" w:lineRule="exact"/>
        <w:rPr>
          <w:sz w:val="20"/>
          <w:szCs w:val="20"/>
          <w:color w:val="auto"/>
        </w:rPr>
      </w:pPr>
    </w:p>
    <w:p>
      <w:pPr>
        <w:ind w:right="580" w:firstLine="436"/>
        <w:spacing w:after="0" w:line="301" w:lineRule="auto"/>
        <w:rPr>
          <w:sz w:val="20"/>
          <w:szCs w:val="20"/>
          <w:color w:val="auto"/>
        </w:rPr>
      </w:pPr>
      <w:r>
        <w:rPr>
          <w:rFonts w:ascii="Arial" w:cs="Arial" w:eastAsia="Arial" w:hAnsi="Arial"/>
          <w:sz w:val="17"/>
          <w:szCs w:val="17"/>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events</w:t>
      </w:r>
      <w:r>
        <w:rPr>
          <w:rFonts w:ascii="Arial" w:cs="Arial" w:eastAsia="Arial" w:hAnsi="Arial"/>
          <w:sz w:val="18"/>
          <w:szCs w:val="18"/>
          <w:i w:val="1"/>
          <w:iCs w:val="1"/>
          <w:color w:val="auto"/>
        </w:rPr>
        <w:t>:</w:t>
      </w:r>
    </w:p>
    <w:p>
      <w:pPr>
        <w:spacing w:after="0" w:line="101" w:lineRule="exact"/>
        <w:rPr>
          <w:sz w:val="20"/>
          <w:szCs w:val="20"/>
          <w:color w:val="auto"/>
        </w:rPr>
      </w:pPr>
    </w:p>
    <w:p>
      <w:pPr>
        <w:ind w:right="120" w:firstLine="990"/>
        <w:spacing w:after="0" w:line="288" w:lineRule="auto"/>
        <w:tabs>
          <w:tab w:leader="none" w:pos="1195"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Any Person is or becomes the Beneficial Owner (as defined above), directly or indirectly, of securities of the Company representing fifty percent (50%) or more of the combined voting power of the Company’s then outstanding securities [(other than acquisitions of Class B Common Stock by a Qualified Stockholder or its Permitted Transferees (as such terms are defined in the Charter))] unless the change in relative Beneficial Ownership of the Company’s securities by any Person results solely from a reduction in the aggregate number of outstanding shares of securities entitled to vote generally in the election of directors [or as a result of conversions of Class B Common Stock],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59" w:lineRule="exact"/>
        <w:rPr>
          <w:rFonts w:ascii="Arial" w:cs="Arial" w:eastAsia="Arial" w:hAnsi="Arial"/>
          <w:sz w:val="16"/>
          <w:szCs w:val="16"/>
          <w:color w:val="auto"/>
        </w:rPr>
      </w:pPr>
    </w:p>
    <w:p>
      <w:pPr>
        <w:ind w:right="180" w:firstLine="990"/>
        <w:spacing w:after="0" w:line="252" w:lineRule="auto"/>
        <w:tabs>
          <w:tab w:leader="none" w:pos="1244"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52" w:name="page453"/>
    <w:bookmarkEnd w:id="452"/>
    <w:p>
      <w:pPr>
        <w:ind w:left="-40" w:firstLine="990"/>
        <w:spacing w:after="0" w:line="293" w:lineRule="auto"/>
        <w:tabs>
          <w:tab w:leader="none" w:pos="1254"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Corporate Transactions</w:t>
      </w:r>
      <w:r>
        <w:rPr>
          <w:rFonts w:ascii="Arial" w:cs="Arial" w:eastAsia="Arial" w:hAnsi="Arial"/>
          <w:sz w:val="16"/>
          <w:szCs w:val="16"/>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53" w:lineRule="exact"/>
        <w:rPr>
          <w:rFonts w:ascii="Arial" w:cs="Arial" w:eastAsia="Arial" w:hAnsi="Arial"/>
          <w:sz w:val="16"/>
          <w:szCs w:val="16"/>
          <w:color w:val="auto"/>
        </w:rPr>
      </w:pPr>
    </w:p>
    <w:p>
      <w:pPr>
        <w:ind w:left="-40" w:firstLine="990"/>
        <w:spacing w:after="0" w:line="335" w:lineRule="auto"/>
        <w:tabs>
          <w:tab w:leader="none" w:pos="1244"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21" w:lineRule="exact"/>
        <w:rPr>
          <w:rFonts w:ascii="Arial" w:cs="Arial" w:eastAsia="Arial" w:hAnsi="Arial"/>
          <w:sz w:val="16"/>
          <w:szCs w:val="16"/>
          <w:color w:val="auto"/>
        </w:rPr>
      </w:pPr>
    </w:p>
    <w:p>
      <w:pPr>
        <w:ind w:left="-40" w:right="80" w:firstLine="990"/>
        <w:spacing w:after="0" w:line="259" w:lineRule="auto"/>
        <w:tabs>
          <w:tab w:leader="none" w:pos="1194"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79" w:lineRule="exact"/>
        <w:rPr>
          <w:sz w:val="20"/>
          <w:szCs w:val="20"/>
          <w:color w:val="auto"/>
        </w:rPr>
      </w:pPr>
    </w:p>
    <w:p>
      <w:pPr>
        <w:ind w:left="-40" w:right="540" w:firstLine="990"/>
        <w:spacing w:after="0" w:line="335" w:lineRule="auto"/>
        <w:tabs>
          <w:tab w:leader="none" w:pos="119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21" w:lineRule="exact"/>
        <w:rPr>
          <w:rFonts w:ascii="Arial" w:cs="Arial" w:eastAsia="Arial" w:hAnsi="Arial"/>
          <w:sz w:val="16"/>
          <w:szCs w:val="16"/>
          <w:color w:val="auto"/>
        </w:rPr>
      </w:pPr>
    </w:p>
    <w:p>
      <w:pPr>
        <w:ind w:left="-40" w:right="40" w:firstLine="990"/>
        <w:spacing w:after="0" w:line="255" w:lineRule="auto"/>
        <w:tabs>
          <w:tab w:leader="none" w:pos="118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83" w:lineRule="exact"/>
        <w:rPr>
          <w:rFonts w:ascii="Arial" w:cs="Arial" w:eastAsia="Arial" w:hAnsi="Arial"/>
          <w:sz w:val="18"/>
          <w:szCs w:val="18"/>
          <w:color w:val="auto"/>
        </w:rPr>
      </w:pPr>
    </w:p>
    <w:p>
      <w:pPr>
        <w:jc w:val="both"/>
        <w:ind w:left="-40" w:right="360" w:firstLine="990"/>
        <w:spacing w:after="0" w:line="259" w:lineRule="auto"/>
        <w:tabs>
          <w:tab w:leader="none" w:pos="116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78" w:lineRule="exact"/>
        <w:rPr>
          <w:rFonts w:ascii="Arial" w:cs="Arial" w:eastAsia="Arial" w:hAnsi="Arial"/>
          <w:sz w:val="18"/>
          <w:szCs w:val="18"/>
          <w:color w:val="auto"/>
        </w:rPr>
      </w:pPr>
    </w:p>
    <w:p>
      <w:pPr>
        <w:ind w:left="-40" w:firstLine="990"/>
        <w:spacing w:after="0" w:line="293" w:lineRule="auto"/>
        <w:tabs>
          <w:tab w:leader="none" w:pos="119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20" w:top="272" w:right="539" w:bottom="1440" w:gutter="0" w:footer="0" w:header="0"/>
        </w:sectPr>
      </w:pPr>
    </w:p>
    <w:bookmarkStart w:id="453" w:name="page454"/>
    <w:bookmarkEnd w:id="453"/>
    <w:p>
      <w:pPr>
        <w:ind w:right="40" w:firstLine="990"/>
        <w:spacing w:after="0" w:line="268" w:lineRule="auto"/>
        <w:tabs>
          <w:tab w:leader="none" w:pos="1235" w:val="left"/>
        </w:tabs>
        <w:numPr>
          <w:ilvl w:val="0"/>
          <w:numId w:val="3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72" w:lineRule="exact"/>
        <w:rPr>
          <w:rFonts w:ascii="Arial" w:cs="Arial" w:eastAsia="Arial" w:hAnsi="Arial"/>
          <w:sz w:val="17"/>
          <w:szCs w:val="17"/>
          <w:color w:val="auto"/>
        </w:rPr>
      </w:pPr>
    </w:p>
    <w:p>
      <w:pPr>
        <w:jc w:val="both"/>
        <w:ind w:right="80" w:firstLine="990"/>
        <w:spacing w:after="0" w:line="255" w:lineRule="auto"/>
        <w:tabs>
          <w:tab w:leader="none" w:pos="119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83" w:lineRule="exact"/>
        <w:rPr>
          <w:rFonts w:ascii="Arial" w:cs="Arial" w:eastAsia="Arial" w:hAnsi="Arial"/>
          <w:sz w:val="18"/>
          <w:szCs w:val="18"/>
          <w:color w:val="auto"/>
        </w:rPr>
      </w:pPr>
    </w:p>
    <w:p>
      <w:pPr>
        <w:ind w:right="80" w:firstLine="990"/>
        <w:spacing w:after="0" w:line="267" w:lineRule="auto"/>
        <w:tabs>
          <w:tab w:leader="none" w:pos="119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“Proceeding” shall not include any action, suit or arbitration, or part thereof, initiated by Indemnitee to enforce Indemnitee’s rights under this Agreement as provided for in Section 12(a) of this Agreement.</w:t>
      </w:r>
    </w:p>
    <w:p>
      <w:pPr>
        <w:spacing w:after="0" w:line="179"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454" w:name="page455"/>
    <w:bookmarkEnd w:id="454"/>
    <w:p>
      <w:pPr>
        <w:ind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7"/>
          <w:szCs w:val="17"/>
          <w:u w:val="single" w:color="auto"/>
          <w:color w:val="auto"/>
        </w:rPr>
        <w:t>Delaware Court</w:t>
      </w:r>
      <w:r>
        <w:rPr>
          <w:rFonts w:ascii="Arial" w:cs="Arial" w:eastAsia="Arial" w:hAnsi="Arial"/>
          <w:sz w:val="17"/>
          <w:szCs w:val="17"/>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83" w:lineRule="exact"/>
        <w:rPr>
          <w:sz w:val="20"/>
          <w:szCs w:val="20"/>
          <w:color w:val="auto"/>
        </w:rPr>
      </w:pPr>
    </w:p>
    <w:p>
      <w:pPr>
        <w:ind w:right="60" w:firstLine="436"/>
        <w:spacing w:after="0" w:line="26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Reimbursement for Expenses of a Witness or in Response to a Subpoena</w:t>
      </w:r>
      <w:r>
        <w:rPr>
          <w:rFonts w:ascii="Arial" w:cs="Arial" w:eastAsia="Arial" w:hAnsi="Arial"/>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 Notwithstanding any provision in this Agreement to the contrary, the Company shall not be obligated under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101" w:lineRule="exact"/>
        <w:rPr>
          <w:sz w:val="20"/>
          <w:szCs w:val="20"/>
          <w:color w:val="auto"/>
        </w:rPr>
      </w:pPr>
    </w:p>
    <w:p>
      <w:pPr>
        <w:jc w:val="both"/>
        <w:ind w:firstLine="990"/>
        <w:spacing w:after="0" w:line="255" w:lineRule="auto"/>
        <w:tabs>
          <w:tab w:leader="none" w:pos="122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[i] apply to any personal or umbrella liability insurance maintained by Indemnitee, [or (ii) affect the rights of Indemnitee or the Fund Indemnitors as set forth in Section 13(c);</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455" w:name="page456"/>
    <w:bookmarkEnd w:id="455"/>
    <w:p>
      <w:pPr>
        <w:ind w:right="300" w:firstLine="990"/>
        <w:spacing w:after="0" w:line="307" w:lineRule="auto"/>
        <w:tabs>
          <w:tab w:leader="none" w:pos="1235" w:val="left"/>
        </w:tabs>
        <w:numPr>
          <w:ilvl w:val="1"/>
          <w:numId w:val="3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w:t>
      </w:r>
      <w:r>
        <w:rPr>
          <w:rFonts w:ascii="Arial" w:cs="Arial" w:eastAsia="Arial" w:hAnsi="Arial"/>
          <w:sz w:val="16"/>
          <w:szCs w:val="16"/>
          <w:u w:val="single" w:color="auto"/>
          <w:color w:val="auto"/>
        </w:rPr>
        <w:t>SOX</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jc w:val="both"/>
        <w:ind w:right="320" w:firstLine="990"/>
        <w:spacing w:after="0" w:line="287" w:lineRule="auto"/>
        <w:tabs>
          <w:tab w:leader="none" w:pos="1225"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right="100" w:firstLine="7"/>
        <w:spacing w:after="0" w:line="250" w:lineRule="auto"/>
        <w:tabs>
          <w:tab w:leader="none" w:pos="2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the Company provides the indemnification, in its sole discretion, pursuant to the powers vested in the Company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85" w:lineRule="exact"/>
        <w:rPr>
          <w:rFonts w:ascii="Arial" w:cs="Arial" w:eastAsia="Arial" w:hAnsi="Arial"/>
          <w:sz w:val="18"/>
          <w:szCs w:val="18"/>
          <w:color w:val="auto"/>
        </w:rPr>
      </w:pPr>
    </w:p>
    <w:p>
      <w:pPr>
        <w:ind w:firstLine="990"/>
        <w:spacing w:after="0" w:line="271" w:lineRule="auto"/>
        <w:tabs>
          <w:tab w:leader="none" w:pos="1235"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5" w:lineRule="exact"/>
        <w:rPr>
          <w:sz w:val="20"/>
          <w:szCs w:val="20"/>
          <w:color w:val="auto"/>
        </w:rPr>
      </w:pPr>
    </w:p>
    <w:p>
      <w:pPr>
        <w:ind w:right="100" w:firstLine="436"/>
        <w:spacing w:after="0" w:line="28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w:t>
      </w:r>
    </w:p>
    <w:p>
      <w:pPr>
        <w:spacing w:after="0" w:line="2" w:lineRule="exact"/>
        <w:rPr>
          <w:sz w:val="20"/>
          <w:szCs w:val="20"/>
          <w:color w:val="auto"/>
        </w:rPr>
      </w:pPr>
    </w:p>
    <w:p>
      <w:pPr>
        <w:ind w:right="20" w:firstLine="7"/>
        <w:spacing w:after="0" w:line="284" w:lineRule="auto"/>
        <w:tabs>
          <w:tab w:leader="none" w:pos="26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114" w:lineRule="exact"/>
        <w:rPr>
          <w:sz w:val="20"/>
          <w:szCs w:val="20"/>
          <w:color w:val="auto"/>
        </w:rPr>
      </w:pPr>
    </w:p>
    <w:p>
      <w:pPr>
        <w:jc w:val="both"/>
        <w:ind w:right="280" w:firstLine="990"/>
        <w:spacing w:after="0" w:line="259" w:lineRule="auto"/>
        <w:tabs>
          <w:tab w:leader="none" w:pos="122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72" w:right="539" w:bottom="1440" w:gutter="0" w:footer="0" w:header="0"/>
        </w:sectPr>
      </w:pPr>
    </w:p>
    <w:bookmarkStart w:id="456" w:name="page457"/>
    <w:bookmarkEnd w:id="456"/>
    <w:p>
      <w:pPr>
        <w:ind w:left="-7" w:firstLine="990"/>
        <w:spacing w:after="0" w:line="281" w:lineRule="auto"/>
        <w:tabs>
          <w:tab w:leader="none" w:pos="1227" w:val="left"/>
        </w:tabs>
        <w:numPr>
          <w:ilvl w:val="1"/>
          <w:numId w:val="3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Arial" w:cs="Arial" w:eastAsia="Arial" w:hAnsi="Arial"/>
          <w:sz w:val="16"/>
          <w:szCs w:val="16"/>
          <w:color w:val="auto"/>
        </w:rPr>
      </w:pPr>
    </w:p>
    <w:p>
      <w:pPr>
        <w:ind w:left="-7" w:right="40" w:firstLine="7"/>
        <w:spacing w:after="0" w:line="298" w:lineRule="auto"/>
        <w:tabs>
          <w:tab w:leader="none" w:pos="27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50" w:lineRule="exact"/>
        <w:rPr>
          <w:rFonts w:ascii="Arial" w:cs="Arial" w:eastAsia="Arial" w:hAnsi="Arial"/>
          <w:sz w:val="16"/>
          <w:szCs w:val="16"/>
          <w:color w:val="auto"/>
        </w:rPr>
      </w:pPr>
    </w:p>
    <w:p>
      <w:pPr>
        <w:ind w:left="-7" w:firstLine="990"/>
        <w:spacing w:after="0" w:line="271" w:lineRule="auto"/>
        <w:tabs>
          <w:tab w:leader="none" w:pos="121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67" w:lineRule="exact"/>
        <w:rPr>
          <w:rFonts w:ascii="Arial" w:cs="Arial" w:eastAsia="Arial" w:hAnsi="Arial"/>
          <w:sz w:val="18"/>
          <w:szCs w:val="18"/>
          <w:color w:val="auto"/>
        </w:rPr>
      </w:pPr>
    </w:p>
    <w:p>
      <w:pPr>
        <w:ind w:left="-7" w:right="20" w:firstLine="990"/>
        <w:spacing w:after="0" w:line="286" w:lineRule="auto"/>
        <w:tabs>
          <w:tab w:leader="none" w:pos="1227"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00"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53"/>
          </w:cols>
          <w:pgMar w:left="487" w:top="272" w:right="559" w:bottom="1440" w:gutter="0" w:footer="0" w:header="0"/>
        </w:sectPr>
      </w:pPr>
    </w:p>
    <w:bookmarkStart w:id="457" w:name="page458"/>
    <w:bookmarkEnd w:id="457"/>
    <w:p>
      <w:pPr>
        <w:ind w:left="43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114" w:lineRule="exact"/>
        <w:rPr>
          <w:sz w:val="20"/>
          <w:szCs w:val="20"/>
          <w:color w:val="auto"/>
        </w:rPr>
      </w:pPr>
    </w:p>
    <w:p>
      <w:pPr>
        <w:ind w:left="-7" w:right="60" w:firstLine="990"/>
        <w:spacing w:after="0" w:line="264" w:lineRule="auto"/>
        <w:tabs>
          <w:tab w:leader="none" w:pos="1217" w:val="left"/>
        </w:tabs>
        <w:numPr>
          <w:ilvl w:val="1"/>
          <w:numId w:val="367"/>
        </w:numPr>
        <w:rPr>
          <w:rFonts w:ascii="Arial" w:cs="Arial" w:eastAsia="Arial" w:hAnsi="Arial"/>
          <w:sz w:val="17"/>
          <w:szCs w:val="17"/>
          <w:color w:val="auto"/>
        </w:rPr>
      </w:pPr>
      <w:r>
        <w:rPr>
          <w:rFonts w:ascii="Arial" w:cs="Arial" w:eastAsia="Arial" w:hAnsi="Arial"/>
          <w:sz w:val="17"/>
          <w:szCs w:val="17"/>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87" w:lineRule="exact"/>
        <w:rPr>
          <w:rFonts w:ascii="Arial" w:cs="Arial" w:eastAsia="Arial" w:hAnsi="Arial"/>
          <w:sz w:val="17"/>
          <w:szCs w:val="17"/>
          <w:color w:val="auto"/>
        </w:rPr>
      </w:pPr>
    </w:p>
    <w:p>
      <w:pPr>
        <w:ind w:left="-7" w:firstLine="990"/>
        <w:spacing w:after="0" w:line="281" w:lineRule="auto"/>
        <w:tabs>
          <w:tab w:leader="none" w:pos="1227" w:val="left"/>
        </w:tabs>
        <w:numPr>
          <w:ilvl w:val="1"/>
          <w:numId w:val="367"/>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spacing w:after="0" w:line="1" w:lineRule="exact"/>
        <w:rPr>
          <w:rFonts w:ascii="Arial" w:cs="Arial" w:eastAsia="Arial" w:hAnsi="Arial"/>
          <w:sz w:val="16"/>
          <w:szCs w:val="16"/>
          <w:color w:val="auto"/>
        </w:rPr>
      </w:pPr>
    </w:p>
    <w:p>
      <w:pPr>
        <w:ind w:left="-7" w:right="80" w:firstLine="7"/>
        <w:spacing w:after="0" w:line="285" w:lineRule="auto"/>
        <w:tabs>
          <w:tab w:leader="none" w:pos="20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03"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93"/>
          </w:cols>
          <w:pgMar w:left="487" w:top="272" w:right="519" w:bottom="1440" w:gutter="0" w:footer="0" w:header="0"/>
        </w:sectPr>
      </w:pPr>
    </w:p>
    <w:bookmarkStart w:id="458" w:name="page459"/>
    <w:bookmarkEnd w:id="458"/>
    <w:p>
      <w:pPr>
        <w:jc w:val="both"/>
        <w:ind w:left="-20" w:firstLine="990"/>
        <w:spacing w:after="0" w:line="275" w:lineRule="auto"/>
        <w:tabs>
          <w:tab w:leader="none" w:pos="1205" w:val="left"/>
        </w:tabs>
        <w:numPr>
          <w:ilvl w:val="0"/>
          <w:numId w:val="3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4" w:lineRule="exact"/>
        <w:rPr>
          <w:sz w:val="20"/>
          <w:szCs w:val="20"/>
          <w:color w:val="auto"/>
        </w:rPr>
      </w:pPr>
    </w:p>
    <w:p>
      <w:pPr>
        <w:ind w:left="-20" w:right="120" w:firstLine="990"/>
        <w:spacing w:after="0" w:line="275" w:lineRule="auto"/>
        <w:tabs>
          <w:tab w:leader="none" w:pos="120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66" w:lineRule="exact"/>
        <w:rPr>
          <w:rFonts w:ascii="Arial" w:cs="Arial" w:eastAsia="Arial" w:hAnsi="Arial"/>
          <w:sz w:val="17"/>
          <w:szCs w:val="17"/>
          <w:color w:val="auto"/>
        </w:rPr>
      </w:pPr>
    </w:p>
    <w:p>
      <w:pPr>
        <w:ind w:left="-20" w:right="20" w:firstLine="990"/>
        <w:spacing w:after="0" w:line="253" w:lineRule="auto"/>
        <w:tabs>
          <w:tab w:leader="none" w:pos="121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85" w:lineRule="exact"/>
        <w:rPr>
          <w:rFonts w:ascii="Arial" w:cs="Arial" w:eastAsia="Arial" w:hAnsi="Arial"/>
          <w:sz w:val="18"/>
          <w:szCs w:val="18"/>
          <w:color w:val="auto"/>
        </w:rPr>
      </w:pPr>
    </w:p>
    <w:p>
      <w:pPr>
        <w:ind w:left="-20" w:right="160" w:firstLine="990"/>
        <w:spacing w:after="0" w:line="266" w:lineRule="auto"/>
        <w:tabs>
          <w:tab w:leader="none" w:pos="120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500" w:top="272" w:right="499" w:bottom="1440" w:gutter="0" w:footer="0" w:header="0"/>
        </w:sectPr>
      </w:pPr>
    </w:p>
    <w:bookmarkStart w:id="459" w:name="page460"/>
    <w:bookmarkEnd w:id="459"/>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4" w:lineRule="exact"/>
        <w:rPr>
          <w:sz w:val="20"/>
          <w:szCs w:val="20"/>
          <w:color w:val="auto"/>
        </w:rPr>
      </w:pPr>
    </w:p>
    <w:p>
      <w:pPr>
        <w:ind w:left="-60" w:firstLine="990"/>
        <w:spacing w:after="0" w:line="283" w:lineRule="auto"/>
        <w:tabs>
          <w:tab w:leader="none" w:pos="116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65" w:lineRule="exact"/>
        <w:rPr>
          <w:rFonts w:ascii="Arial" w:cs="Arial" w:eastAsia="Arial" w:hAnsi="Arial"/>
          <w:sz w:val="16"/>
          <w:szCs w:val="16"/>
          <w:color w:val="auto"/>
        </w:rPr>
      </w:pPr>
    </w:p>
    <w:p>
      <w:pPr>
        <w:ind w:left="-60" w:right="40" w:firstLine="990"/>
        <w:spacing w:after="0" w:line="253" w:lineRule="auto"/>
        <w:tabs>
          <w:tab w:leader="none" w:pos="117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85" w:lineRule="exact"/>
        <w:rPr>
          <w:rFonts w:ascii="Arial" w:cs="Arial" w:eastAsia="Arial" w:hAnsi="Arial"/>
          <w:sz w:val="18"/>
          <w:szCs w:val="18"/>
          <w:color w:val="auto"/>
        </w:rPr>
      </w:pPr>
    </w:p>
    <w:p>
      <w:pPr>
        <w:ind w:left="-60" w:right="60" w:firstLine="990"/>
        <w:spacing w:after="0" w:line="297" w:lineRule="auto"/>
        <w:tabs>
          <w:tab w:leader="none" w:pos="116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52" w:lineRule="exact"/>
        <w:rPr>
          <w:rFonts w:ascii="Arial" w:cs="Arial" w:eastAsia="Arial" w:hAnsi="Arial"/>
          <w:sz w:val="16"/>
          <w:szCs w:val="16"/>
          <w:color w:val="auto"/>
        </w:rPr>
      </w:pPr>
    </w:p>
    <w:p>
      <w:pPr>
        <w:ind w:left="-60" w:right="160" w:firstLine="990"/>
        <w:spacing w:after="0" w:line="259" w:lineRule="auto"/>
        <w:tabs>
          <w:tab w:leader="none" w:pos="117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40" w:top="272" w:right="539" w:bottom="1440" w:gutter="0" w:footer="0" w:header="0"/>
        </w:sectPr>
      </w:pPr>
    </w:p>
    <w:bookmarkStart w:id="460" w:name="page461"/>
    <w:bookmarkEnd w:id="460"/>
    <w:p>
      <w:pPr>
        <w:ind w:left="-7" w:firstLine="990"/>
        <w:spacing w:after="0" w:line="251" w:lineRule="auto"/>
        <w:tabs>
          <w:tab w:leader="none" w:pos="1217"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87" w:lineRule="exact"/>
        <w:rPr>
          <w:rFonts w:ascii="Arial" w:cs="Arial" w:eastAsia="Arial" w:hAnsi="Arial"/>
          <w:sz w:val="18"/>
          <w:szCs w:val="18"/>
          <w:color w:val="auto"/>
        </w:rPr>
      </w:pPr>
    </w:p>
    <w:p>
      <w:pPr>
        <w:ind w:left="-7" w:right="820" w:firstLine="990"/>
        <w:spacing w:after="0" w:line="301" w:lineRule="auto"/>
        <w:tabs>
          <w:tab w:leader="none" w:pos="1197" w:val="left"/>
        </w:tabs>
        <w:numPr>
          <w:ilvl w:val="0"/>
          <w:numId w:val="37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2"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114" w:lineRule="exact"/>
        <w:rPr>
          <w:sz w:val="20"/>
          <w:szCs w:val="20"/>
          <w:color w:val="auto"/>
        </w:rPr>
      </w:pPr>
    </w:p>
    <w:p>
      <w:pPr>
        <w:ind w:left="-7" w:firstLine="990"/>
        <w:spacing w:after="0" w:line="267" w:lineRule="auto"/>
        <w:tabs>
          <w:tab w:leader="none" w:pos="1217"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2" w:lineRule="exact"/>
        <w:rPr>
          <w:rFonts w:ascii="Arial" w:cs="Arial" w:eastAsia="Arial" w:hAnsi="Arial"/>
          <w:sz w:val="17"/>
          <w:szCs w:val="17"/>
          <w:color w:val="auto"/>
        </w:rPr>
      </w:pPr>
    </w:p>
    <w:p>
      <w:pPr>
        <w:ind w:left="-7" w:right="20" w:firstLine="990"/>
        <w:spacing w:after="0" w:line="281" w:lineRule="auto"/>
        <w:tabs>
          <w:tab w:leader="none" w:pos="1227"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w:t>
      </w:r>
    </w:p>
    <w:p>
      <w:pPr>
        <w:spacing w:after="0" w:line="1" w:lineRule="exact"/>
        <w:rPr>
          <w:rFonts w:ascii="Arial" w:cs="Arial" w:eastAsia="Arial" w:hAnsi="Arial"/>
          <w:sz w:val="16"/>
          <w:szCs w:val="16"/>
          <w:color w:val="auto"/>
        </w:rPr>
      </w:pPr>
    </w:p>
    <w:p>
      <w:pPr>
        <w:ind w:left="-7" w:right="540" w:firstLine="7"/>
        <w:spacing w:after="0" w:line="256" w:lineRule="auto"/>
        <w:tabs>
          <w:tab w:leader="none" w:pos="25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copies of such notices delivered to the applicable insurers, and (iii) copies of all subsequent communications and correspondence between the Company and such insurers regarding the Proceeding.</w:t>
      </w:r>
    </w:p>
    <w:p>
      <w:pPr>
        <w:spacing w:after="0" w:line="12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13"/>
          </w:cols>
          <w:pgMar w:left="487" w:top="272" w:right="499" w:bottom="1440" w:gutter="0" w:footer="0" w:header="0"/>
        </w:sectPr>
      </w:pPr>
    </w:p>
    <w:bookmarkStart w:id="461" w:name="page462"/>
    <w:bookmarkEnd w:id="461"/>
    <w:p>
      <w:pPr>
        <w:ind w:right="40" w:firstLine="990"/>
        <w:spacing w:after="0" w:line="284" w:lineRule="auto"/>
        <w:tabs>
          <w:tab w:leader="none" w:pos="1225" w:val="left"/>
        </w:tabs>
        <w:numPr>
          <w:ilvl w:val="0"/>
          <w:numId w:val="3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hereby acknowledges that Indemnitee has certain rights to indemnification, advancement of expenses and/or insurance provided by [Name of Fund/Sponsor] and certain of [its][their] affiliates (collectively, the “</w:t>
      </w:r>
      <w:r>
        <w:rPr>
          <w:rFonts w:ascii="Arial" w:cs="Arial" w:eastAsia="Arial" w:hAnsi="Arial"/>
          <w:sz w:val="16"/>
          <w:szCs w:val="16"/>
          <w:u w:val="single" w:color="auto"/>
          <w:color w:val="auto"/>
        </w:rPr>
        <w:t>Fund Indemnitors</w:t>
      </w:r>
      <w:r>
        <w:rPr>
          <w:rFonts w:ascii="Arial" w:cs="Arial" w:eastAsia="Arial" w:hAnsi="Arial"/>
          <w:sz w:val="16"/>
          <w:szCs w:val="16"/>
          <w:color w:val="auto"/>
        </w:rPr>
        <w:t>”).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62" w:lineRule="exact"/>
        <w:rPr>
          <w:rFonts w:ascii="Arial" w:cs="Arial" w:eastAsia="Arial" w:hAnsi="Arial"/>
          <w:sz w:val="16"/>
          <w:szCs w:val="16"/>
          <w:color w:val="auto"/>
        </w:rPr>
      </w:pPr>
    </w:p>
    <w:p>
      <w:pPr>
        <w:ind w:firstLine="990"/>
        <w:spacing w:after="0" w:line="255" w:lineRule="auto"/>
        <w:tabs>
          <w:tab w:leader="none" w:pos="123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83" w:lineRule="exact"/>
        <w:rPr>
          <w:rFonts w:ascii="Arial" w:cs="Arial" w:eastAsia="Arial" w:hAnsi="Arial"/>
          <w:sz w:val="18"/>
          <w:szCs w:val="18"/>
          <w:color w:val="auto"/>
        </w:rPr>
      </w:pPr>
    </w:p>
    <w:p>
      <w:pPr>
        <w:ind w:right="280" w:firstLine="990"/>
        <w:spacing w:after="0" w:line="307" w:lineRule="auto"/>
        <w:tabs>
          <w:tab w:leader="none" w:pos="122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50"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462" w:name="page463"/>
    <w:bookmarkEnd w:id="462"/>
    <w:p>
      <w:pPr>
        <w:ind w:firstLine="43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right="180" w:firstLine="7"/>
        <w:spacing w:after="0" w:line="252" w:lineRule="auto"/>
        <w:tabs>
          <w:tab w:leader="none" w:pos="24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4" w:lineRule="exact"/>
        <w:rPr>
          <w:sz w:val="20"/>
          <w:szCs w:val="20"/>
          <w:color w:val="auto"/>
        </w:rPr>
      </w:pPr>
    </w:p>
    <w:p>
      <w:pPr>
        <w:ind w:right="60" w:firstLine="990"/>
        <w:spacing w:after="0" w:line="259" w:lineRule="auto"/>
        <w:tabs>
          <w:tab w:leader="none" w:pos="122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78" w:lineRule="exact"/>
        <w:rPr>
          <w:rFonts w:ascii="Arial" w:cs="Arial" w:eastAsia="Arial" w:hAnsi="Arial"/>
          <w:sz w:val="18"/>
          <w:szCs w:val="18"/>
          <w:color w:val="auto"/>
        </w:rPr>
      </w:pPr>
    </w:p>
    <w:p>
      <w:pPr>
        <w:jc w:val="both"/>
        <w:ind w:right="20" w:firstLine="990"/>
        <w:spacing w:after="0" w:line="255" w:lineRule="auto"/>
        <w:tabs>
          <w:tab w:leader="none" w:pos="123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90"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93"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80" w:top="271" w:right="539" w:bottom="1440" w:gutter="0" w:footer="0" w:header="0"/>
        </w:sectPr>
      </w:pPr>
    </w:p>
    <w:bookmarkStart w:id="463" w:name="page464"/>
    <w:bookmarkEnd w:id="463"/>
    <w:p>
      <w:pPr>
        <w:ind w:right="220" w:firstLine="43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19.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spacing w:after="0" w:line="1" w:lineRule="exact"/>
        <w:rPr>
          <w:sz w:val="20"/>
          <w:szCs w:val="20"/>
          <w:color w:val="auto"/>
        </w:rPr>
      </w:pPr>
    </w:p>
    <w:p>
      <w:pPr>
        <w:ind w:right="20" w:firstLine="7"/>
        <w:spacing w:after="0" w:line="252" w:lineRule="auto"/>
        <w:tabs>
          <w:tab w:leader="none" w:pos="26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84" w:lineRule="exact"/>
        <w:rPr>
          <w:rFonts w:ascii="Arial" w:cs="Arial" w:eastAsia="Arial" w:hAnsi="Arial"/>
          <w:sz w:val="18"/>
          <w:szCs w:val="18"/>
          <w:color w:val="auto"/>
        </w:rPr>
      </w:pPr>
    </w:p>
    <w:p>
      <w:pPr>
        <w:ind w:left="1240" w:hanging="250"/>
        <w:spacing w:after="0"/>
        <w:tabs>
          <w:tab w:leader="none" w:pos="12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645 Summer Street, Suite 102</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 02210</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14"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64"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480" w:top="271" w:right="559" w:bottom="1440" w:gutter="0" w:footer="0" w:header="0"/>
        </w:sectPr>
      </w:pPr>
    </w:p>
    <w:bookmarkStart w:id="464" w:name="page465"/>
    <w:bookmarkEnd w:id="464"/>
    <w:p>
      <w:pPr>
        <w:ind w:right="20"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22. </w:t>
      </w: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9"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5" w:lineRule="exact"/>
        <w:rPr>
          <w:sz w:val="20"/>
          <w:szCs w:val="20"/>
          <w:color w:val="auto"/>
        </w:rPr>
      </w:pPr>
    </w:p>
    <w:p>
      <w:pPr>
        <w:ind w:right="20" w:firstLine="436"/>
        <w:spacing w:after="0" w:line="28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Identical 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9"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Monetary Damages Insufficient/Specific Enforcement</w:t>
      </w:r>
      <w:r>
        <w:rPr>
          <w:rFonts w:ascii="Arial" w:cs="Arial" w:eastAsia="Arial" w:hAnsi="Arial"/>
          <w:sz w:val="17"/>
          <w:szCs w:val="17"/>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480" w:top="272" w:right="579" w:bottom="1440" w:gutter="0" w:footer="0" w:header="0"/>
        </w:sectPr>
      </w:pPr>
    </w:p>
    <w:bookmarkStart w:id="465" w:name="page466"/>
    <w:bookmarkEnd w:id="46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have caused this Agreement to be signed as of the day and year first above written.</w:t>
      </w:r>
    </w:p>
    <w:p>
      <w:pPr>
        <w:spacing w:after="0" w:line="255"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MONTE ROSA THERAPEUTICS, INC.</w:t>
      </w:r>
    </w:p>
    <w:p>
      <w:pPr>
        <w:spacing w:after="0" w:line="2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253936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557530</wp:posOffset>
            </wp:positionV>
            <wp:extent cx="253936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 of Indemnitee]</w:t>
      </w:r>
    </w:p>
    <w:p>
      <w:pPr>
        <w:sectPr>
          <w:pgSz w:w="11900" w:h="16838" w:orient="portrait"/>
          <w:cols w:equalWidth="0" w:num="1">
            <w:col w:w="9539"/>
          </w:cols>
          <w:pgMar w:left="920" w:top="272" w:right="1440" w:bottom="1440" w:gutter="0" w:footer="0" w:header="0"/>
        </w:sectPr>
      </w:pPr>
    </w:p>
    <w:bookmarkStart w:id="466" w:name="page467"/>
    <w:bookmarkEnd w:id="46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EXCHANGE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ONTRIBUTION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4"/>
          <w:szCs w:val="14"/>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4"/>
          <w:szCs w:val="14"/>
          <w:color w:val="auto"/>
        </w:rPr>
        <w:t>IS MADE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4"/>
          <w:szCs w:val="14"/>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PRIL</w:t>
      </w:r>
      <w:r>
        <w:rPr>
          <w:rFonts w:ascii="Arial" w:cs="Arial" w:eastAsia="Arial" w:hAnsi="Arial"/>
          <w:sz w:val="18"/>
          <w:szCs w:val="18"/>
          <w:color w:val="auto"/>
        </w:rPr>
        <w:t>, 2020 (</w:t>
      </w:r>
      <w:r>
        <w:rPr>
          <w:rFonts w:ascii="Arial" w:cs="Arial" w:eastAsia="Arial" w:hAnsi="Arial"/>
          <w:sz w:val="14"/>
          <w:szCs w:val="14"/>
          <w:color w:val="auto"/>
        </w:rPr>
        <w:t>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ATE</w:t>
      </w:r>
      <w:r>
        <w:rPr>
          <w:rFonts w:ascii="Arial" w:cs="Arial" w:eastAsia="Arial" w:hAnsi="Arial"/>
          <w:sz w:val="18"/>
          <w:szCs w:val="18"/>
          <w:color w:val="auto"/>
        </w:rPr>
        <w:t xml:space="preserve">”) </w:t>
      </w:r>
      <w:r>
        <w:rPr>
          <w:rFonts w:ascii="Arial" w:cs="Arial" w:eastAsia="Arial" w:hAnsi="Arial"/>
          <w:sz w:val="14"/>
          <w:szCs w:val="14"/>
          <w:color w:val="auto"/>
        </w:rPr>
        <w:t>BY AND AMONG THE UNDERSIGNED</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 xml:space="preserve"> (</w:t>
      </w:r>
      <w:r>
        <w:rPr>
          <w:rFonts w:ascii="Arial" w:cs="Arial" w:eastAsia="Arial" w:hAnsi="Arial"/>
          <w:sz w:val="14"/>
          <w:szCs w:val="14"/>
          <w:color w:val="auto"/>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HAREHOLDERS</w:t>
      </w:r>
      <w:r>
        <w:rPr>
          <w:rFonts w:ascii="Arial" w:cs="Arial" w:eastAsia="Arial" w:hAnsi="Arial"/>
          <w:sz w:val="18"/>
          <w:szCs w:val="18"/>
          <w:color w:val="auto"/>
        </w:rPr>
        <w:t xml:space="preserve">”) </w:t>
      </w:r>
      <w:r>
        <w:rPr>
          <w:rFonts w:ascii="Arial" w:cs="Arial" w:eastAsia="Arial" w:hAnsi="Arial"/>
          <w:sz w:val="14"/>
          <w:szCs w:val="14"/>
          <w:color w:val="auto"/>
        </w:rPr>
        <w:t>OF RECORD OF</w:t>
      </w:r>
      <w:r>
        <w:rPr>
          <w:rFonts w:ascii="Arial" w:cs="Arial" w:eastAsia="Arial" w:hAnsi="Arial"/>
          <w:sz w:val="18"/>
          <w:szCs w:val="18"/>
          <w:color w:val="auto"/>
        </w:rPr>
        <w:t xml:space="preserve"> M</w:t>
      </w:r>
      <w:r>
        <w:rPr>
          <w:rFonts w:ascii="Arial" w:cs="Arial" w:eastAsia="Arial" w:hAnsi="Arial"/>
          <w:sz w:val="14"/>
          <w:szCs w:val="14"/>
          <w:color w:val="auto"/>
        </w:rPr>
        <w:t>ONTE</w:t>
      </w:r>
      <w:r>
        <w:rPr>
          <w:rFonts w:ascii="Arial" w:cs="Arial" w:eastAsia="Arial" w:hAnsi="Arial"/>
          <w:sz w:val="18"/>
          <w:szCs w:val="18"/>
          <w:color w:val="auto"/>
        </w:rPr>
        <w:t xml:space="preserve"> R</w:t>
      </w:r>
      <w:r>
        <w:rPr>
          <w:rFonts w:ascii="Arial" w:cs="Arial" w:eastAsia="Arial" w:hAnsi="Arial"/>
          <w:sz w:val="14"/>
          <w:szCs w:val="14"/>
          <w:color w:val="auto"/>
        </w:rPr>
        <w:t>OSA</w:t>
      </w:r>
      <w:r>
        <w:rPr>
          <w:rFonts w:ascii="Arial" w:cs="Arial" w:eastAsia="Arial" w:hAnsi="Arial"/>
          <w:sz w:val="18"/>
          <w:szCs w:val="18"/>
          <w:color w:val="auto"/>
        </w:rPr>
        <w:t xml:space="preserve"> T</w:t>
      </w:r>
      <w:r>
        <w:rPr>
          <w:rFonts w:ascii="Arial" w:cs="Arial" w:eastAsia="Arial" w:hAnsi="Arial"/>
          <w:sz w:val="14"/>
          <w:szCs w:val="14"/>
          <w:color w:val="auto"/>
        </w:rPr>
        <w:t>HERAPEUTICS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 </w:t>
      </w:r>
      <w:r>
        <w:rPr>
          <w:rFonts w:ascii="Arial" w:cs="Arial" w:eastAsia="Arial" w:hAnsi="Arial"/>
          <w:sz w:val="14"/>
          <w:szCs w:val="14"/>
          <w:color w:val="auto"/>
        </w:rPr>
        <w:t>A COMPANY INCORPORATED IN</w:t>
      </w:r>
      <w:r>
        <w:rPr>
          <w:rFonts w:ascii="Arial" w:cs="Arial" w:eastAsia="Arial" w:hAnsi="Arial"/>
          <w:sz w:val="18"/>
          <w:szCs w:val="18"/>
          <w:color w:val="auto"/>
        </w:rPr>
        <w:t xml:space="preserve"> S</w:t>
      </w:r>
      <w:r>
        <w:rPr>
          <w:rFonts w:ascii="Arial" w:cs="Arial" w:eastAsia="Arial" w:hAnsi="Arial"/>
          <w:sz w:val="14"/>
          <w:szCs w:val="14"/>
          <w:color w:val="auto"/>
        </w:rPr>
        <w:t>WITZERLAND</w:t>
      </w:r>
      <w:r>
        <w:rPr>
          <w:rFonts w:ascii="Arial" w:cs="Arial" w:eastAsia="Arial" w:hAnsi="Arial"/>
          <w:sz w:val="18"/>
          <w:szCs w:val="18"/>
          <w:color w:val="auto"/>
        </w:rPr>
        <w:t xml:space="preserve">, </w:t>
      </w:r>
      <w:r>
        <w:rPr>
          <w:rFonts w:ascii="Arial" w:cs="Arial" w:eastAsia="Arial" w:hAnsi="Arial"/>
          <w:sz w:val="14"/>
          <w:szCs w:val="14"/>
          <w:color w:val="auto"/>
        </w:rPr>
        <w:t>HAVING ITS REGISTERED OFFICE AT</w:t>
      </w:r>
      <w:r>
        <w:rPr>
          <w:rFonts w:ascii="Arial" w:cs="Arial" w:eastAsia="Arial" w:hAnsi="Arial"/>
          <w:sz w:val="18"/>
          <w:szCs w:val="18"/>
          <w:color w:val="auto"/>
        </w:rPr>
        <w:t xml:space="preserve"> A</w:t>
      </w:r>
      <w:r>
        <w:rPr>
          <w:rFonts w:ascii="Arial" w:cs="Arial" w:eastAsia="Arial" w:hAnsi="Arial"/>
          <w:sz w:val="14"/>
          <w:szCs w:val="14"/>
          <w:color w:val="auto"/>
        </w:rPr>
        <w:t>ESCHENVORSTADT</w:t>
      </w:r>
      <w:r>
        <w:rPr>
          <w:rFonts w:ascii="Arial" w:cs="Arial" w:eastAsia="Arial" w:hAnsi="Arial"/>
          <w:sz w:val="18"/>
          <w:szCs w:val="18"/>
          <w:color w:val="auto"/>
        </w:rPr>
        <w:t xml:space="preserve"> 36, 4051 B</w:t>
      </w:r>
      <w:r>
        <w:rPr>
          <w:rFonts w:ascii="Arial" w:cs="Arial" w:eastAsia="Arial" w:hAnsi="Arial"/>
          <w:sz w:val="14"/>
          <w:szCs w:val="14"/>
          <w:color w:val="auto"/>
        </w:rPr>
        <w:t>ASEL</w:t>
      </w:r>
      <w:r>
        <w:rPr>
          <w:rFonts w:ascii="Arial" w:cs="Arial" w:eastAsia="Arial" w:hAnsi="Arial"/>
          <w:sz w:val="18"/>
          <w:szCs w:val="18"/>
          <w:color w:val="auto"/>
        </w:rPr>
        <w:t>, S</w:t>
      </w:r>
      <w:r>
        <w:rPr>
          <w:rFonts w:ascii="Arial" w:cs="Arial" w:eastAsia="Arial" w:hAnsi="Arial"/>
          <w:sz w:val="14"/>
          <w:szCs w:val="14"/>
          <w:color w:val="auto"/>
        </w:rPr>
        <w:t>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MRT</w:t>
      </w:r>
      <w:r>
        <w:rPr>
          <w:rFonts w:ascii="Arial" w:cs="Arial" w:eastAsia="Arial" w:hAnsi="Arial"/>
          <w:sz w:val="14"/>
          <w:szCs w:val="14"/>
          <w:u w:val="single" w:color="auto"/>
          <w:color w:val="auto"/>
        </w:rPr>
        <w:t>X</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WISS</w:t>
      </w:r>
      <w:r>
        <w:rPr>
          <w:rFonts w:ascii="Arial" w:cs="Arial" w:eastAsia="Arial" w:hAnsi="Arial"/>
          <w:sz w:val="18"/>
          <w:szCs w:val="18"/>
          <w:color w:val="auto"/>
        </w:rPr>
        <w:t xml:space="preserve">”) </w:t>
      </w:r>
      <w:r>
        <w:rPr>
          <w:rFonts w:ascii="Arial" w:cs="Arial" w:eastAsia="Arial" w:hAnsi="Arial"/>
          <w:sz w:val="14"/>
          <w:szCs w:val="14"/>
          <w:color w:val="auto"/>
        </w:rPr>
        <w:t>AS OF IMMEDIATELY PRIOR TO THE</w:t>
      </w:r>
      <w:r>
        <w:rPr>
          <w:rFonts w:ascii="Arial" w:cs="Arial" w:eastAsia="Arial" w:hAnsi="Arial"/>
          <w:sz w:val="18"/>
          <w:szCs w:val="18"/>
          <w:color w:val="auto"/>
        </w:rPr>
        <w:t xml:space="preserve"> C</w:t>
      </w:r>
      <w:r>
        <w:rPr>
          <w:rFonts w:ascii="Arial" w:cs="Arial" w:eastAsia="Arial" w:hAnsi="Arial"/>
          <w:sz w:val="14"/>
          <w:szCs w:val="14"/>
          <w:color w:val="auto"/>
        </w:rPr>
        <w:t>ONTRIBUTION AND</w:t>
      </w:r>
      <w:r>
        <w:rPr>
          <w:rFonts w:ascii="Arial" w:cs="Arial" w:eastAsia="Arial" w:hAnsi="Arial"/>
          <w:sz w:val="18"/>
          <w:szCs w:val="18"/>
          <w:color w:val="auto"/>
        </w:rPr>
        <w:t xml:space="preserve"> E</w:t>
      </w:r>
      <w:r>
        <w:rPr>
          <w:rFonts w:ascii="Arial" w:cs="Arial" w:eastAsia="Arial" w:hAnsi="Arial"/>
          <w:sz w:val="14"/>
          <w:szCs w:val="14"/>
          <w:color w:val="auto"/>
        </w:rPr>
        <w:t>XCHANGE</w:t>
      </w:r>
      <w:r>
        <w:rPr>
          <w:rFonts w:ascii="Arial" w:cs="Arial" w:eastAsia="Arial" w:hAnsi="Arial"/>
          <w:sz w:val="18"/>
          <w:szCs w:val="18"/>
          <w:color w:val="auto"/>
        </w:rPr>
        <w:t xml:space="preserve"> (</w:t>
      </w:r>
      <w:r>
        <w:rPr>
          <w:rFonts w:ascii="Arial" w:cs="Arial" w:eastAsia="Arial" w:hAnsi="Arial"/>
          <w:sz w:val="14"/>
          <w:szCs w:val="14"/>
          <w:color w:val="auto"/>
        </w:rPr>
        <w:t>AS DEFINED BELOW</w:t>
      </w:r>
      <w:r>
        <w:rPr>
          <w:rFonts w:ascii="Arial" w:cs="Arial" w:eastAsia="Arial" w:hAnsi="Arial"/>
          <w:sz w:val="18"/>
          <w:szCs w:val="18"/>
          <w:color w:val="auto"/>
        </w:rPr>
        <w:t xml:space="preserve">), </w:t>
      </w:r>
      <w:r>
        <w:rPr>
          <w:rFonts w:ascii="Arial" w:cs="Arial" w:eastAsia="Arial" w:hAnsi="Arial"/>
          <w:sz w:val="14"/>
          <w:szCs w:val="14"/>
          <w:color w:val="auto"/>
        </w:rPr>
        <w:t>AND</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4"/>
          <w:szCs w:val="14"/>
          <w:b w:val="1"/>
          <w:bCs w:val="1"/>
          <w:color w:val="auto"/>
        </w:rPr>
        <w:t>ONTE</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OSA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4"/>
          <w:szCs w:val="14"/>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D</w:t>
      </w:r>
      <w:r>
        <w:rPr>
          <w:rFonts w:ascii="Arial" w:cs="Arial" w:eastAsia="Arial" w:hAnsi="Arial"/>
          <w:sz w:val="14"/>
          <w:szCs w:val="14"/>
          <w:color w:val="auto"/>
        </w:rPr>
        <w:t>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4"/>
          <w:szCs w:val="14"/>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12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Shareholder owns the number of shares of Series A Preferred Shares, nominal value of CHF 0.01 per share, of MRTx Swiss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SUI Series A Preferred Shares</w:t>
      </w:r>
      <w:r>
        <w:rPr>
          <w:rFonts w:ascii="Arial" w:cs="Arial" w:eastAsia="Arial" w:hAnsi="Arial"/>
          <w:sz w:val="18"/>
          <w:szCs w:val="18"/>
          <w:color w:val="auto"/>
        </w:rPr>
        <w:t>”) and/or Common Shares, nominal value of CHF 0.01 per share, of MRTx Swiss (the “</w:t>
      </w:r>
      <w:r>
        <w:rPr>
          <w:rFonts w:ascii="Arial" w:cs="Arial" w:eastAsia="Arial" w:hAnsi="Arial"/>
          <w:sz w:val="18"/>
          <w:szCs w:val="18"/>
          <w:u w:val="single" w:color="auto"/>
          <w:color w:val="auto"/>
        </w:rPr>
        <w:t>Common Shares</w:t>
      </w:r>
      <w:r>
        <w:rPr>
          <w:rFonts w:ascii="Arial" w:cs="Arial" w:eastAsia="Arial" w:hAnsi="Arial"/>
          <w:sz w:val="18"/>
          <w:szCs w:val="18"/>
          <w:color w:val="auto"/>
        </w:rPr>
        <w:t>”, and together with the SUI Series A Preferred Shares, the “</w:t>
      </w:r>
      <w:r>
        <w:rPr>
          <w:rFonts w:ascii="Arial" w:cs="Arial" w:eastAsia="Arial" w:hAnsi="Arial"/>
          <w:sz w:val="18"/>
          <w:szCs w:val="18"/>
          <w:u w:val="single" w:color="auto"/>
          <w:color w:val="auto"/>
        </w:rPr>
        <w:t>SUI Capital Shares</w:t>
      </w:r>
      <w:r>
        <w:rPr>
          <w:rFonts w:ascii="Arial" w:cs="Arial" w:eastAsia="Arial" w:hAnsi="Arial"/>
          <w:sz w:val="18"/>
          <w:szCs w:val="18"/>
          <w:color w:val="auto"/>
        </w:rPr>
        <w:t>”) as set forth next to such Shareholder’s name on Exhibit A attached hereto (such shares the “</w:t>
      </w:r>
      <w:r>
        <w:rPr>
          <w:rFonts w:ascii="Arial" w:cs="Arial" w:eastAsia="Arial" w:hAnsi="Arial"/>
          <w:sz w:val="18"/>
          <w:szCs w:val="18"/>
          <w:u w:val="single" w:color="auto"/>
          <w:color w:val="auto"/>
        </w:rPr>
        <w:t>Contribution Shares</w:t>
      </w:r>
      <w:r>
        <w:rPr>
          <w:rFonts w:ascii="Arial" w:cs="Arial" w:eastAsia="Arial" w:hAnsi="Arial"/>
          <w:sz w:val="18"/>
          <w:szCs w:val="18"/>
          <w:color w:val="auto"/>
        </w:rPr>
        <w:t>”);</w:t>
      </w:r>
    </w:p>
    <w:p>
      <w:pPr>
        <w:spacing w:after="0" w:line="183" w:lineRule="exact"/>
        <w:rPr>
          <w:sz w:val="20"/>
          <w:szCs w:val="20"/>
          <w:color w:val="auto"/>
        </w:rPr>
      </w:pPr>
    </w:p>
    <w:p>
      <w:pPr>
        <w:jc w:val="both"/>
        <w:ind w:right="40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MRTx Swiss and each Shareholder are parties to both (i) that certain Shareholders’ Agreement, dated as of April 10,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MRTx Swiss Shareholders’ Agreement</w:t>
      </w:r>
      <w:r>
        <w:rPr>
          <w:rFonts w:ascii="Arial" w:cs="Arial" w:eastAsia="Arial" w:hAnsi="Arial"/>
          <w:sz w:val="18"/>
          <w:szCs w:val="18"/>
          <w:color w:val="auto"/>
        </w:rPr>
        <w:t>”) and (ii) that certain Formation and Investment Agreement, dated as of April 10, 2018 (the “</w:t>
      </w:r>
      <w:r>
        <w:rPr>
          <w:rFonts w:ascii="Arial" w:cs="Arial" w:eastAsia="Arial" w:hAnsi="Arial"/>
          <w:sz w:val="18"/>
          <w:szCs w:val="18"/>
          <w:u w:val="single" w:color="auto"/>
          <w:color w:val="auto"/>
        </w:rPr>
        <w:t>MRTx Swiss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Formation Agreement</w:t>
      </w:r>
      <w:r>
        <w:rPr>
          <w:rFonts w:ascii="Arial" w:cs="Arial" w:eastAsia="Arial" w:hAnsi="Arial"/>
          <w:sz w:val="18"/>
          <w:szCs w:val="18"/>
          <w:color w:val="auto"/>
        </w:rPr>
        <w:t>”);</w:t>
      </w:r>
    </w:p>
    <w:p>
      <w:pPr>
        <w:spacing w:after="0" w:line="181" w:lineRule="exact"/>
        <w:rPr>
          <w:sz w:val="20"/>
          <w:szCs w:val="20"/>
          <w:color w:val="auto"/>
        </w:rPr>
      </w:pPr>
    </w:p>
    <w:p>
      <w:pPr>
        <w:ind w:right="44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Contribution Shares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represents 100% of the authorized, issued and outstanding share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MRTx Swiss as of immediately prior to the Contribution and Exchange;</w:t>
      </w:r>
    </w:p>
    <w:p>
      <w:pPr>
        <w:spacing w:after="0" w:line="168"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and certain of the Shareholders are entering into (i) a certain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First Refusal and Co-Sale Agreement, dated on or about the date hereof (the “</w:t>
      </w:r>
      <w:r>
        <w:rPr>
          <w:rFonts w:ascii="Arial" w:cs="Arial" w:eastAsia="Arial" w:hAnsi="Arial"/>
          <w:sz w:val="18"/>
          <w:szCs w:val="18"/>
          <w:u w:val="single" w:color="auto"/>
          <w:color w:val="auto"/>
        </w:rPr>
        <w:t>ROFR and Co-Sale Agreement</w:t>
      </w:r>
      <w:r>
        <w:rPr>
          <w:rFonts w:ascii="Arial" w:cs="Arial" w:eastAsia="Arial" w:hAnsi="Arial"/>
          <w:sz w:val="18"/>
          <w:szCs w:val="18"/>
          <w:color w:val="auto"/>
        </w:rPr>
        <w:t>”), (ii) a certain Voting Agreement, dated on or about the date hereof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and (iii) a certain Investors’ Rights Agreement (the “</w:t>
      </w:r>
      <w:r>
        <w:rPr>
          <w:rFonts w:ascii="Arial" w:cs="Arial" w:eastAsia="Arial" w:hAnsi="Arial"/>
          <w:sz w:val="18"/>
          <w:szCs w:val="18"/>
          <w:u w:val="single" w:color="auto"/>
          <w:color w:val="auto"/>
        </w:rPr>
        <w:t>IRA</w:t>
      </w:r>
      <w:r>
        <w:rPr>
          <w:rFonts w:ascii="Arial" w:cs="Arial" w:eastAsia="Arial" w:hAnsi="Arial"/>
          <w:sz w:val="18"/>
          <w:szCs w:val="18"/>
          <w:color w:val="auto"/>
        </w:rPr>
        <w:t>” and together with the ROFR and Co-Sale Agreement and the Voting Agreement,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w:t>
      </w:r>
    </w:p>
    <w:p>
      <w:pPr>
        <w:spacing w:after="0" w:line="183" w:lineRule="exact"/>
        <w:rPr>
          <w:sz w:val="20"/>
          <w:szCs w:val="20"/>
          <w:color w:val="auto"/>
        </w:rPr>
      </w:pPr>
    </w:p>
    <w:p>
      <w:pPr>
        <w:ind w:right="240" w:firstLine="436"/>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Shareholder desires to contribute, and the Company desires to acquire and accept, all of such Shareholder’s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and to the Contribution Shares, and in consideration therefor such Shareholder shall receive that number of shares of Common Stock, par value $0.0001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and/or Series A Preferred Stock, par value $0.0001 per share, of the Company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and together with the Common Stock, the “</w:t>
      </w:r>
      <w:r>
        <w:rPr>
          <w:rFonts w:ascii="Arial" w:cs="Arial" w:eastAsia="Arial" w:hAnsi="Arial"/>
          <w:sz w:val="18"/>
          <w:szCs w:val="18"/>
          <w:u w:val="single" w:color="auto"/>
          <w:color w:val="auto"/>
        </w:rPr>
        <w:t>US Capital Stock</w:t>
      </w:r>
      <w:r>
        <w:rPr>
          <w:rFonts w:ascii="Arial" w:cs="Arial" w:eastAsia="Arial" w:hAnsi="Arial"/>
          <w:sz w:val="18"/>
          <w:szCs w:val="18"/>
          <w:color w:val="auto"/>
        </w:rPr>
        <w:t>”) set forth opposite such Shareholder’s name on Exhibit A (such shares, the “</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and the contribution of the Contribution Shares in exchange for the Consideration Shares, the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Exchange</w:t>
      </w:r>
      <w:r>
        <w:rPr>
          <w:rFonts w:ascii="Arial" w:cs="Arial" w:eastAsia="Arial" w:hAnsi="Arial"/>
          <w:sz w:val="18"/>
          <w:szCs w:val="18"/>
          <w:color w:val="auto"/>
        </w:rPr>
        <w:t>”); and</w:t>
      </w:r>
    </w:p>
    <w:p>
      <w:pPr>
        <w:spacing w:after="0" w:line="189" w:lineRule="exact"/>
        <w:rPr>
          <w:sz w:val="20"/>
          <w:szCs w:val="20"/>
          <w:color w:val="auto"/>
        </w:rPr>
      </w:pPr>
    </w:p>
    <w:p>
      <w:pPr>
        <w:jc w:val="both"/>
        <w:ind w:right="12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 with the execution of this Agreement, Versant Venture Capital VI, L.P. will convert that certain Convertible Promissory</w:t>
      </w:r>
      <w:r>
        <w:rPr>
          <w:rFonts w:ascii="Arial" w:cs="Arial" w:eastAsia="Arial" w:hAnsi="Arial"/>
          <w:sz w:val="18"/>
          <w:szCs w:val="18"/>
          <w:b w:val="1"/>
          <w:bCs w:val="1"/>
          <w:color w:val="auto"/>
        </w:rPr>
        <w:t xml:space="preserve"> </w:t>
      </w:r>
      <w:r>
        <w:rPr>
          <w:rFonts w:ascii="Arial" w:cs="Arial" w:eastAsia="Arial" w:hAnsi="Arial"/>
          <w:sz w:val="18"/>
          <w:szCs w:val="18"/>
          <w:color w:val="auto"/>
        </w:rPr>
        <w:t>Note, dated December 12, 2019, in the original principal amount of $750,000, into 754,280 shares of US Series A Preferred Stock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w:t>
      </w:r>
    </w:p>
    <w:p>
      <w:pPr>
        <w:sectPr>
          <w:pgSz w:w="11900" w:h="16838" w:orient="portrait"/>
          <w:cols w:equalWidth="0" w:num="1">
            <w:col w:w="10920"/>
          </w:cols>
          <w:pgMar w:left="480" w:top="121" w:right="499" w:bottom="1440" w:gutter="0" w:footer="0" w:header="0"/>
        </w:sectPr>
      </w:pPr>
    </w:p>
    <w:bookmarkStart w:id="467" w:name="page468"/>
    <w:bookmarkEnd w:id="467"/>
    <w:p>
      <w:pPr>
        <w:ind w:right="380" w:firstLine="436"/>
        <w:spacing w:after="0" w:line="34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WHEREAS</w:t>
      </w:r>
      <w:r>
        <w:rPr>
          <w:rFonts w:ascii="Arial" w:cs="Arial" w:eastAsia="Arial" w:hAnsi="Arial"/>
          <w:sz w:val="16"/>
          <w:szCs w:val="16"/>
          <w:color w:val="auto"/>
        </w:rPr>
        <w:t>, following the Contribution and Exchange, the Company shall be the sole owner of all of the authorized, issued and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 capital (as of the Contribution Date) of MRTx Swiss and as such, MRTx Swiss will be a wholly-owned subsidiary of the Company.</w:t>
      </w:r>
    </w:p>
    <w:p>
      <w:pPr>
        <w:spacing w:after="0" w:line="121" w:lineRule="exact"/>
        <w:rPr>
          <w:sz w:val="20"/>
          <w:szCs w:val="20"/>
          <w:color w:val="auto"/>
        </w:rPr>
      </w:pPr>
    </w:p>
    <w:p>
      <w:pPr>
        <w:ind w:right="6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it is intended that: (i) the formation of the Company and (ii) the Contribution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constitute a tax-free contribution pursuant to Section 351 of the Internal Revenue Code of 1986, as amended, with respect to which each of MRTx Swiss and the Company are a party. MRTx Swiss, the Company, and the Shareholders shall file all applicable U.S. tax returns consistent with the foregoing treatment.</w:t>
      </w:r>
    </w:p>
    <w:p>
      <w:pPr>
        <w:spacing w:after="0" w:line="183" w:lineRule="exact"/>
        <w:rPr>
          <w:sz w:val="20"/>
          <w:szCs w:val="20"/>
          <w:color w:val="auto"/>
        </w:rPr>
      </w:pPr>
    </w:p>
    <w:p>
      <w:pPr>
        <w:ind w:right="120" w:firstLine="43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representations, warranties, covenants and agreements contained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CONTRIBUTION AND EXCHANGE</w:t>
      </w:r>
    </w:p>
    <w:p>
      <w:pPr>
        <w:spacing w:after="0" w:line="20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1.1 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simultaneously with the execution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Subject to the terms and conditions of this Agreement, each Shareholder hereby (i) agrees that the number of Contribution Shares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accurately reflects all of such Shareholder’s equity interests in MRTx Swiss and that such Shareholder does not hold (directly, indirectly, beneficially or otherwise in any respect) any equity interests in MRTx Swiss other than as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(ii) agrees that such Shareholder is not entitled to any other equity of the Company other than the Consideration Shares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pursuant to the Contribution and Exchange; and (iii) grants, contributes, conveys, assigns, transfers and delivers to the Company, as of the Contribution Date, all of such Shareholder’s right, title and interest in and to all of the Contribution Shares in all respects.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MRTx Shareholder Closing Deliverables</w:t>
      </w:r>
      <w:r>
        <w:rPr>
          <w:rFonts w:ascii="Arial" w:cs="Arial" w:eastAsia="Arial" w:hAnsi="Arial"/>
          <w:sz w:val="18"/>
          <w:szCs w:val="18"/>
          <w:color w:val="auto"/>
        </w:rPr>
        <w:t>. At the Closing, each Shareholder hereby agrees to deliver to MRTx Swiss:</w:t>
      </w:r>
    </w:p>
    <w:p>
      <w:pPr>
        <w:spacing w:after="0" w:line="118" w:lineRule="exact"/>
        <w:rPr>
          <w:sz w:val="20"/>
          <w:szCs w:val="20"/>
          <w:color w:val="auto"/>
        </w:rPr>
      </w:pPr>
    </w:p>
    <w:p>
      <w:pPr>
        <w:ind w:left="1240" w:hanging="250"/>
        <w:spacing w:after="0"/>
        <w:tabs>
          <w:tab w:leader="none" w:pos="124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duly executed instruments of transfer transferring its Contribution Shares to the Company signed by each Shareholder as transferor and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duly witnessed;</w:t>
      </w:r>
    </w:p>
    <w:p>
      <w:pPr>
        <w:spacing w:after="0" w:line="101" w:lineRule="exact"/>
        <w:rPr>
          <w:rFonts w:ascii="Arial" w:cs="Arial" w:eastAsia="Arial" w:hAnsi="Arial"/>
          <w:sz w:val="16"/>
          <w:szCs w:val="16"/>
          <w:color w:val="auto"/>
        </w:rPr>
      </w:pPr>
    </w:p>
    <w:p>
      <w:pPr>
        <w:ind w:right="80" w:firstLine="990"/>
        <w:spacing w:after="0" w:line="271" w:lineRule="auto"/>
        <w:tabs>
          <w:tab w:leader="none" w:pos="123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duly executed consent of the board of directors of MRTx Swiss approving the transfer of the Contribution Shares to the Company and the termination of MRTx Swiss’s equity incentive plan and any related stock restriction agreements;</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duly executed countersignatures to each of the Transaction Agreements.</w:t>
      </w:r>
    </w:p>
    <w:p>
      <w:pPr>
        <w:spacing w:after="0" w:line="110" w:lineRule="exact"/>
        <w:rPr>
          <w:sz w:val="20"/>
          <w:szCs w:val="20"/>
          <w:color w:val="auto"/>
        </w:rPr>
      </w:pPr>
    </w:p>
    <w:p>
      <w:pPr>
        <w:ind w:right="100" w:firstLine="436"/>
        <w:spacing w:after="0" w:line="275" w:lineRule="auto"/>
        <w:rPr>
          <w:sz w:val="20"/>
          <w:szCs w:val="20"/>
          <w:color w:val="auto"/>
        </w:rPr>
      </w:pPr>
      <w:r>
        <w:rPr>
          <w:rFonts w:ascii="Arial" w:cs="Arial" w:eastAsia="Arial" w:hAnsi="Arial"/>
          <w:sz w:val="18"/>
          <w:szCs w:val="18"/>
          <w:b w:val="1"/>
          <w:bCs w:val="1"/>
          <w:color w:val="auto"/>
        </w:rPr>
        <w:t>1.3 Company Closing Deliverables</w:t>
      </w:r>
      <w:r>
        <w:rPr>
          <w:rFonts w:ascii="Arial" w:cs="Arial" w:eastAsia="Arial" w:hAnsi="Arial"/>
          <w:sz w:val="18"/>
          <w:szCs w:val="18"/>
          <w:color w:val="auto"/>
        </w:rPr>
        <w:t>. In exchange for the contribution of the Contribution Shares by each Shareholder, hereunder, at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deliver to MRTx Swiss:</w:t>
      </w:r>
    </w:p>
    <w:p>
      <w:pPr>
        <w:spacing w:after="0" w:line="65" w:lineRule="exact"/>
        <w:rPr>
          <w:sz w:val="20"/>
          <w:szCs w:val="20"/>
          <w:color w:val="auto"/>
        </w:rPr>
      </w:pPr>
    </w:p>
    <w:p>
      <w:pPr>
        <w:ind w:left="5420" w:right="180" w:hanging="4430"/>
        <w:spacing w:after="0" w:line="441" w:lineRule="auto"/>
        <w:tabs>
          <w:tab w:leader="none" w:pos="123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duly executed instrument(s) of transfer with respect to all of the Contribution Shares duly signed by the Company as transferees; and 2</w:t>
      </w:r>
    </w:p>
    <w:p>
      <w:pPr>
        <w:sectPr>
          <w:pgSz w:w="11900" w:h="16838" w:orient="portrait"/>
          <w:cols w:equalWidth="0" w:num="1">
            <w:col w:w="10880"/>
          </w:cols>
          <w:pgMar w:left="480" w:top="268" w:right="539" w:bottom="1440" w:gutter="0" w:footer="0" w:header="0"/>
        </w:sectPr>
      </w:pPr>
    </w:p>
    <w:bookmarkStart w:id="468" w:name="page469"/>
    <w:bookmarkEnd w:id="468"/>
    <w:p>
      <w:pPr>
        <w:ind w:right="100" w:firstLine="990"/>
        <w:spacing w:after="0" w:line="259" w:lineRule="auto"/>
        <w:tabs>
          <w:tab w:leader="none" w:pos="1235"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 certificates of the Company representing the Consideration Shares in the amounts as set forth opposite such Shareholder’s name on Exhibit A, which shares shall be duly authorized, validly issued, fully paid and nonassessable and issued in compliance with all applicable federal and state securities laws.</w:t>
      </w:r>
    </w:p>
    <w:p>
      <w:pPr>
        <w:spacing w:after="0" w:line="75"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b w:val="1"/>
          <w:bCs w:val="1"/>
          <w:color w:val="auto"/>
        </w:rPr>
        <w:t>1.4 Consent and Waiver by Shareholders</w:t>
      </w:r>
      <w:r>
        <w:rPr>
          <w:rFonts w:ascii="Arial" w:cs="Arial" w:eastAsia="Arial" w:hAnsi="Arial"/>
          <w:sz w:val="16"/>
          <w:szCs w:val="16"/>
          <w:color w:val="auto"/>
        </w:rPr>
        <w:t>. Each Shareholder hereby waives, with respect to this Agreement or any other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or thereby, any right of first refusal, co-sale right, and other similar rights, and any and all rights the Shareholder may have to notice in connection with such rights, under any agreement to which the Shareholder is a party, including, but not limited to, the MRTx Swiss Shareholders’ Agreement and the MRTx Swiss Formation Agreement. Neither the execution and delivery of this Agreement by each Shareholder nor the consummation of any of the transactions contemplated hereby or thereby does or will (i) in the case of any Shareholder that is an entity, conflict with or violate any provision of the certificate of incorporation, by-laws or similar organizational documents of the Shareholder, (ii) require on the part of the Shareholder any notice to or filing with, or any permit, authorization, consent or approval of, any governmental entity, (iii) conflict with, result in a breach of, constitute (with or without due notice or lapse of time or both) a default under, result in the acceleration of obligations or loss of any right or benefit under, create in any party the right to terminate, modify or cancel, or require any notice, consent or waiver under, any contract or instrument to which the Shareholder is a party or by which the Shareholder is bound or to which any of the Shareholder’s assets is subject.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BY THE SHAREHOLDERS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Shareholder makes the following representations and warranties to the Company as of the Contribution Date:</w:t>
      </w:r>
    </w:p>
    <w:p>
      <w:pPr>
        <w:spacing w:after="0" w:line="110" w:lineRule="exact"/>
        <w:rPr>
          <w:sz w:val="20"/>
          <w:szCs w:val="20"/>
          <w:color w:val="auto"/>
        </w:rPr>
      </w:pPr>
    </w:p>
    <w:p>
      <w:pPr>
        <w:ind w:right="80" w:firstLine="436"/>
        <w:spacing w:after="0" w:line="284" w:lineRule="auto"/>
        <w:rPr>
          <w:sz w:val="20"/>
          <w:szCs w:val="20"/>
          <w:color w:val="auto"/>
        </w:rPr>
      </w:pPr>
      <w:r>
        <w:rPr>
          <w:rFonts w:ascii="Arial" w:cs="Arial" w:eastAsia="Arial" w:hAnsi="Arial"/>
          <w:sz w:val="16"/>
          <w:szCs w:val="16"/>
          <w:b w:val="1"/>
          <w:bCs w:val="1"/>
          <w:color w:val="auto"/>
        </w:rPr>
        <w:t>2.1 Ownership</w:t>
      </w:r>
      <w:r>
        <w:rPr>
          <w:rFonts w:ascii="Arial" w:cs="Arial" w:eastAsia="Arial" w:hAnsi="Arial"/>
          <w:sz w:val="16"/>
          <w:szCs w:val="16"/>
          <w:color w:val="auto"/>
        </w:rPr>
        <w:t>. Such Shareholder owns all right, title and interest (legal and beneficial) in and to all of the Contribution Shares set forth opposite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Shareholder’s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free and clear of all liens, including, but not limited to, any lien, pledge, claim, security interest, encumbrance, mortgage, assessment, charge, restriction or limitation of any kind, whether arising by agreement, operation of law or otherwise, except for any and all restrictions on the transferability of the SUI Capital Shares (contained in the MRTx Swiss’s Articles of Association, as amended and in effect immediately prior to the Contribution and Exchange, and the Shareholders Agreement, dated as of April 10, 2018, by and among MRTx Swiss and certain of the Shareholders, or otherwise) (the “</w:t>
      </w:r>
      <w:r>
        <w:rPr>
          <w:rFonts w:ascii="Arial" w:cs="Arial" w:eastAsia="Arial" w:hAnsi="Arial"/>
          <w:sz w:val="16"/>
          <w:szCs w:val="16"/>
          <w:u w:val="single" w:color="auto"/>
          <w:color w:val="auto"/>
        </w:rPr>
        <w:t>Transfer Restrictions</w:t>
      </w:r>
      <w:r>
        <w:rPr>
          <w:rFonts w:ascii="Arial" w:cs="Arial" w:eastAsia="Arial" w:hAnsi="Arial"/>
          <w:sz w:val="16"/>
          <w:szCs w:val="16"/>
          <w:color w:val="auto"/>
        </w:rPr>
        <w:t xml:space="preserve">”) which have been waived or terminated, those imposed by applicable securities laws and those described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below. Such Shareholder has the full power and authority to contribute, transfer, convey, assign and deliver the Contribution Shares to the Company, and upon delivery in accordance with the terms of this Agreement for the consideration expressed herein, on the Contribution Date, the Company shall acquire valid and unencumbered title to the Contribution Shares contributed by such Shareholder. By executing this Agreement, such Shareholder further represents that such Shareholder does not have any contract, undertaking, agreement or arrangement with any person to sell, transfer or grant participations to such person or to any third person, with respect to any of the Contribution Shares contributed by such Shareholder (other than the Transfer Restrictions, all of which have been waived or terminated).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469" w:name="page470"/>
    <w:bookmarkEnd w:id="469"/>
    <w:p>
      <w:pPr>
        <w:ind w:right="50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 Valid Transfer of Shares</w:t>
      </w:r>
      <w:r>
        <w:rPr>
          <w:rFonts w:ascii="Arial" w:cs="Arial" w:eastAsia="Arial" w:hAnsi="Arial"/>
          <w:sz w:val="18"/>
          <w:szCs w:val="18"/>
          <w:color w:val="auto"/>
        </w:rPr>
        <w:t>. The Contribution Shares held by such Shareholder are free of restrictions on transfer, other than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all of which have been waived or terminated.</w:t>
      </w:r>
    </w:p>
    <w:p>
      <w:pPr>
        <w:spacing w:after="0" w:line="61" w:lineRule="exact"/>
        <w:rPr>
          <w:sz w:val="20"/>
          <w:szCs w:val="20"/>
          <w:color w:val="auto"/>
        </w:rPr>
      </w:pPr>
    </w:p>
    <w:p>
      <w:pPr>
        <w:ind w:right="80" w:firstLine="436"/>
        <w:spacing w:after="0" w:line="309" w:lineRule="auto"/>
        <w:rPr>
          <w:sz w:val="20"/>
          <w:szCs w:val="20"/>
          <w:color w:val="auto"/>
        </w:rPr>
      </w:pPr>
      <w:r>
        <w:rPr>
          <w:rFonts w:ascii="Arial" w:cs="Arial" w:eastAsia="Arial" w:hAnsi="Arial"/>
          <w:sz w:val="16"/>
          <w:szCs w:val="16"/>
          <w:b w:val="1"/>
          <w:bCs w:val="1"/>
          <w:color w:val="auto"/>
        </w:rPr>
        <w:t>2.3 Enforceability</w:t>
      </w:r>
      <w:r>
        <w:rPr>
          <w:rFonts w:ascii="Arial" w:cs="Arial" w:eastAsia="Arial" w:hAnsi="Arial"/>
          <w:sz w:val="16"/>
          <w:szCs w:val="16"/>
          <w:color w:val="auto"/>
        </w:rPr>
        <w:t>. This Agreement constitutes such Shareholder’s valid and legally binding obligation, enforceable in accordance with its terms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38"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b w:val="1"/>
          <w:bCs w:val="1"/>
          <w:color w:val="auto"/>
        </w:rPr>
        <w:t>2.4 Consents</w:t>
      </w:r>
      <w:r>
        <w:rPr>
          <w:rFonts w:ascii="Arial" w:cs="Arial" w:eastAsia="Arial" w:hAnsi="Arial"/>
          <w:sz w:val="18"/>
          <w:szCs w:val="18"/>
          <w:color w:val="auto"/>
        </w:rPr>
        <w:t>. No consent, approval, order or authorization of, or registration, qualification, designation, declaration or filing with, any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governmental authority or other party on the part of such Shareholder or MRTx Swiss is required in connection with the consummation of the transactions contemplated by this Agreement.</w:t>
      </w:r>
    </w:p>
    <w:p>
      <w:pPr>
        <w:spacing w:after="0" w:line="74"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b w:val="1"/>
          <w:bCs w:val="1"/>
          <w:color w:val="auto"/>
        </w:rPr>
        <w:t>2.5 No Violations</w:t>
      </w:r>
      <w:r>
        <w:rPr>
          <w:rFonts w:ascii="Arial" w:cs="Arial" w:eastAsia="Arial" w:hAnsi="Arial"/>
          <w:sz w:val="18"/>
          <w:szCs w:val="18"/>
          <w:color w:val="auto"/>
        </w:rPr>
        <w:t>. Neither the execution nor the delivery of this Agreement, nor the consummation of the transactions contemplated hereby,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such Shareholder to be in violation or breach of, or default under, any term or provision of any mortgage, indebtedness, indenture, contract, agreement, instrument, judgment or decree to which it is a party or by which it is bound.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Certain Securities Laws Representations</w:t>
      </w:r>
      <w:r>
        <w:rPr>
          <w:rFonts w:ascii="Arial" w:cs="Arial" w:eastAsia="Arial" w:hAnsi="Arial"/>
          <w:sz w:val="18"/>
          <w:szCs w:val="18"/>
          <w:color w:val="auto"/>
        </w:rPr>
        <w:t>.</w:t>
      </w:r>
    </w:p>
    <w:p>
      <w:pPr>
        <w:spacing w:after="0" w:line="118" w:lineRule="exact"/>
        <w:rPr>
          <w:sz w:val="20"/>
          <w:szCs w:val="20"/>
          <w:color w:val="auto"/>
        </w:rPr>
      </w:pPr>
    </w:p>
    <w:p>
      <w:pPr>
        <w:jc w:val="both"/>
        <w:ind w:right="40" w:firstLine="990"/>
        <w:spacing w:after="0" w:line="307" w:lineRule="auto"/>
        <w:tabs>
          <w:tab w:leader="none" w:pos="122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Such Shareholder is acquiring and will hold the Consideration Shares for investment for his or her account only (including the account of any affiliates and related investors to whom it attributes any of the Consideration Shares received by such Shareholder) and not with a view to, or for resale in connection with, any “distribution” thereof within the meaning of the United States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firstLine="990"/>
        <w:spacing w:after="0" w:line="253" w:lineRule="auto"/>
        <w:tabs>
          <w:tab w:leader="none" w:pos="12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Such Shareholder understands that the Consideration Shares have not been registered under the Act by reason of a specific exemption therefrom and that the Consideration Shares must be held indefinitely, unless they are subsequently registered under the Act or such Shareholder obtains an opinion of counsel, if reasonably requested, in form and substance satisfactory to the Company and its counsel, that such registration is not required. Such Shareholder further acknowledges and understands that the Company is under no obligation to register the Consideration Shares except as provided in the IRA.</w:t>
      </w:r>
    </w:p>
    <w:p>
      <w:pPr>
        <w:spacing w:after="0" w:line="85" w:lineRule="exact"/>
        <w:rPr>
          <w:rFonts w:ascii="Arial" w:cs="Arial" w:eastAsia="Arial" w:hAnsi="Arial"/>
          <w:sz w:val="18"/>
          <w:szCs w:val="18"/>
          <w:color w:val="auto"/>
        </w:rPr>
      </w:pPr>
    </w:p>
    <w:p>
      <w:pPr>
        <w:ind w:right="160" w:firstLine="990"/>
        <w:spacing w:after="0" w:line="270" w:lineRule="auto"/>
        <w:tabs>
          <w:tab w:leader="none" w:pos="122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Such Shareholder is aware of the adoption of Rule 144 by the Securities and Exchange Commission under the Act, which permits limited public resales of securities acquired in a non-public offering, subject to the satisfaction of certain conditions, including (without limitation) the availability of certain current public information about the issuer, the resale occurring only after the holding period required by Rule 144 has been satisfied, the sale occurring through an unsolicited “broker’s transaction,” and the amount of securities being sold during any three-month period not exceeding specified limitations. Such Shareholder acknowledges and understands that the conditions for resale set forth in Rule 144 have not been satisfied and that the Company has no plans to satisfy these conditions in the foreseeable future.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80" w:top="268" w:right="539" w:bottom="1440" w:gutter="0" w:footer="0" w:header="0"/>
        </w:sectPr>
      </w:pPr>
    </w:p>
    <w:bookmarkStart w:id="470" w:name="page471"/>
    <w:bookmarkEnd w:id="470"/>
    <w:p>
      <w:pPr>
        <w:ind w:right="20" w:firstLine="990"/>
        <w:spacing w:after="0" w:line="251" w:lineRule="auto"/>
        <w:tabs>
          <w:tab w:leader="none" w:pos="1235" w:val="left"/>
        </w:tabs>
        <w:numPr>
          <w:ilvl w:val="0"/>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Shareholder will not sell, transfer or otherwise dispose of the Consideration Shares in violation of the Act, the Securities Exchange Act of 1934, or the rules promulgated thereunder, including Rule 144 under the Act. Such Shareholder agrees that he or she will not dispose of the Consideration Shares unless and until he or she has complied with all requirements of this Agreement applicable to the disposition of Consideration Shares and he or she has provided the Company with written assurances, if reasonably requested, in substance and form satisfactory to the Company, that (A) the proposed disposition does not require registration of the Consideration Shares under the Act or all appropriate action necessary for compliance with the registration requirements of the Act or with any exemption from registration available under the Act (including Rule 144) has been taken and (B) the proposed disposition will not result in the contravention of any transfer restrictions applicable to the Consideration Shares under state securities law.</w:t>
      </w:r>
    </w:p>
    <w:p>
      <w:pPr>
        <w:spacing w:after="0" w:line="87" w:lineRule="exact"/>
        <w:rPr>
          <w:rFonts w:ascii="Arial" w:cs="Arial" w:eastAsia="Arial" w:hAnsi="Arial"/>
          <w:sz w:val="18"/>
          <w:szCs w:val="18"/>
          <w:color w:val="auto"/>
        </w:rPr>
      </w:pPr>
    </w:p>
    <w:p>
      <w:pPr>
        <w:ind w:right="120" w:firstLine="990"/>
        <w:spacing w:after="0" w:line="259" w:lineRule="auto"/>
        <w:tabs>
          <w:tab w:leader="none" w:pos="122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Such Shareholder has been furnished with, and has had access to, such information as he or she considers necessary or appropriate for deciding whether to invest in the Consideration Shares, and such Shareholder has had an opportunity to ask questions and receive answers from the Company regarding the terms and conditions of the issuance of the Consideration Shares.</w:t>
      </w:r>
    </w:p>
    <w:p>
      <w:pPr>
        <w:spacing w:after="0" w:line="78" w:lineRule="exact"/>
        <w:rPr>
          <w:rFonts w:ascii="Arial" w:cs="Arial" w:eastAsia="Arial" w:hAnsi="Arial"/>
          <w:sz w:val="18"/>
          <w:szCs w:val="18"/>
          <w:color w:val="auto"/>
        </w:rPr>
      </w:pPr>
    </w:p>
    <w:p>
      <w:pPr>
        <w:jc w:val="both"/>
        <w:ind w:firstLine="990"/>
        <w:spacing w:after="0" w:line="259" w:lineRule="auto"/>
        <w:tabs>
          <w:tab w:leader="none" w:pos="120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Such Shareholder is aware that his or her investment in the Company is a speculative investment that has limited liquidity and is subject to the risk of complete loss. Such Shareholder is able, without impairing his or her financial condition, to hold the Consideration Shares for an indefinite period and to suffer a complete loss of his or her investment in the Consideration Shares.</w:t>
      </w:r>
    </w:p>
    <w:p>
      <w:pPr>
        <w:spacing w:after="0" w:line="75"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b w:val="1"/>
          <w:bCs w:val="1"/>
          <w:color w:val="auto"/>
        </w:rPr>
        <w:t>2.7 Foreign Shareholders</w:t>
      </w:r>
      <w:r>
        <w:rPr>
          <w:rFonts w:ascii="Arial" w:cs="Arial" w:eastAsia="Arial" w:hAnsi="Arial"/>
          <w:sz w:val="16"/>
          <w:szCs w:val="16"/>
          <w:color w:val="auto"/>
        </w:rPr>
        <w:t>. Each Shareholder hereby represents that he, she or it has satisfied itself as to the full observance of the laws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in connection with the transactions contemplated by this Agreement, including (a) the legal requirements within its jurisdiction for the acquisition of the Consideration Shares, (b) any foreign exchange restrictions applicable to such acquisition, (c) any governmental or other consents that may need to be obtained, and (d) the income tax and other tax consequences, if any, that may be relevant to the acquisition, holding, redemption, sale, or transfer of the Consideration Shares or Contribution Shares, as applicable. Such Shareholder’s exchange for, and continued beneficial ownership of, the Consideration Shares will not violate any applicable securities or other laws of such Shareholder’s jurisdiction.</w:t>
      </w:r>
    </w:p>
    <w:p>
      <w:pPr>
        <w:spacing w:after="0" w:line="52" w:lineRule="exact"/>
        <w:rPr>
          <w:sz w:val="20"/>
          <w:szCs w:val="20"/>
          <w:color w:val="auto"/>
        </w:rPr>
      </w:pPr>
    </w:p>
    <w:p>
      <w:pPr>
        <w:ind w:right="300" w:firstLine="436"/>
        <w:spacing w:after="0" w:line="273" w:lineRule="auto"/>
        <w:rPr>
          <w:sz w:val="20"/>
          <w:szCs w:val="20"/>
          <w:color w:val="auto"/>
        </w:rPr>
      </w:pPr>
      <w:r>
        <w:rPr>
          <w:rFonts w:ascii="Arial" w:cs="Arial" w:eastAsia="Arial" w:hAnsi="Arial"/>
          <w:sz w:val="17"/>
          <w:szCs w:val="17"/>
          <w:b w:val="1"/>
          <w:bCs w:val="1"/>
          <w:color w:val="auto"/>
        </w:rPr>
        <w:t>2.8 Disqualification Event</w:t>
      </w:r>
      <w:r>
        <w:rPr>
          <w:rFonts w:ascii="Arial" w:cs="Arial" w:eastAsia="Arial" w:hAnsi="Arial"/>
          <w:sz w:val="17"/>
          <w:szCs w:val="17"/>
          <w:color w:val="auto"/>
        </w:rPr>
        <w:t>. None of the “bad actor” disqualifications described in Rule 506(d)(1) of Regulation D under the Act apply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or any of its affiliates. In the event that any Disqualification Event applies to the Shareholder following the date hereof, the Shareholder shall promptly advise the Company of such fact and furnish to the Company any supplementary information that may be requested. The Shareholder acknowledges and agrees that in the event that any Disqualification Event applies to the Shareholder following the date hereof, the Company is permitted to disclose such Disqualification Event to the extent required by law.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471" w:name="page472"/>
    <w:bookmarkEnd w:id="47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III</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 BY THE COMPANY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Contribution Date, the Company hereby represents and warrants to the Shareholders that:</w:t>
      </w:r>
    </w:p>
    <w:p>
      <w:pPr>
        <w:spacing w:after="0" w:line="110" w:lineRule="exact"/>
        <w:rPr>
          <w:sz w:val="20"/>
          <w:szCs w:val="20"/>
          <w:color w:val="auto"/>
        </w:rPr>
      </w:pPr>
    </w:p>
    <w:p>
      <w:pPr>
        <w:jc w:val="both"/>
        <w:ind w:right="240" w:firstLine="436"/>
        <w:spacing w:after="0" w:line="277" w:lineRule="auto"/>
        <w:rPr>
          <w:sz w:val="20"/>
          <w:szCs w:val="20"/>
          <w:color w:val="auto"/>
        </w:rPr>
      </w:pPr>
      <w:r>
        <w:rPr>
          <w:rFonts w:ascii="Arial" w:cs="Arial" w:eastAsia="Arial" w:hAnsi="Arial"/>
          <w:sz w:val="17"/>
          <w:szCs w:val="17"/>
          <w:b w:val="1"/>
          <w:bCs w:val="1"/>
          <w:color w:val="auto"/>
        </w:rPr>
        <w:t>3.1 Authority</w:t>
      </w:r>
      <w:r>
        <w:rPr>
          <w:rFonts w:ascii="Arial" w:cs="Arial" w:eastAsia="Arial" w:hAnsi="Arial"/>
          <w:sz w:val="17"/>
          <w:szCs w:val="17"/>
          <w:color w:val="auto"/>
        </w:rPr>
        <w:t>. All corporate action on the part of the Company necessary for the authorization, execution and delivery of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all obligations of the Company hereunder, and the authorization, issuance and delivery of the Consideration Shares has been taken or will be taken prior to the Contribution and Exchange, and this Agreement, when executed and delivered by the Company, will constitute a valid and legally binding obligation of the Company, enforceable in accordance with its terms.</w:t>
      </w:r>
    </w:p>
    <w:p>
      <w:pPr>
        <w:spacing w:after="0" w:line="60" w:lineRule="exact"/>
        <w:rPr>
          <w:sz w:val="20"/>
          <w:szCs w:val="20"/>
          <w:color w:val="auto"/>
        </w:rPr>
      </w:pPr>
    </w:p>
    <w:p>
      <w:pPr>
        <w:ind w:right="40" w:firstLine="436"/>
        <w:spacing w:after="0" w:line="271" w:lineRule="auto"/>
        <w:rPr>
          <w:sz w:val="20"/>
          <w:szCs w:val="20"/>
          <w:color w:val="auto"/>
        </w:rPr>
      </w:pPr>
      <w:r>
        <w:rPr>
          <w:rFonts w:ascii="Arial" w:cs="Arial" w:eastAsia="Arial" w:hAnsi="Arial"/>
          <w:sz w:val="17"/>
          <w:szCs w:val="17"/>
          <w:b w:val="1"/>
          <w:bCs w:val="1"/>
          <w:color w:val="auto"/>
        </w:rPr>
        <w:t>3.2 Non-Contravention</w:t>
      </w:r>
      <w:r>
        <w:rPr>
          <w:rFonts w:ascii="Arial" w:cs="Arial" w:eastAsia="Arial" w:hAnsi="Arial"/>
          <w:sz w:val="17"/>
          <w:szCs w:val="17"/>
          <w:color w:val="auto"/>
        </w:rPr>
        <w:t>. The execution, delivery and performance of this Agreement, and the consummation of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will not result in any violation, default, conflict or breach of (a) any provision of its constitutive documents, or (b) in any material respect, any instrument, judgment, order, writ, decree, or contract to which it is a party or by which it is bound nor will such consummation constitute, with or without the passage of time and giving of notice, an event that results in (a) the creation of any lien, charge or encumbrance upon any assets of the Company, or (b) the suspension, revocation, impairment, forfeiture, or nonrenewal of any material permit, license, authorization, or approval applicable to the Company, its businesses or operations or any of its assets or properties.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04"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b w:val="1"/>
          <w:bCs w:val="1"/>
          <w:color w:val="auto"/>
        </w:rPr>
        <w:t>4.1 Securities Law Restrictions</w:t>
      </w:r>
      <w:r>
        <w:rPr>
          <w:rFonts w:ascii="Arial" w:cs="Arial" w:eastAsia="Arial" w:hAnsi="Arial"/>
          <w:sz w:val="18"/>
          <w:szCs w:val="18"/>
          <w:color w:val="auto"/>
        </w:rPr>
        <w:t>. Regardless of whether the offering and sale of Consideration Shares under this Agreement have been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Act or have been registered or qualified under the securities laws of any state, the Company at its discretion may impose restrictions upon the sale, pledge or other transfer of the Consideration Shares (including the placement of appropriate legends on stock certificates or the imposition of stop-transfer instructions) if, in the judgment of the Company, such restrictions are necessary or desirable in order to achieve compliance with the Act, the securities laws of any state or any other law.</w:t>
      </w:r>
    </w:p>
    <w:p>
      <w:pPr>
        <w:spacing w:after="0" w:line="77" w:lineRule="exact"/>
        <w:rPr>
          <w:sz w:val="20"/>
          <w:szCs w:val="20"/>
          <w:color w:val="auto"/>
        </w:rPr>
      </w:pPr>
    </w:p>
    <w:p>
      <w:pPr>
        <w:jc w:val="both"/>
        <w:ind w:right="60" w:firstLine="436"/>
        <w:spacing w:after="0" w:line="284" w:lineRule="auto"/>
        <w:rPr>
          <w:sz w:val="20"/>
          <w:szCs w:val="20"/>
          <w:color w:val="auto"/>
        </w:rPr>
      </w:pPr>
      <w:r>
        <w:rPr>
          <w:rFonts w:ascii="Arial" w:cs="Arial" w:eastAsia="Arial" w:hAnsi="Arial"/>
          <w:sz w:val="17"/>
          <w:szCs w:val="17"/>
          <w:b w:val="1"/>
          <w:bCs w:val="1"/>
          <w:color w:val="auto"/>
        </w:rPr>
        <w:t>4.2 Transfer Restrictions</w:t>
      </w:r>
      <w:r>
        <w:rPr>
          <w:rFonts w:ascii="Arial" w:cs="Arial" w:eastAsia="Arial" w:hAnsi="Arial"/>
          <w:sz w:val="17"/>
          <w:szCs w:val="17"/>
          <w:color w:val="auto"/>
        </w:rPr>
        <w:t>. The Shareholders hereby agree and acknowledge that, effective as of the Contribution and Exchange, the US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issued to such Shareholders in connection therewith, will be subject to the transfer restrictions imposed on such Consideration Shares pursuant to the Company’s By-laws and the Transaction Agreements and hereby consent to such transfer restrictions in all respects.</w:t>
      </w:r>
    </w:p>
    <w:p>
      <w:pPr>
        <w:spacing w:after="0" w:line="55"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4.3 Legends</w:t>
      </w:r>
      <w:r>
        <w:rPr>
          <w:rFonts w:ascii="Arial" w:cs="Arial" w:eastAsia="Arial" w:hAnsi="Arial"/>
          <w:sz w:val="18"/>
          <w:szCs w:val="18"/>
          <w:color w:val="auto"/>
        </w:rPr>
        <w:t>. All certificates evidencing Consideration Shares shall, at the Company’s discretion, bear one or all of the following legends, or</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that are substantially similar (together with any legend(s) required by the Transaction Agreements or applicable state “blue sky” securities laws, rules and regulations):</w:t>
      </w:r>
    </w:p>
    <w:p>
      <w:pPr>
        <w:spacing w:after="0" w:line="78"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80" w:top="268" w:right="559" w:bottom="1440" w:gutter="0" w:footer="0" w:header="0"/>
        </w:sectPr>
      </w:pPr>
    </w:p>
    <w:bookmarkStart w:id="472" w:name="page473"/>
    <w:bookmarkEnd w:id="472"/>
    <w:p>
      <w:pPr>
        <w:ind w:left="440" w:right="4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SHARES REPRESENTED BY THIS CERTIFICATE ARE SUBJECT TO RESTRICTIONS ON TRANSFER CONTAINED IN THE BYLAWS OF THE CORPORATION.”</w:t>
      </w:r>
    </w:p>
    <w:p>
      <w:pPr>
        <w:spacing w:after="0" w:line="68" w:lineRule="exact"/>
        <w:rPr>
          <w:sz w:val="20"/>
          <w:szCs w:val="20"/>
          <w:color w:val="auto"/>
        </w:rPr>
      </w:pPr>
    </w:p>
    <w:p>
      <w:pPr>
        <w:ind w:left="440" w:right="60"/>
        <w:spacing w:after="0" w:line="253" w:lineRule="auto"/>
        <w:rPr>
          <w:sz w:val="20"/>
          <w:szCs w:val="20"/>
          <w:color w:val="auto"/>
        </w:rPr>
      </w:pPr>
      <w:r>
        <w:rPr>
          <w:rFonts w:ascii="Arial" w:cs="Arial" w:eastAsia="Arial" w:hAnsi="Arial"/>
          <w:sz w:val="18"/>
          <w:szCs w:val="18"/>
          <w:color w:val="auto"/>
        </w:rPr>
        <w:t>“THE COMPANY HAS MORE THAN ONE CLASS OF CAPITAL STOCK AUTHORIZED TO BE ISSUED. THE COMPANY WILL FURNISH WITHOUT CHARGE TO EACH STOCKHOLDER UPON WRITTEN REQUEST A COPY OF THE FULL TEXT OF THE PREFERENCES, VOTING POWERS, QUALIFICATIONS AND SPECIAL AND RELATIVE RIGHTS OF THE SHARES OF EACH CLASS OF STOCK (AND ANY SERIES THEREOF) AUTHORIZED TO BE ISSUED BY THE COMPANY AS SET FORTH IN ITS CHARTER AND ANY AMENDMENTS THERETO.</w:t>
      </w:r>
    </w:p>
    <w:p>
      <w:pPr>
        <w:spacing w:after="0" w:line="82"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4.4 Further Assurances</w:t>
      </w:r>
      <w:r>
        <w:rPr>
          <w:rFonts w:ascii="Arial" w:cs="Arial" w:eastAsia="Arial" w:hAnsi="Arial"/>
          <w:sz w:val="18"/>
          <w:szCs w:val="18"/>
          <w:color w:val="auto"/>
        </w:rPr>
        <w:t>. The parties hereto agree that they will, at any time and from time to time after the Contribution Date and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do, execute acknowledge and deliver, or will cause to be done, executed, acknowledged and delivered all such further acts, deeds, assignments, transfers, conveyances, powers of attorney and assurances as may be reasonably required in conformity with this Agreement for the performance of the duties and obligations of each party to the other under this Agreement.</w:t>
      </w:r>
    </w:p>
    <w:p>
      <w:pPr>
        <w:spacing w:after="0" w:line="76" w:lineRule="exact"/>
        <w:rPr>
          <w:sz w:val="20"/>
          <w:szCs w:val="20"/>
          <w:color w:val="auto"/>
        </w:rPr>
      </w:pPr>
    </w:p>
    <w:p>
      <w:pPr>
        <w:ind w:right="60" w:firstLine="436"/>
        <w:spacing w:after="0" w:line="284" w:lineRule="auto"/>
        <w:rPr>
          <w:sz w:val="20"/>
          <w:szCs w:val="20"/>
          <w:color w:val="auto"/>
        </w:rPr>
      </w:pPr>
      <w:r>
        <w:rPr>
          <w:rFonts w:ascii="Arial" w:cs="Arial" w:eastAsia="Arial" w:hAnsi="Arial"/>
          <w:sz w:val="17"/>
          <w:szCs w:val="17"/>
          <w:b w:val="1"/>
          <w:bCs w:val="1"/>
          <w:color w:val="auto"/>
        </w:rPr>
        <w:t>4.5 Entire Agreement</w:t>
      </w:r>
      <w:r>
        <w:rPr>
          <w:rFonts w:ascii="Arial" w:cs="Arial" w:eastAsia="Arial" w:hAnsi="Arial"/>
          <w:sz w:val="17"/>
          <w:szCs w:val="17"/>
          <w:color w:val="auto"/>
        </w:rPr>
        <w:t>. This Agreement represents the entire contract between the parties with respect to the subject matter hereof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offers, proposals, statements, representations and agreements with respect to the subject matter hereof. This Agreement may not be amended except by action of each of the parties hereto set forth in an instrument in writing signed on behalf of each of the parties hereto.</w:t>
      </w:r>
    </w:p>
    <w:p>
      <w:pPr>
        <w:spacing w:after="0" w:line="55" w:lineRule="exact"/>
        <w:rPr>
          <w:sz w:val="20"/>
          <w:szCs w:val="20"/>
          <w:color w:val="auto"/>
        </w:rPr>
      </w:pPr>
    </w:p>
    <w:p>
      <w:pPr>
        <w:ind w:right="200" w:firstLine="436"/>
        <w:spacing w:after="0" w:line="275" w:lineRule="auto"/>
        <w:rPr>
          <w:sz w:val="20"/>
          <w:szCs w:val="20"/>
          <w:color w:val="auto"/>
        </w:rPr>
      </w:pPr>
      <w:r>
        <w:rPr>
          <w:rFonts w:ascii="Arial" w:cs="Arial" w:eastAsia="Arial" w:hAnsi="Arial"/>
          <w:sz w:val="18"/>
          <w:szCs w:val="18"/>
          <w:b w:val="1"/>
          <w:bCs w:val="1"/>
          <w:color w:val="auto"/>
        </w:rPr>
        <w:t>4.6 Captions</w:t>
      </w:r>
      <w:r>
        <w:rPr>
          <w:rFonts w:ascii="Arial" w:cs="Arial" w:eastAsia="Arial" w:hAnsi="Arial"/>
          <w:sz w:val="18"/>
          <w:szCs w:val="18"/>
          <w:color w:val="auto"/>
        </w:rPr>
        <w:t>. The captions to the Articles and sections contained in this Agreement are for reference only, do not form a substantive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not restrict nor enlarge any substantive provision of this Agreement.</w:t>
      </w:r>
    </w:p>
    <w:p>
      <w:pPr>
        <w:spacing w:after="0" w:line="61"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4.7 Governing Law; Waiver of Jury Trial</w:t>
      </w:r>
      <w:r>
        <w:rPr>
          <w:rFonts w:ascii="Arial" w:cs="Arial" w:eastAsia="Arial" w:hAnsi="Arial"/>
          <w:sz w:val="17"/>
          <w:szCs w:val="17"/>
          <w:color w:val="auto"/>
        </w:rPr>
        <w:t>. All questions concerning the construction, validity, enforcement and interpretation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claims, issues, controversies or matters arising hereunder) shall be governed by the internal law of the State of Delaware without giving effect to any choice of law or conflict of law provision or rule (whether of the State of Delaware or any other jurisdictions) that would cause the application of the laws of any jurisdictions other than the State of Delaware. EACH PARTY (AFTER HAVING THE OPPORTUNITY TO CONSULT WITH COUNSEL)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THE PARTIES IN THE NEGOTIATION, AUTHORIZATION, EXECUTION, DELIVERY, ADMINISTRATION, PERFORMANCE OR ENFORCEMENT 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473" w:name="page474"/>
    <w:bookmarkEnd w:id="473"/>
    <w:p>
      <w:pPr>
        <w:ind w:right="20" w:firstLine="43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4.8 Jurisdiction and Venue</w:t>
      </w:r>
      <w:r>
        <w:rPr>
          <w:rFonts w:ascii="Arial" w:cs="Arial" w:eastAsia="Arial" w:hAnsi="Arial"/>
          <w:sz w:val="16"/>
          <w:szCs w:val="16"/>
          <w:color w:val="auto"/>
        </w:rPr>
        <w:t>. EACH OF THE PARTIES TO THIS AGREEMENT HEREBY AGREES THAT JURISDICTION AND VENUE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SUIT, ACTION OR PROCEEDING BROUGHT BY ANY PARTY ARISING OUT OF OR RELATING TO THIS AGREEMENT (INCLUDING ANY SUIT, ACTION OR PROCEEDING SEEKING EQUITABLE RELIEF) SHALL PROPERLY AND EXCLUSIVELY LIE IN THE COURT OF CHANCERY OF THE STATE OF DELAWARE (THE “</w:t>
      </w:r>
      <w:r>
        <w:rPr>
          <w:rFonts w:ascii="Arial" w:cs="Arial" w:eastAsia="Arial" w:hAnsi="Arial"/>
          <w:sz w:val="16"/>
          <w:szCs w:val="16"/>
          <w:u w:val="single" w:color="auto"/>
          <w:color w:val="auto"/>
        </w:rPr>
        <w:t>COURT OF CHANCERY</w:t>
      </w:r>
      <w:r>
        <w:rPr>
          <w:rFonts w:ascii="Arial" w:cs="Arial" w:eastAsia="Arial" w:hAnsi="Arial"/>
          <w:sz w:val="16"/>
          <w:szCs w:val="16"/>
          <w:color w:val="auto"/>
        </w:rPr>
        <w:t>”) OR, TO THE EXTENT THE COURT OF CHANCERY DOES NOT HAVE SUBJECT MATTER JURISDICTION, THE UNITED STATES DISTRICT COURT FOR THE DISTRICT OF DELAWARE AND THE APPELLATE COURTS HAVING JURISDICTION OF APPEALS IN SUCH COURTS (THE “</w:t>
      </w:r>
      <w:r>
        <w:rPr>
          <w:rFonts w:ascii="Arial" w:cs="Arial" w:eastAsia="Arial" w:hAnsi="Arial"/>
          <w:sz w:val="16"/>
          <w:szCs w:val="16"/>
          <w:u w:val="single" w:color="auto"/>
          <w:color w:val="auto"/>
        </w:rPr>
        <w:t>DELAWARE FEDERAL COURT</w:t>
      </w:r>
      <w:r>
        <w:rPr>
          <w:rFonts w:ascii="Arial" w:cs="Arial" w:eastAsia="Arial" w:hAnsi="Arial"/>
          <w:sz w:val="16"/>
          <w:szCs w:val="16"/>
          <w:color w:val="auto"/>
        </w:rPr>
        <w:t>”) OR, TO THE EXTENT NEITHER THE COURT OF CHANCERY NOR THE DELAWARE FEDERAL COURT HAS SUBJECT MATTER JURISDICTION, THE SUPERIOR COURT OF THE STATE OF DELAWARE (COLLECTIVELY, THE “</w:t>
      </w:r>
      <w:r>
        <w:rPr>
          <w:rFonts w:ascii="Arial" w:cs="Arial" w:eastAsia="Arial" w:hAnsi="Arial"/>
          <w:sz w:val="16"/>
          <w:szCs w:val="16"/>
          <w:u w:val="single" w:color="auto"/>
          <w:color w:val="auto"/>
        </w:rPr>
        <w:t>CHOSEN COURTS</w:t>
      </w:r>
      <w:r>
        <w:rPr>
          <w:rFonts w:ascii="Arial" w:cs="Arial" w:eastAsia="Arial" w:hAnsi="Arial"/>
          <w:sz w:val="16"/>
          <w:szCs w:val="16"/>
          <w:color w:val="auto"/>
        </w:rPr>
        <w:t>”). BY EXECUTION AND DELIVERY OF THIS AGREEMENT, EACH PARTY IRREVOCABLY SUBMITS TO THE JURISDICTION OF THE CHOSEN COURTS FOR ITSELF AND IN RESPECT OF ITS PROPERTY WITH RESPECT TO SUCH SUIT, ACTION OR PROCEEDING. THE PARTIES HERETO IRREVOCABLY AGREE THAT VENUE WOULD BE PROPER IN THE CHOSEN COURTS, AND HEREBY WAIVE ANY OBJECTION THAT ANY SUCH CHOSEN COURT IS AN IMPROPER OR INCONVENIENT FORUM FOR THE RESOLUTION OF SUCH SUIT, ACTION OR PROCEEDING.</w:t>
      </w:r>
    </w:p>
    <w:p>
      <w:pPr>
        <w:spacing w:after="0" w:line="62"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4.9 Counterparts</w:t>
      </w:r>
      <w:r>
        <w:rPr>
          <w:rFonts w:ascii="Arial" w:cs="Arial" w:eastAsia="Arial" w:hAnsi="Arial"/>
          <w:sz w:val="18"/>
          <w:szCs w:val="18"/>
          <w:color w:val="auto"/>
        </w:rPr>
        <w:t>. This Agreement may be executed in any number of counterparts, and by facsimile or .pdf, each of which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shall constitute but one and the same Agreement by and among the parties.</w:t>
      </w:r>
    </w:p>
    <w:p>
      <w:pPr>
        <w:spacing w:after="0" w:line="61" w:lineRule="exact"/>
        <w:rPr>
          <w:sz w:val="20"/>
          <w:szCs w:val="20"/>
          <w:color w:val="auto"/>
        </w:rPr>
      </w:pPr>
    </w:p>
    <w:p>
      <w:pPr>
        <w:ind w:right="340" w:firstLine="436"/>
        <w:spacing w:after="0" w:line="277" w:lineRule="auto"/>
        <w:rPr>
          <w:sz w:val="20"/>
          <w:szCs w:val="20"/>
          <w:color w:val="auto"/>
        </w:rPr>
      </w:pPr>
      <w:r>
        <w:rPr>
          <w:rFonts w:ascii="Arial" w:cs="Arial" w:eastAsia="Arial" w:hAnsi="Arial"/>
          <w:sz w:val="17"/>
          <w:szCs w:val="17"/>
          <w:b w:val="1"/>
          <w:bCs w:val="1"/>
          <w:color w:val="auto"/>
        </w:rPr>
        <w:t>4.10 Severability</w:t>
      </w:r>
      <w:r>
        <w:rPr>
          <w:rFonts w:ascii="Arial" w:cs="Arial" w:eastAsia="Arial" w:hAnsi="Arial"/>
          <w:sz w:val="17"/>
          <w:szCs w:val="17"/>
          <w:color w:val="auto"/>
        </w:rPr>
        <w:t>. The invalidity or unenforceability of any provision of this Agreement shall not affect the other provisions hereof,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construed in all respects as if such invalid or unenforceable provisions were omitted. Furthermore, upon the request of any party hereto, the parties to this Agreement shall add, in lieu of such invalid or unenforceable provisions, provisions as similar in terms to such invalid or unenforceable provisions as may be possible and legal, valid and enforceable.</w:t>
      </w:r>
    </w:p>
    <w:p>
      <w:pPr>
        <w:spacing w:after="0" w:line="60" w:lineRule="exact"/>
        <w:rPr>
          <w:sz w:val="20"/>
          <w:szCs w:val="20"/>
          <w:color w:val="auto"/>
        </w:rPr>
      </w:pPr>
    </w:p>
    <w:p>
      <w:pPr>
        <w:ind w:right="200" w:firstLine="436"/>
        <w:spacing w:after="0" w:line="257" w:lineRule="auto"/>
        <w:rPr>
          <w:sz w:val="20"/>
          <w:szCs w:val="20"/>
          <w:color w:val="auto"/>
        </w:rPr>
      </w:pPr>
      <w:r>
        <w:rPr>
          <w:rFonts w:ascii="Arial" w:cs="Arial" w:eastAsia="Arial" w:hAnsi="Arial"/>
          <w:sz w:val="18"/>
          <w:szCs w:val="18"/>
          <w:b w:val="1"/>
          <w:bCs w:val="1"/>
          <w:color w:val="auto"/>
        </w:rPr>
        <w:t>4.11 Amendment and Waiver</w:t>
      </w:r>
      <w:r>
        <w:rPr>
          <w:rFonts w:ascii="Arial" w:cs="Arial" w:eastAsia="Arial" w:hAnsi="Arial"/>
          <w:sz w:val="18"/>
          <w:szCs w:val="18"/>
          <w:color w:val="auto"/>
        </w:rPr>
        <w:t>. This Agreement may be amended or modified, and the observance of any term hereof may be waived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generally or in a particular instance and either retroactively or prospectively) only by a written instrument executed by (a) the Company, (b) the Shareholders holding a majority of the shares of US Series A Preferred Stock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(c) the Shareholders holding a majority of the shares of Common Stock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74" w:name="page475"/>
    <w:bookmarkEnd w:id="47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7"/>
          <w:szCs w:val="17"/>
          <w:color w:val="auto"/>
        </w:rPr>
        <w:t>, the parties have caused this Agreement to be executed as of the day and year first above written.</w:t>
      </w:r>
    </w:p>
    <w:p>
      <w:pPr>
        <w:spacing w:after="0" w:line="259"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MONTE ROSA THERAPEUTICS, INC.</w:t>
      </w:r>
    </w:p>
    <w:p>
      <w:pPr>
        <w:spacing w:after="0" w:line="221"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Markus Warmuth, M.D.</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6"/>
          <w:szCs w:val="16"/>
          <w:color w:val="auto"/>
        </w:rPr>
        <w:t>Title:</w:t>
        <w:tab/>
        <w:t>Chief Executive Officer and President</w:t>
      </w:r>
    </w:p>
    <w:p>
      <w:pPr>
        <w:spacing w:after="0" w:line="23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Contribution and Exchange Agreement</w:t>
      </w:r>
    </w:p>
    <w:p>
      <w:pPr>
        <w:sectPr>
          <w:pgSz w:w="11900" w:h="16838" w:orient="portrait"/>
          <w:cols w:equalWidth="0" w:num="1">
            <w:col w:w="9979"/>
          </w:cols>
          <w:pgMar w:left="480" w:top="268" w:right="1440" w:bottom="1440" w:gutter="0" w:footer="0" w:header="0"/>
        </w:sectPr>
      </w:pPr>
    </w:p>
    <w:bookmarkStart w:id="475" w:name="page476"/>
    <w:bookmarkEnd w:id="475"/>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VERSANT VENTURE CAPITAL VI, L.P.</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Ventures VI GP,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Versant Ventures VI GP-GP, LLC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Bradley Bolzon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Bradley Bolzon, Ph.D.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 Page to Contribution and Exchange Agreement</w:t>
      </w:r>
    </w:p>
    <w:p>
      <w:pPr>
        <w:sectPr>
          <w:pgSz w:w="11900" w:h="16838" w:orient="portrait"/>
          <w:cols w:equalWidth="0" w:num="1">
            <w:col w:w="9960"/>
          </w:cols>
          <w:pgMar w:left="1440" w:top="268" w:right="499" w:bottom="1440" w:gutter="0" w:footer="0" w:header="0"/>
        </w:sectPr>
      </w:pPr>
    </w:p>
    <w:bookmarkStart w:id="476" w:name="page477"/>
    <w:bookmarkEnd w:id="47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 (CONT’D):</w:t>
      </w: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Alexander Flohr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Alexander Flohr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Giorgio Ottaviani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Giorgio Ottaviani</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Andrew Jefferson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Andrew Jefferson</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Bernard Fasching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Bernard Fasching</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Oliv Eidam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Oliv Eidam</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7"/>
          <w:szCs w:val="17"/>
          <w:i w:val="1"/>
          <w:iCs w:val="1"/>
          <w:color w:val="auto"/>
        </w:rPr>
        <w:t>/s/ Frédéric Georges Delobel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20955</wp:posOffset>
            </wp:positionV>
            <wp:extent cx="27686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Frédéric Georges Delobel</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Franziska Weibel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Franziska Weibel</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Gerald Gavory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Gerald Gavory</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Mahmoud Amine Sadok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Mahmoud Amine Sadok</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De1borah Bonenfant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Deborah Bonenfant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Contribution and Exchange Agreement</w:t>
      </w:r>
    </w:p>
    <w:p>
      <w:pPr>
        <w:sectPr>
          <w:pgSz w:w="11900" w:h="16838" w:orient="portrait"/>
          <w:cols w:equalWidth="0" w:num="1">
            <w:col w:w="9019"/>
          </w:cols>
          <w:pgMar w:left="1440" w:top="272" w:right="1440" w:bottom="1440" w:gutter="0" w:footer="0" w:header="0"/>
        </w:sectPr>
      </w:pPr>
    </w:p>
    <w:bookmarkStart w:id="477" w:name="page478"/>
    <w:bookmarkEnd w:id="477"/>
    <w:p>
      <w:pPr>
        <w:ind w:left="56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 (CONT’D):</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Oliver Christof Horlacher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Oliver Christof Horlacher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Nicole Hustedt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Nicole Hustedt</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Richard David Bunker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Richard David Bunker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Contribution and Exchange Agreement</w:t>
      </w:r>
    </w:p>
    <w:p>
      <w:pPr>
        <w:sectPr>
          <w:pgSz w:w="11900" w:h="16838" w:orient="portrait"/>
          <w:cols w:equalWidth="0" w:num="1">
            <w:col w:w="9019"/>
          </w:cols>
          <w:pgMar w:left="1440" w:top="268" w:right="1440"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EXCHANGE AGREEMENT</w:t>
      </w:r>
    </w:p>
    <w:p>
      <w:pPr>
        <w:spacing w:after="0" w:line="221"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ONTRIBUTION AND</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XCHANGE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the 1st day of September, 2020 (the “</w:t>
      </w:r>
      <w:r>
        <w:rPr>
          <w:rFonts w:ascii="Arial" w:cs="Arial" w:eastAsia="Arial" w:hAnsi="Arial"/>
          <w:sz w:val="17"/>
          <w:szCs w:val="17"/>
          <w:u w:val="single" w:color="auto"/>
          <w:color w:val="auto"/>
        </w:rPr>
        <w:t>Contribution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by and among the undersigned Shareholders (the “</w:t>
      </w:r>
      <w:r>
        <w:rPr>
          <w:rFonts w:ascii="Arial" w:cs="Arial" w:eastAsia="Arial" w:hAnsi="Arial"/>
          <w:sz w:val="17"/>
          <w:szCs w:val="17"/>
          <w:u w:val="single" w:color="auto"/>
          <w:color w:val="auto"/>
        </w:rPr>
        <w:t>Shareholders</w:t>
      </w:r>
      <w:r>
        <w:rPr>
          <w:rFonts w:ascii="Arial" w:cs="Arial" w:eastAsia="Arial" w:hAnsi="Arial"/>
          <w:sz w:val="17"/>
          <w:szCs w:val="17"/>
          <w:color w:val="auto"/>
        </w:rPr>
        <w:t>”) of record of Monte Rosa Therapeutics AG, a company incorporated in Switzerland, having its registered office at Aeschenvorstadt 36, 4051 Basel, Switzerland (“</w:t>
      </w:r>
      <w:r>
        <w:rPr>
          <w:rFonts w:ascii="Arial" w:cs="Arial" w:eastAsia="Arial" w:hAnsi="Arial"/>
          <w:sz w:val="17"/>
          <w:szCs w:val="17"/>
          <w:u w:val="single" w:color="auto"/>
          <w:color w:val="auto"/>
        </w:rPr>
        <w:t>MRTx Swiss</w:t>
      </w:r>
      <w:r>
        <w:rPr>
          <w:rFonts w:ascii="Arial" w:cs="Arial" w:eastAsia="Arial" w:hAnsi="Arial"/>
          <w:sz w:val="17"/>
          <w:szCs w:val="17"/>
          <w:color w:val="auto"/>
        </w:rPr>
        <w:t xml:space="preserve">”) as of immediately prior to the Contribution and Exchange (as defined below),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ONTE</w:t>
      </w:r>
      <w:r>
        <w:rPr>
          <w:rFonts w:ascii="Arial" w:cs="Arial" w:eastAsia="Arial" w:hAnsi="Arial"/>
          <w:sz w:val="17"/>
          <w:szCs w:val="17"/>
          <w:color w:val="auto"/>
        </w:rPr>
        <w:t xml:space="preserve"> </w:t>
      </w:r>
      <w:r>
        <w:rPr>
          <w:rFonts w:ascii="Arial" w:cs="Arial" w:eastAsia="Arial" w:hAnsi="Arial"/>
          <w:sz w:val="17"/>
          <w:szCs w:val="17"/>
          <w:b w:val="1"/>
          <w:bCs w:val="1"/>
          <w:color w:val="auto"/>
        </w:rPr>
        <w:t>R</w:t>
      </w:r>
      <w:r>
        <w:rPr>
          <w:rFonts w:ascii="Arial" w:cs="Arial" w:eastAsia="Arial" w:hAnsi="Arial"/>
          <w:sz w:val="13"/>
          <w:szCs w:val="13"/>
          <w:b w:val="1"/>
          <w:bCs w:val="1"/>
          <w:color w:val="auto"/>
        </w:rPr>
        <w:t>OSA</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600" w:firstLine="436"/>
        <w:spacing w:after="0" w:line="34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Shareholder owns the number of shares of Common Shares, nominal value of CHF 0.01 per share, of MRTx Swiss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Common Shares</w:t>
      </w:r>
      <w:r>
        <w:rPr>
          <w:rFonts w:ascii="Arial" w:cs="Arial" w:eastAsia="Arial" w:hAnsi="Arial"/>
          <w:sz w:val="16"/>
          <w:szCs w:val="16"/>
          <w:color w:val="auto"/>
        </w:rPr>
        <w:t xml:space="preserve">”) as set forth next to such Shareholder’s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(such shares the “</w:t>
      </w:r>
      <w:r>
        <w:rPr>
          <w:rFonts w:ascii="Arial" w:cs="Arial" w:eastAsia="Arial" w:hAnsi="Arial"/>
          <w:sz w:val="16"/>
          <w:szCs w:val="16"/>
          <w:u w:val="single" w:color="auto"/>
          <w:color w:val="auto"/>
        </w:rPr>
        <w:t>Contribution Shares</w:t>
      </w:r>
      <w:r>
        <w:rPr>
          <w:rFonts w:ascii="Arial" w:cs="Arial" w:eastAsia="Arial" w:hAnsi="Arial"/>
          <w:sz w:val="16"/>
          <w:szCs w:val="16"/>
          <w:color w:val="auto"/>
        </w:rPr>
        <w:t>”);</w:t>
      </w:r>
    </w:p>
    <w:p>
      <w:pPr>
        <w:spacing w:after="0" w:line="121" w:lineRule="exact"/>
        <w:rPr>
          <w:sz w:val="20"/>
          <w:szCs w:val="20"/>
          <w:color w:val="auto"/>
        </w:rPr>
      </w:pPr>
    </w:p>
    <w:p>
      <w:pPr>
        <w:jc w:val="both"/>
        <w:ind w:right="40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MRTx Swiss and each Shareholder are parties to both (i) that certain Shareholders’ Agreement, dated as of April 10,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MRTx Swiss Shareholders’ Agreement</w:t>
      </w:r>
      <w:r>
        <w:rPr>
          <w:rFonts w:ascii="Arial" w:cs="Arial" w:eastAsia="Arial" w:hAnsi="Arial"/>
          <w:sz w:val="18"/>
          <w:szCs w:val="18"/>
          <w:color w:val="auto"/>
        </w:rPr>
        <w:t>”) and (ii) that certain Formation and Investment Agreement, dated as of April 10, 2018 (the “</w:t>
      </w:r>
      <w:r>
        <w:rPr>
          <w:rFonts w:ascii="Arial" w:cs="Arial" w:eastAsia="Arial" w:hAnsi="Arial"/>
          <w:sz w:val="18"/>
          <w:szCs w:val="18"/>
          <w:u w:val="single" w:color="auto"/>
          <w:color w:val="auto"/>
        </w:rPr>
        <w:t>MRTx Swiss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Formation Agreement</w:t>
      </w:r>
      <w:r>
        <w:rPr>
          <w:rFonts w:ascii="Arial" w:cs="Arial" w:eastAsia="Arial" w:hAnsi="Arial"/>
          <w:sz w:val="18"/>
          <w:szCs w:val="18"/>
          <w:color w:val="auto"/>
        </w:rPr>
        <w:t>”);</w:t>
      </w:r>
    </w:p>
    <w:p>
      <w:pPr>
        <w:spacing w:after="0" w:line="181"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Contribution Shares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represent 100% of the issued and outstanding share capital of MRTx</w:t>
      </w:r>
      <w:r>
        <w:rPr>
          <w:rFonts w:ascii="Arial" w:cs="Arial" w:eastAsia="Arial" w:hAnsi="Arial"/>
          <w:sz w:val="18"/>
          <w:szCs w:val="18"/>
          <w:b w:val="1"/>
          <w:bCs w:val="1"/>
          <w:color w:val="auto"/>
        </w:rPr>
        <w:t xml:space="preserve"> </w:t>
      </w:r>
      <w:r>
        <w:rPr>
          <w:rFonts w:ascii="Arial" w:cs="Arial" w:eastAsia="Arial" w:hAnsi="Arial"/>
          <w:sz w:val="18"/>
          <w:szCs w:val="18"/>
          <w:color w:val="auto"/>
        </w:rPr>
        <w:t>Swiss held by the Shareholders as of immediately prior to the Contribution and Exchange;</w:t>
      </w:r>
    </w:p>
    <w:p>
      <w:pPr>
        <w:spacing w:after="0" w:line="168" w:lineRule="exact"/>
        <w:rPr>
          <w:sz w:val="20"/>
          <w:szCs w:val="20"/>
          <w:color w:val="auto"/>
        </w:rPr>
      </w:pPr>
    </w:p>
    <w:p>
      <w:pPr>
        <w:ind w:right="4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and the Shareholders are entering into (i) a certain Right of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and Co-Sale Agreement, dated April 14, 2020 (the “</w:t>
      </w:r>
      <w:r>
        <w:rPr>
          <w:rFonts w:ascii="Arial" w:cs="Arial" w:eastAsia="Arial" w:hAnsi="Arial"/>
          <w:sz w:val="18"/>
          <w:szCs w:val="18"/>
          <w:u w:val="single" w:color="auto"/>
          <w:color w:val="auto"/>
        </w:rPr>
        <w:t>ROFR and Co-Sale Agreement</w:t>
      </w:r>
      <w:r>
        <w:rPr>
          <w:rFonts w:ascii="Arial" w:cs="Arial" w:eastAsia="Arial" w:hAnsi="Arial"/>
          <w:sz w:val="18"/>
          <w:szCs w:val="18"/>
          <w:color w:val="auto"/>
        </w:rPr>
        <w:t>”), (ii) a certain Voting Agreement, dated April 14, 2020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and (iii) a certain Side Letter Agreement dated on or around the date hereof (the “</w:t>
      </w:r>
      <w:r>
        <w:rPr>
          <w:rFonts w:ascii="Arial" w:cs="Arial" w:eastAsia="Arial" w:hAnsi="Arial"/>
          <w:sz w:val="18"/>
          <w:szCs w:val="18"/>
          <w:u w:val="single" w:color="auto"/>
          <w:color w:val="auto"/>
        </w:rPr>
        <w:t>Side Letter</w:t>
      </w:r>
      <w:r>
        <w:rPr>
          <w:rFonts w:ascii="Arial" w:cs="Arial" w:eastAsia="Arial" w:hAnsi="Arial"/>
          <w:sz w:val="18"/>
          <w:szCs w:val="18"/>
          <w:color w:val="auto"/>
        </w:rPr>
        <w:t>” and together with the ROFR and Co-Sale Agreement and the Voting Agreement,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w:t>
      </w:r>
    </w:p>
    <w:p>
      <w:pPr>
        <w:spacing w:after="0" w:line="183" w:lineRule="exact"/>
        <w:rPr>
          <w:sz w:val="20"/>
          <w:szCs w:val="20"/>
          <w:color w:val="auto"/>
        </w:rPr>
      </w:pPr>
    </w:p>
    <w:p>
      <w:pPr>
        <w:ind w:right="100" w:firstLine="436"/>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Shareholder desires to contribute, and the Company desires to acquire and accept, all of such Shareholder’s right, title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and to the Contribution Shares, and in consideration therefor such Shareholder shall receive that number of shares of Common Stock, par value $0.0001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set forth opposite such Shareholder’s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(such shares, the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the contribution of the Contribution Shares in exchange for the Consideration Shares, the “</w:t>
      </w:r>
      <w:r>
        <w:rPr>
          <w:rFonts w:ascii="Arial" w:cs="Arial" w:eastAsia="Arial" w:hAnsi="Arial"/>
          <w:sz w:val="16"/>
          <w:szCs w:val="16"/>
          <w:u w:val="single" w:color="auto"/>
          <w:color w:val="auto"/>
        </w:rPr>
        <w:t>Contribution and Exchange</w:t>
      </w:r>
      <w:r>
        <w:rPr>
          <w:rFonts w:ascii="Arial" w:cs="Arial" w:eastAsia="Arial" w:hAnsi="Arial"/>
          <w:sz w:val="16"/>
          <w:szCs w:val="16"/>
          <w:color w:val="auto"/>
        </w:rPr>
        <w:t>”); and</w:t>
      </w:r>
    </w:p>
    <w:p>
      <w:pPr>
        <w:spacing w:after="0" w:line="153" w:lineRule="exact"/>
        <w:rPr>
          <w:sz w:val="20"/>
          <w:szCs w:val="20"/>
          <w:color w:val="auto"/>
        </w:rPr>
      </w:pPr>
    </w:p>
    <w:p>
      <w:pPr>
        <w:ind w:right="420" w:firstLine="436"/>
        <w:spacing w:after="0" w:line="34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following the Contribution and Exchange, the Company shall be the sole owner of all of the authorized, issued and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 capital (as of the Contribution Date) of MRTx Swiss and as such, MRTx Swiss will be a wholly-owned subsidiary of the Company.</w:t>
      </w:r>
    </w:p>
    <w:p>
      <w:pPr>
        <w:spacing w:after="0" w:line="121"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it is intended that: (i) the formation of the Company and (ii) the Contribution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constitute a tax-free contribution pursuant to Section 351 of the Internal Revenue Code of 1986, as amended, with respect to which each of MRTx Swiss and the Company are a party. MRTx Swiss, the Company, and the Shareholders shall file all applicable U.S. tax returns consistent with the foregoing treatment.</w:t>
      </w:r>
    </w:p>
    <w:p>
      <w:pPr>
        <w:sectPr>
          <w:pgSz w:w="11900" w:h="16838" w:orient="portrait"/>
          <w:cols w:equalWidth="0" w:num="1">
            <w:col w:w="10920"/>
          </w:cols>
          <w:pgMar w:left="480" w:top="121" w:right="499" w:bottom="1440" w:gutter="0" w:footer="0" w:header="0"/>
        </w:sectPr>
      </w:pPr>
    </w:p>
    <w:bookmarkStart w:id="479" w:name="page480"/>
    <w:bookmarkEnd w:id="479"/>
    <w:p>
      <w:pPr>
        <w:ind w:right="16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NOW, THEREFORE</w:t>
      </w:r>
      <w:r>
        <w:rPr>
          <w:rFonts w:ascii="Arial" w:cs="Arial" w:eastAsia="Arial" w:hAnsi="Arial"/>
          <w:sz w:val="18"/>
          <w:szCs w:val="18"/>
          <w:color w:val="auto"/>
        </w:rPr>
        <w:t>, in consideration of the foregoing, and of the representations, warranties, covenants and agreements contained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 AND EXCHANGE</w:t>
      </w:r>
    </w:p>
    <w:p>
      <w:pPr>
        <w:spacing w:after="0" w:line="204"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b w:val="1"/>
          <w:bCs w:val="1"/>
          <w:color w:val="auto"/>
        </w:rPr>
        <w:t>1.1 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simultaneously with the execution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Subject to the terms and conditions of this Agreement, each Shareholder hereby (i) agrees that the number of Contribution Shares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accurately reflects all of such Shareholder’s equity interests in MRTx Swiss and that such Shareholder does not hold (directly, indirectly, beneficially or otherwise in any respect) any equity interests in MRTx Swiss other than as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(ii) agrees that such Shareholder is not entitled to any other equity of the Company other than the Consideration Shares set forth opposite such Shareholder’s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pursuant to the Contribution and Exchange; and (iii) grants, contributes, conveys, assigns, transfers and delivers to the Company, as of the Contribution Date, all of such Shareholder’s right, title and interest in and to all of the Contribution Shares in all respects.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MRTx Shareholder Closing Deliverables</w:t>
      </w:r>
      <w:r>
        <w:rPr>
          <w:rFonts w:ascii="Arial" w:cs="Arial" w:eastAsia="Arial" w:hAnsi="Arial"/>
          <w:sz w:val="18"/>
          <w:szCs w:val="18"/>
          <w:color w:val="auto"/>
        </w:rPr>
        <w:t>. At the Closing, each Shareholder hereby agrees to deliver to MRTx Swiss:</w:t>
      </w:r>
    </w:p>
    <w:p>
      <w:pPr>
        <w:spacing w:after="0" w:line="118" w:lineRule="exact"/>
        <w:rPr>
          <w:sz w:val="20"/>
          <w:szCs w:val="20"/>
          <w:color w:val="auto"/>
        </w:rPr>
      </w:pPr>
    </w:p>
    <w:p>
      <w:pPr>
        <w:ind w:left="1240" w:hanging="250"/>
        <w:spacing w:after="0"/>
        <w:tabs>
          <w:tab w:leader="none" w:pos="124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duly executed instruments of transfer transferring its Contribution Shares to the Company signed by each Shareholder as transferor;</w:t>
      </w:r>
    </w:p>
    <w:p>
      <w:pPr>
        <w:spacing w:after="0" w:line="136" w:lineRule="exact"/>
        <w:rPr>
          <w:rFonts w:ascii="Arial" w:cs="Arial" w:eastAsia="Arial" w:hAnsi="Arial"/>
          <w:sz w:val="16"/>
          <w:szCs w:val="16"/>
          <w:color w:val="auto"/>
        </w:rPr>
      </w:pPr>
    </w:p>
    <w:p>
      <w:pPr>
        <w:ind w:right="160" w:firstLine="990"/>
        <w:spacing w:after="0" w:line="271" w:lineRule="auto"/>
        <w:tabs>
          <w:tab w:leader="none" w:pos="123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duly executed resolutions of the board of directors of MRTx Swiss approving the transfer of the Contribution Shares to the Company, the registration of the Company as owner of record of the Contribution Shares in the MRTx Swiss’ share register;</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duly executed countersignatures to each of the Transaction Agreements.</w:t>
      </w:r>
    </w:p>
    <w:p>
      <w:pPr>
        <w:spacing w:after="0" w:line="110"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1.3 Company Closing Deliverables</w:t>
      </w:r>
      <w:r>
        <w:rPr>
          <w:rFonts w:ascii="Arial" w:cs="Arial" w:eastAsia="Arial" w:hAnsi="Arial"/>
          <w:sz w:val="18"/>
          <w:szCs w:val="18"/>
          <w:color w:val="auto"/>
        </w:rPr>
        <w:t>. In exchange for the contribution of the Contribution Shares by each Shareholder, hereunder, at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deliver to MRTx Swiss:</w:t>
      </w:r>
    </w:p>
    <w:p>
      <w:pPr>
        <w:spacing w:after="0" w:line="65" w:lineRule="exact"/>
        <w:rPr>
          <w:sz w:val="20"/>
          <w:szCs w:val="20"/>
          <w:color w:val="auto"/>
        </w:rPr>
      </w:pPr>
    </w:p>
    <w:p>
      <w:pPr>
        <w:ind w:left="1620" w:hanging="233"/>
        <w:spacing w:after="0"/>
        <w:tabs>
          <w:tab w:leader="none" w:pos="162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duly executed instruments of transfer with respect to all of the Contribution Shares duly signed by the Company as transferee; and</w:t>
      </w:r>
    </w:p>
    <w:p>
      <w:pPr>
        <w:spacing w:after="0" w:line="136" w:lineRule="exact"/>
        <w:rPr>
          <w:rFonts w:ascii="Arial" w:cs="Arial" w:eastAsia="Arial" w:hAnsi="Arial"/>
          <w:sz w:val="16"/>
          <w:szCs w:val="16"/>
          <w:color w:val="auto"/>
        </w:rPr>
      </w:pPr>
    </w:p>
    <w:p>
      <w:pPr>
        <w:jc w:val="both"/>
        <w:ind w:left="980" w:right="160" w:firstLine="407"/>
        <w:spacing w:after="0" w:line="259" w:lineRule="auto"/>
        <w:tabs>
          <w:tab w:leader="none" w:pos="162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stock certificates of the Company representing the Consideration Shares in the amounts as set forth opposite such Shareholder’s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which shares shall be duly authorized, validly issued, fully paid and nonassessable and issued in compliance with all applicable federal and state securities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480" w:name="page481"/>
    <w:bookmarkEnd w:id="480"/>
    <w:p>
      <w:pPr>
        <w:ind w:firstLine="43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1.4 Consent and Waiver by Shareholders</w:t>
      </w:r>
      <w:r>
        <w:rPr>
          <w:rFonts w:ascii="Arial" w:cs="Arial" w:eastAsia="Arial" w:hAnsi="Arial"/>
          <w:sz w:val="16"/>
          <w:szCs w:val="16"/>
          <w:color w:val="auto"/>
        </w:rPr>
        <w:t>. Each Shareholder hereby waives, with respect to this Agreement or any other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or thereby, any right of first refusal, co-sale right, and other similar rights, and any and all rights the Shareholder may have to notice in connection with such rights, under any agreement to which the Shareholder is a party, including, but not limited to, the MRTx Swiss Shareholders’ Agreement and the MRTx Swiss Formation Agreement. Neither the execution and delivery of this Agreement by each Shareholder nor the consummation of any of the transactions contemplated hereby or thereby does or will (i) in the case of any Shareholder that is an entity, conflict with or violate any provision of the certificate of incorporation, by-laws or similar organizational documents of the Shareholder, (ii) require on the part of the Shareholder any notice to or filing with, or any permit, authorization, consent or approval of, any governmental entity, (iii) conflict with, result in a breach of, constitute (with or without due notice or lapse of time or both) a default under, result in the acceleration of obligations or loss of any right or benefit under, create in any party the right to terminate, modify or cancel, or require any notice, consent or waiver under, any contract or instrument to which the Shareholder is a party or by which the Shareholder is bound or to which any of the Shareholder’s assets is subject.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BY THE SHAREHOLDERS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Shareholder makes the following representations and warranties to the Company as of the Contribution Date:</w:t>
      </w:r>
    </w:p>
    <w:p>
      <w:pPr>
        <w:spacing w:after="0" w:line="110" w:lineRule="exact"/>
        <w:rPr>
          <w:sz w:val="20"/>
          <w:szCs w:val="20"/>
          <w:color w:val="auto"/>
        </w:rPr>
      </w:pPr>
    </w:p>
    <w:p>
      <w:pPr>
        <w:ind w:right="80" w:firstLine="436"/>
        <w:spacing w:after="0" w:line="284" w:lineRule="auto"/>
        <w:rPr>
          <w:sz w:val="20"/>
          <w:szCs w:val="20"/>
          <w:color w:val="auto"/>
        </w:rPr>
      </w:pPr>
      <w:r>
        <w:rPr>
          <w:rFonts w:ascii="Arial" w:cs="Arial" w:eastAsia="Arial" w:hAnsi="Arial"/>
          <w:sz w:val="16"/>
          <w:szCs w:val="16"/>
          <w:b w:val="1"/>
          <w:bCs w:val="1"/>
          <w:color w:val="auto"/>
        </w:rPr>
        <w:t>2.1 Ownership</w:t>
      </w:r>
      <w:r>
        <w:rPr>
          <w:rFonts w:ascii="Arial" w:cs="Arial" w:eastAsia="Arial" w:hAnsi="Arial"/>
          <w:sz w:val="16"/>
          <w:szCs w:val="16"/>
          <w:color w:val="auto"/>
        </w:rPr>
        <w:t>. Such Shareholder owns all right, title and interest (legal and beneficial) in and to all of the Contribution Shares set forth opposite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Shareholder’s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free and clear of all liens, including, but not limited to, any lien, pledge, claim, security interest, encumbrance, mortgage, assessment, charge, restriction or limitation of any kind, whether arising by agreement, operation of law or otherwise, except for any and all restrictions on the transferability of the Common Shares (contained in the MRTx Swiss’ Articles of Association, as amended and in effect immediately prior to the Contribution and Exchange, and the Shareholders Agreement, dated as of April 10, 2018, by and among MRTx Swiss and certain of the Shareholders, or otherwise) (the “</w:t>
      </w:r>
      <w:r>
        <w:rPr>
          <w:rFonts w:ascii="Arial" w:cs="Arial" w:eastAsia="Arial" w:hAnsi="Arial"/>
          <w:sz w:val="16"/>
          <w:szCs w:val="16"/>
          <w:u w:val="single" w:color="auto"/>
          <w:color w:val="auto"/>
        </w:rPr>
        <w:t>Transfer Restrictions</w:t>
      </w:r>
      <w:r>
        <w:rPr>
          <w:rFonts w:ascii="Arial" w:cs="Arial" w:eastAsia="Arial" w:hAnsi="Arial"/>
          <w:sz w:val="16"/>
          <w:szCs w:val="16"/>
          <w:color w:val="auto"/>
        </w:rPr>
        <w:t xml:space="preserve">”) which have been waived or terminated, those imposed by applicable securities laws and those described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below. Such Shareholder has the full power and authority to contribute, transfer, convey, assign and deliver the Contribution Shares to the Company, and upon delivery in accordance with the terms of this Agreement for the consideration expressed herein, on the Contribution Date, the Company shall acquire valid and unencumbered title to the Contribution Shares contributed by such Shareholder. By executing this Agreement, such Shareholder further represents that such Shareholder does not have any contract, undertaking, agreement or arrangement with any person to sell, transfer or grant participations to such person or to any third person, with respect to any of the Contribution Shares contributed by such Shareholder (other than the Transfer Restrictions, all of which have been waived or terminated).</w:t>
      </w:r>
    </w:p>
    <w:p>
      <w:pPr>
        <w:spacing w:after="0" w:line="62" w:lineRule="exact"/>
        <w:rPr>
          <w:sz w:val="20"/>
          <w:szCs w:val="20"/>
          <w:color w:val="auto"/>
        </w:rPr>
      </w:pPr>
    </w:p>
    <w:p>
      <w:pPr>
        <w:ind w:right="520" w:firstLine="436"/>
        <w:spacing w:after="0" w:line="275" w:lineRule="auto"/>
        <w:rPr>
          <w:sz w:val="20"/>
          <w:szCs w:val="20"/>
          <w:color w:val="auto"/>
        </w:rPr>
      </w:pPr>
      <w:r>
        <w:rPr>
          <w:rFonts w:ascii="Arial" w:cs="Arial" w:eastAsia="Arial" w:hAnsi="Arial"/>
          <w:sz w:val="18"/>
          <w:szCs w:val="18"/>
          <w:b w:val="1"/>
          <w:bCs w:val="1"/>
          <w:color w:val="auto"/>
        </w:rPr>
        <w:t>2.2 Valid Transfer of Shares</w:t>
      </w:r>
      <w:r>
        <w:rPr>
          <w:rFonts w:ascii="Arial" w:cs="Arial" w:eastAsia="Arial" w:hAnsi="Arial"/>
          <w:sz w:val="18"/>
          <w:szCs w:val="18"/>
          <w:color w:val="auto"/>
        </w:rPr>
        <w:t>. The Contribution Shares held by such Shareholder are free of restrictions on transfer, other than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all of which have been waived or terminated.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68" w:right="519" w:bottom="1440" w:gutter="0" w:footer="0" w:header="0"/>
        </w:sectPr>
      </w:pPr>
    </w:p>
    <w:bookmarkStart w:id="481" w:name="page482"/>
    <w:bookmarkEnd w:id="481"/>
    <w:p>
      <w:pPr>
        <w:ind w:right="120" w:firstLine="436"/>
        <w:spacing w:after="0" w:line="30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 Enforceability</w:t>
      </w:r>
      <w:r>
        <w:rPr>
          <w:rFonts w:ascii="Arial" w:cs="Arial" w:eastAsia="Arial" w:hAnsi="Arial"/>
          <w:sz w:val="16"/>
          <w:szCs w:val="16"/>
          <w:color w:val="auto"/>
        </w:rPr>
        <w:t>. This Agreement constitutes such Shareholder’s valid and legally binding obligation, enforceable in accordance with its terms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45" w:lineRule="exact"/>
        <w:rPr>
          <w:sz w:val="20"/>
          <w:szCs w:val="20"/>
          <w:color w:val="auto"/>
        </w:rPr>
      </w:pPr>
    </w:p>
    <w:p>
      <w:pPr>
        <w:ind w:right="120" w:firstLine="436"/>
        <w:spacing w:after="0" w:line="261" w:lineRule="auto"/>
        <w:rPr>
          <w:sz w:val="20"/>
          <w:szCs w:val="20"/>
          <w:color w:val="auto"/>
        </w:rPr>
      </w:pPr>
      <w:r>
        <w:rPr>
          <w:rFonts w:ascii="Arial" w:cs="Arial" w:eastAsia="Arial" w:hAnsi="Arial"/>
          <w:sz w:val="18"/>
          <w:szCs w:val="18"/>
          <w:b w:val="1"/>
          <w:bCs w:val="1"/>
          <w:color w:val="auto"/>
        </w:rPr>
        <w:t>2.4 Consents</w:t>
      </w:r>
      <w:r>
        <w:rPr>
          <w:rFonts w:ascii="Arial" w:cs="Arial" w:eastAsia="Arial" w:hAnsi="Arial"/>
          <w:sz w:val="18"/>
          <w:szCs w:val="18"/>
          <w:color w:val="auto"/>
        </w:rPr>
        <w:t>. No consent, approval, order or authorization of, or registration, qualification, designation, declaration or filing with, any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governmental authority or other party on the part of such Shareholder or MRTx Swiss is required in connection with the consummation of the transactions contemplated by this Agreement.</w:t>
      </w:r>
    </w:p>
    <w:p>
      <w:pPr>
        <w:spacing w:after="0" w:line="181" w:lineRule="exact"/>
        <w:rPr>
          <w:sz w:val="20"/>
          <w:szCs w:val="20"/>
          <w:color w:val="auto"/>
        </w:rPr>
      </w:pPr>
    </w:p>
    <w:p>
      <w:pPr>
        <w:ind w:right="120" w:firstLine="436"/>
        <w:spacing w:after="0" w:line="261" w:lineRule="auto"/>
        <w:rPr>
          <w:sz w:val="20"/>
          <w:szCs w:val="20"/>
          <w:color w:val="auto"/>
        </w:rPr>
      </w:pPr>
      <w:r>
        <w:rPr>
          <w:rFonts w:ascii="Arial" w:cs="Arial" w:eastAsia="Arial" w:hAnsi="Arial"/>
          <w:sz w:val="18"/>
          <w:szCs w:val="18"/>
          <w:b w:val="1"/>
          <w:bCs w:val="1"/>
          <w:color w:val="auto"/>
        </w:rPr>
        <w:t>2.5 No Violations</w:t>
      </w:r>
      <w:r>
        <w:rPr>
          <w:rFonts w:ascii="Arial" w:cs="Arial" w:eastAsia="Arial" w:hAnsi="Arial"/>
          <w:sz w:val="18"/>
          <w:szCs w:val="18"/>
          <w:color w:val="auto"/>
        </w:rPr>
        <w:t>. Neither the execution nor the delivery of this Agreement, nor the consummation of the transactions contemplated hereby,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such Shareholder to be in violation or breach of, or default under, any term or provision of any mortgage, indebtedness, indenture, contract, agreement, instrument, judgment or decree to which it is a party or by which it is bound.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Certain Securities Laws Representations</w:t>
      </w:r>
      <w:r>
        <w:rPr>
          <w:rFonts w:ascii="Arial" w:cs="Arial" w:eastAsia="Arial" w:hAnsi="Arial"/>
          <w:sz w:val="18"/>
          <w:szCs w:val="18"/>
          <w:color w:val="auto"/>
        </w:rPr>
        <w:t>.</w:t>
      </w:r>
    </w:p>
    <w:p>
      <w:pPr>
        <w:spacing w:after="0" w:line="118" w:lineRule="exact"/>
        <w:rPr>
          <w:sz w:val="20"/>
          <w:szCs w:val="20"/>
          <w:color w:val="auto"/>
        </w:rPr>
      </w:pPr>
    </w:p>
    <w:p>
      <w:pPr>
        <w:jc w:val="both"/>
        <w:ind w:right="80" w:firstLine="990"/>
        <w:spacing w:after="0" w:line="307" w:lineRule="auto"/>
        <w:tabs>
          <w:tab w:leader="none" w:pos="122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Such Shareholder is acquiring and will hold the Consideration Shares for investment for his or her account only (including the account of any affiliates and related investors to whom it attributes any of the Consideration Shares received by such Shareholder) and not with a view to, or for resale in connection with, any “distribution” thereof within the meaning of the United States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40" w:firstLine="990"/>
        <w:spacing w:after="0" w:line="297" w:lineRule="auto"/>
        <w:tabs>
          <w:tab w:leader="none" w:pos="123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Such Shareholder understands that the Consideration Shares have not been registered under the Act by reason of a specific exemption therefrom and that the Consideration Shares must be held indefinitely, unless they are subsequently registered under the Act or such Shareholder obtains an opinion of counsel, if reasonably requested, in form and substance satisfactory to the Company and its counsel, that such registration is not required. Such Shareholder further acknowledges and understands that the Company is under no obligation to register the Consideration Shares.</w:t>
      </w:r>
    </w:p>
    <w:p>
      <w:pPr>
        <w:spacing w:after="0" w:line="52" w:lineRule="exact"/>
        <w:rPr>
          <w:rFonts w:ascii="Arial" w:cs="Arial" w:eastAsia="Arial" w:hAnsi="Arial"/>
          <w:sz w:val="16"/>
          <w:szCs w:val="16"/>
          <w:color w:val="auto"/>
        </w:rPr>
      </w:pPr>
    </w:p>
    <w:p>
      <w:pPr>
        <w:ind w:right="200" w:firstLine="990"/>
        <w:spacing w:after="0" w:line="270" w:lineRule="auto"/>
        <w:tabs>
          <w:tab w:leader="none" w:pos="122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Such Shareholder is aware of the adoption of Rule 144 by the Securities and Exchange Commission under the Act, which permits limited public resales of securities acquired in a non-public offering, subject to the satisfaction of certain conditions, including (without limitation) the availability of certain current public information about the issuer, the resale occurring only after the holding period required by Rule 144 has been satisfied, the sale occurring through an unsolicited “broker’s transaction,” and the amount of securities being sold during any three-month period not exceeding specified limitations. Such Shareholder acknowledges and understands that the conditions for resale set forth in Rule 144 have not been satisfied and that the Company has no plans to satisfy these conditions in the foreseeable future.</w:t>
      </w:r>
    </w:p>
    <w:p>
      <w:pPr>
        <w:spacing w:after="0" w:line="71" w:lineRule="exact"/>
        <w:rPr>
          <w:rFonts w:ascii="Arial" w:cs="Arial" w:eastAsia="Arial" w:hAnsi="Arial"/>
          <w:sz w:val="17"/>
          <w:szCs w:val="17"/>
          <w:color w:val="auto"/>
        </w:rPr>
      </w:pPr>
    </w:p>
    <w:p>
      <w:pPr>
        <w:ind w:firstLine="990"/>
        <w:spacing w:after="0" w:line="251" w:lineRule="auto"/>
        <w:tabs>
          <w:tab w:leader="none" w:pos="123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Such Shareholder will not sell, transfer or otherwise dispose of the Consideration Shares in violation of the Act, the Securities Exchange Act of 1934, or the rules promulgated thereunder, including Rule 144 under the Act. Such Shareholder agrees that he or she will not dispose of the Consideration Shares unless and until he or she has complied with all requirements of this Agreement applicable to the disposition of Consideration Shares and he or she has provided the Company with written assurances, if reasonably requested, in substance and form satisfactory to the Company, that (A) the proposed disposition does not require registration of the Consideration Shares under the Act or all appropriate action necessary for compliance with the registration requirements of the Act or with any exemption from registration available under the Act (including Rule 144) has been taken and (B) the proposed disposition will not result in the contravention of any transfer restrictions applicable to the Consideration Shares under state securities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68" w:right="499" w:bottom="1440" w:gutter="0" w:footer="0" w:header="0"/>
        </w:sectPr>
      </w:pPr>
    </w:p>
    <w:bookmarkStart w:id="482" w:name="page483"/>
    <w:bookmarkEnd w:id="482"/>
    <w:p>
      <w:pPr>
        <w:ind w:right="120" w:firstLine="990"/>
        <w:spacing w:after="0" w:line="259" w:lineRule="auto"/>
        <w:tabs>
          <w:tab w:leader="none" w:pos="1225" w:val="left"/>
        </w:tabs>
        <w:numPr>
          <w:ilvl w:val="0"/>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Shareholder has been furnished with, and has had access to, such information as he or she considers necessary or appropriate for deciding whether to invest in the Consideration Shares, and such Shareholder has had an opportunity to ask questions and receive answers from the Company regarding the terms and conditions of the issuance of the Consideration Shares.</w:t>
      </w:r>
    </w:p>
    <w:p>
      <w:pPr>
        <w:spacing w:after="0" w:line="78" w:lineRule="exact"/>
        <w:rPr>
          <w:rFonts w:ascii="Arial" w:cs="Arial" w:eastAsia="Arial" w:hAnsi="Arial"/>
          <w:sz w:val="18"/>
          <w:szCs w:val="18"/>
          <w:color w:val="auto"/>
        </w:rPr>
      </w:pPr>
    </w:p>
    <w:p>
      <w:pPr>
        <w:jc w:val="both"/>
        <w:ind w:firstLine="990"/>
        <w:spacing w:after="0" w:line="259" w:lineRule="auto"/>
        <w:tabs>
          <w:tab w:leader="none" w:pos="120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Such Shareholder is aware that his or her investment in the Company is a speculative investment that has limited liquidity and is subject to the risk of complete loss. Such Shareholder is able, without impairing his or her financial condition, to hold the Consideration Shares for an indefinite period and to suffer a complete loss of his or her investment in the Consideration Shares.</w:t>
      </w:r>
    </w:p>
    <w:p>
      <w:pPr>
        <w:spacing w:after="0" w:line="75"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b w:val="1"/>
          <w:bCs w:val="1"/>
          <w:color w:val="auto"/>
        </w:rPr>
        <w:t>2.7 Foreign Shareholders</w:t>
      </w:r>
      <w:r>
        <w:rPr>
          <w:rFonts w:ascii="Arial" w:cs="Arial" w:eastAsia="Arial" w:hAnsi="Arial"/>
          <w:sz w:val="16"/>
          <w:szCs w:val="16"/>
          <w:color w:val="auto"/>
        </w:rPr>
        <w:t>. Each Shareholder hereby represents that he, she or it has satisfied itself as to the full observance of the laws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in connection with the transactions contemplated by this Agreement, including (a) the legal requirements within its jurisdiction for the acquisition of the Consideration Shares, (b) any foreign exchange restrictions applicable to such acquisition, (c) any governmental or other consents that may need to be obtained, and (d) the income tax and other tax consequences, if any, that may be relevant to the acquisition, holding, redemption, sale, or transfer of the Consideration Shares or Contribution Shares, as applicable. Such Shareholder’s exchange for, and continued beneficial ownership of, the Consideration Shares will not violate any applicable securities or other laws of such Shareholder’s jurisdiction.</w:t>
      </w:r>
    </w:p>
    <w:p>
      <w:pPr>
        <w:spacing w:after="0" w:line="52" w:lineRule="exact"/>
        <w:rPr>
          <w:sz w:val="20"/>
          <w:szCs w:val="20"/>
          <w:color w:val="auto"/>
        </w:rPr>
      </w:pPr>
    </w:p>
    <w:p>
      <w:pPr>
        <w:ind w:right="300" w:firstLine="436"/>
        <w:spacing w:after="0" w:line="273" w:lineRule="auto"/>
        <w:rPr>
          <w:sz w:val="20"/>
          <w:szCs w:val="20"/>
          <w:color w:val="auto"/>
        </w:rPr>
      </w:pPr>
      <w:r>
        <w:rPr>
          <w:rFonts w:ascii="Arial" w:cs="Arial" w:eastAsia="Arial" w:hAnsi="Arial"/>
          <w:sz w:val="17"/>
          <w:szCs w:val="17"/>
          <w:b w:val="1"/>
          <w:bCs w:val="1"/>
          <w:color w:val="auto"/>
        </w:rPr>
        <w:t>2.8 Disqualification Event</w:t>
      </w:r>
      <w:r>
        <w:rPr>
          <w:rFonts w:ascii="Arial" w:cs="Arial" w:eastAsia="Arial" w:hAnsi="Arial"/>
          <w:sz w:val="17"/>
          <w:szCs w:val="17"/>
          <w:color w:val="auto"/>
        </w:rPr>
        <w:t>. None of the “bad actor” disqualifications described in Rule 506(d)(1) of Regulation D under the Act apply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or any of its affiliates. In the event that any Disqualification Event applies to the Shareholder following the date hereof, the Shareholder shall promptly advise the Company of such fact and furnish to the Company any supplementary information that may be requested. The Shareholder acknowledges and agrees that in the event that any Disqualification Event applies to the Shareholder following the date hereof, the Company is permitted to disclose such Disqualification Event to the extent required by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BY THE COMPANY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Contribution Date, the Company hereby represents and warrants to the Shareholders that:</w:t>
      </w:r>
    </w:p>
    <w:p>
      <w:pPr>
        <w:spacing w:after="0" w:line="110" w:lineRule="exact"/>
        <w:rPr>
          <w:sz w:val="20"/>
          <w:szCs w:val="20"/>
          <w:color w:val="auto"/>
        </w:rPr>
      </w:pPr>
    </w:p>
    <w:p>
      <w:pPr>
        <w:jc w:val="both"/>
        <w:ind w:right="300" w:firstLine="436"/>
        <w:spacing w:after="0" w:line="277" w:lineRule="auto"/>
        <w:rPr>
          <w:sz w:val="20"/>
          <w:szCs w:val="20"/>
          <w:color w:val="auto"/>
        </w:rPr>
      </w:pPr>
      <w:r>
        <w:rPr>
          <w:rFonts w:ascii="Arial" w:cs="Arial" w:eastAsia="Arial" w:hAnsi="Arial"/>
          <w:sz w:val="17"/>
          <w:szCs w:val="17"/>
          <w:b w:val="1"/>
          <w:bCs w:val="1"/>
          <w:color w:val="auto"/>
        </w:rPr>
        <w:t>3.1 Authority</w:t>
      </w:r>
      <w:r>
        <w:rPr>
          <w:rFonts w:ascii="Arial" w:cs="Arial" w:eastAsia="Arial" w:hAnsi="Arial"/>
          <w:sz w:val="17"/>
          <w:szCs w:val="17"/>
          <w:color w:val="auto"/>
        </w:rPr>
        <w:t>. All corporate action on the part of the Company necessary for the authorization, execution and delivery of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all obligations of the Company hereunder, and the authorization, issuance and delivery of the Consideration Shares has been taken or will be taken prior to the Contribution and Exchange, and this Agreement, when executed and delivered by the Company, will constitute a valid and legally binding obligation of the Company, enforceable in accordance with its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483" w:name="page484"/>
    <w:bookmarkEnd w:id="483"/>
    <w:p>
      <w:pPr>
        <w:ind w:right="40" w:firstLine="43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3.2 Non-Contravention</w:t>
      </w:r>
      <w:r>
        <w:rPr>
          <w:rFonts w:ascii="Arial" w:cs="Arial" w:eastAsia="Arial" w:hAnsi="Arial"/>
          <w:sz w:val="17"/>
          <w:szCs w:val="17"/>
          <w:color w:val="auto"/>
        </w:rPr>
        <w:t>. The execution, delivery and performance of this Agreement, and the consummation of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will not result in any violation, default, conflict or breach of (a) any provision of its constitutive documents, or (b) in any material respect, any instrument, judgment, order, writ, decree, or contract to which it is a party or by which it is bound nor will such consummation constitute, with or without the passage of time and giving of notice, an event that results in (a) the creation of any lien, charge or encumbrance upon any assets of the Company, or (b) the suspension, revocation, impairment, forfeiture, or nonrenewal of any material permit, license, authorization, or approval applicable to the Company, its businesses or operations or any of its assets or properties.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04"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b w:val="1"/>
          <w:bCs w:val="1"/>
          <w:color w:val="auto"/>
        </w:rPr>
        <w:t>4.1 Securities Law Restrictions</w:t>
      </w:r>
      <w:r>
        <w:rPr>
          <w:rFonts w:ascii="Arial" w:cs="Arial" w:eastAsia="Arial" w:hAnsi="Arial"/>
          <w:sz w:val="18"/>
          <w:szCs w:val="18"/>
          <w:color w:val="auto"/>
        </w:rPr>
        <w:t>. Regardless of whether the offering and sale of Consideration Shares under this Agreement have been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Act or have been registered or qualified under the securities laws of any state, the Company at its discretion may impose restrictions upon the sale, pledge or other transfer of the Consideration Shares (including the placement of appropriate legends on stock certificates or the imposition of stop-transfer instructions) if, in the judgment of the Company, such restrictions are necessary or desirable in order to achieve compliance with the Act, the securities laws of any state or any other law.</w:t>
      </w:r>
    </w:p>
    <w:p>
      <w:pPr>
        <w:spacing w:after="0" w:line="184" w:lineRule="exact"/>
        <w:rPr>
          <w:sz w:val="20"/>
          <w:szCs w:val="20"/>
          <w:color w:val="auto"/>
        </w:rPr>
      </w:pPr>
    </w:p>
    <w:p>
      <w:pPr>
        <w:ind w:right="60" w:firstLine="436"/>
        <w:spacing w:after="0" w:line="284" w:lineRule="auto"/>
        <w:rPr>
          <w:sz w:val="20"/>
          <w:szCs w:val="20"/>
          <w:color w:val="auto"/>
        </w:rPr>
      </w:pPr>
      <w:r>
        <w:rPr>
          <w:rFonts w:ascii="Arial" w:cs="Arial" w:eastAsia="Arial" w:hAnsi="Arial"/>
          <w:sz w:val="17"/>
          <w:szCs w:val="17"/>
          <w:b w:val="1"/>
          <w:bCs w:val="1"/>
          <w:color w:val="auto"/>
        </w:rPr>
        <w:t>4.2 Transfer Restrictions</w:t>
      </w:r>
      <w:r>
        <w:rPr>
          <w:rFonts w:ascii="Arial" w:cs="Arial" w:eastAsia="Arial" w:hAnsi="Arial"/>
          <w:sz w:val="17"/>
          <w:szCs w:val="17"/>
          <w:color w:val="auto"/>
        </w:rPr>
        <w:t>. The Shareholders hereby agree and acknowledge that, effective as of the Contribution and Exchange, the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issued to such Shareholders in connection therewith, will be subject to the transfer restrictions imposed on such Consideration Shares pursuant to the Company’s By-laws and the Transaction Agreements and hereby consent to such transfer restrictions in all respects.</w:t>
      </w:r>
    </w:p>
    <w:p>
      <w:pPr>
        <w:spacing w:after="0" w:line="162"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4.3 Legends</w:t>
      </w:r>
      <w:r>
        <w:rPr>
          <w:rFonts w:ascii="Arial" w:cs="Arial" w:eastAsia="Arial" w:hAnsi="Arial"/>
          <w:sz w:val="18"/>
          <w:szCs w:val="18"/>
          <w:color w:val="auto"/>
        </w:rPr>
        <w:t>. All certificates evidencing Consideration Shares shall, at the Company’s discretion, bear one or all of the following legends, or</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that are substantially similar (together with any legend(s) required by the Transaction Agreements or applicable state “blue sky” securities laws, rules and regulations):</w:t>
      </w:r>
    </w:p>
    <w:p>
      <w:pPr>
        <w:spacing w:after="0" w:line="78"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83" w:lineRule="exact"/>
        <w:rPr>
          <w:sz w:val="20"/>
          <w:szCs w:val="20"/>
          <w:color w:val="auto"/>
        </w:rPr>
      </w:pPr>
    </w:p>
    <w:p>
      <w:pPr>
        <w:ind w:left="440" w:right="360"/>
        <w:spacing w:after="0" w:line="271" w:lineRule="auto"/>
        <w:rPr>
          <w:sz w:val="20"/>
          <w:szCs w:val="20"/>
          <w:color w:val="auto"/>
        </w:rPr>
      </w:pPr>
      <w:r>
        <w:rPr>
          <w:rFonts w:ascii="Arial" w:cs="Arial" w:eastAsia="Arial" w:hAnsi="Arial"/>
          <w:sz w:val="18"/>
          <w:szCs w:val="18"/>
          <w:color w:val="auto"/>
        </w:rPr>
        <w:t>“THE SHARES REPRESENTED BY THIS CERTIFICATE ARE SUBJECT TO RESTRICTIONS ON TRANSFER CONTAINED IN THE BYLAWS OF THE CORPORATION.”</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80" w:top="268" w:right="559" w:bottom="1440" w:gutter="0" w:footer="0" w:header="0"/>
        </w:sectPr>
      </w:pPr>
    </w:p>
    <w:bookmarkStart w:id="484" w:name="page485"/>
    <w:bookmarkEnd w:id="484"/>
    <w:p>
      <w:pPr>
        <w:ind w:left="44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COMPANY HAS MORE THAN ONE CLASS OF CAPITAL STOCK AUTHORIZED TO BE ISSUED. THE COMPANY WILL FURNISH WITHOUT CHARGE TO EACH STOCKHOLDER UPON WRITTEN REQUEST A COPY OF THE FULL TEXT OF THE PREFERENCES, VOTING POWERS, QUALIFICATIONS AND SPECIAL AND RELATIVE RIGHTS OF THE SHARES OF EACH CLASS OF STOCK (AND ANY SERIES THEREOF) AUTHORIZED TO BE ISSUED BY THE COMPANY AS SET FORTH IN ITS CHARTER AND ANY AMENDMENTS THERETO.”</w:t>
      </w:r>
    </w:p>
    <w:p>
      <w:pPr>
        <w:spacing w:after="0" w:line="82"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4.4 Further Assurances</w:t>
      </w:r>
      <w:r>
        <w:rPr>
          <w:rFonts w:ascii="Arial" w:cs="Arial" w:eastAsia="Arial" w:hAnsi="Arial"/>
          <w:sz w:val="18"/>
          <w:szCs w:val="18"/>
          <w:color w:val="auto"/>
        </w:rPr>
        <w:t>. The parties hereto agree that they will, at any time and from time to time after the Contribution Date and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do, execute acknowledge and deliver, or will cause to be done, executed, acknowledged and delivered all such further acts, deeds, assignments, transfers, conveyances, powers of attorney and assurances as may be reasonably required in conformity with this Agreement for the performance of the duties and obligations of each party to the other under this Agreement.</w:t>
      </w:r>
    </w:p>
    <w:p>
      <w:pPr>
        <w:spacing w:after="0" w:line="76" w:lineRule="exact"/>
        <w:rPr>
          <w:sz w:val="20"/>
          <w:szCs w:val="20"/>
          <w:color w:val="auto"/>
        </w:rPr>
      </w:pPr>
    </w:p>
    <w:p>
      <w:pPr>
        <w:ind w:right="60" w:firstLine="436"/>
        <w:spacing w:after="0" w:line="284" w:lineRule="auto"/>
        <w:rPr>
          <w:sz w:val="20"/>
          <w:szCs w:val="20"/>
          <w:color w:val="auto"/>
        </w:rPr>
      </w:pPr>
      <w:r>
        <w:rPr>
          <w:rFonts w:ascii="Arial" w:cs="Arial" w:eastAsia="Arial" w:hAnsi="Arial"/>
          <w:sz w:val="17"/>
          <w:szCs w:val="17"/>
          <w:b w:val="1"/>
          <w:bCs w:val="1"/>
          <w:color w:val="auto"/>
        </w:rPr>
        <w:t>4.5 Entire Agreement</w:t>
      </w:r>
      <w:r>
        <w:rPr>
          <w:rFonts w:ascii="Arial" w:cs="Arial" w:eastAsia="Arial" w:hAnsi="Arial"/>
          <w:sz w:val="17"/>
          <w:szCs w:val="17"/>
          <w:color w:val="auto"/>
        </w:rPr>
        <w:t>. This Agreement represents the entire contract between the parties with respect to the subject matter hereof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offers, proposals, statements, representations and agreements with respect to the subject matter hereof. This Agreement may not be amended except by action of each of the parties hereto set forth in an instrument in writing signed on behalf of each of the parties hereto.</w:t>
      </w:r>
    </w:p>
    <w:p>
      <w:pPr>
        <w:spacing w:after="0" w:line="55" w:lineRule="exact"/>
        <w:rPr>
          <w:sz w:val="20"/>
          <w:szCs w:val="20"/>
          <w:color w:val="auto"/>
        </w:rPr>
      </w:pPr>
    </w:p>
    <w:p>
      <w:pPr>
        <w:ind w:right="200" w:firstLine="436"/>
        <w:spacing w:after="0" w:line="275" w:lineRule="auto"/>
        <w:rPr>
          <w:sz w:val="20"/>
          <w:szCs w:val="20"/>
          <w:color w:val="auto"/>
        </w:rPr>
      </w:pPr>
      <w:r>
        <w:rPr>
          <w:rFonts w:ascii="Arial" w:cs="Arial" w:eastAsia="Arial" w:hAnsi="Arial"/>
          <w:sz w:val="18"/>
          <w:szCs w:val="18"/>
          <w:b w:val="1"/>
          <w:bCs w:val="1"/>
          <w:color w:val="auto"/>
        </w:rPr>
        <w:t>4.6 Captions</w:t>
      </w:r>
      <w:r>
        <w:rPr>
          <w:rFonts w:ascii="Arial" w:cs="Arial" w:eastAsia="Arial" w:hAnsi="Arial"/>
          <w:sz w:val="18"/>
          <w:szCs w:val="18"/>
          <w:color w:val="auto"/>
        </w:rPr>
        <w:t>. The captions to the Articles and sections contained in this Agreement are for reference only, do not form a substantive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not restrict nor enlarge any substantive provision of this Agreement.</w:t>
      </w:r>
    </w:p>
    <w:p>
      <w:pPr>
        <w:spacing w:after="0" w:line="61"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4.7 Governing Law; Waiver of Jury Trial</w:t>
      </w:r>
      <w:r>
        <w:rPr>
          <w:rFonts w:ascii="Arial" w:cs="Arial" w:eastAsia="Arial" w:hAnsi="Arial"/>
          <w:sz w:val="17"/>
          <w:szCs w:val="17"/>
          <w:color w:val="auto"/>
        </w:rPr>
        <w:t>. All questions concerning the construction, validity, enforcement and interpretation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claims, issues, controversies or matters arising hereunder) shall be governed by the internal law of the State of Delaware without giving effect to any choice of law or conflict of law provision or rule (whether of the State of Delaware or any other jurisdictions) that would cause the application of the laws of any jurisdictions other than the State of Delaware. EACH PARTY (AFTER HAVING THE OPPORTUNITY TO CONSULT WITH COUNSEL)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THE PARTIES IN THE NEGOTIATION, AUTHORIZATION, EXECUTION, DELIVERY, ADMINISTRATION, PERFORMANCE OR ENFORCEMENT 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485" w:name="page486"/>
    <w:bookmarkEnd w:id="485"/>
    <w:p>
      <w:pPr>
        <w:ind w:right="20" w:firstLine="43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4.8 Jurisdiction and Venue</w:t>
      </w:r>
      <w:r>
        <w:rPr>
          <w:rFonts w:ascii="Arial" w:cs="Arial" w:eastAsia="Arial" w:hAnsi="Arial"/>
          <w:sz w:val="16"/>
          <w:szCs w:val="16"/>
          <w:color w:val="auto"/>
        </w:rPr>
        <w:t>. EACH OF THE PARTIES TO THIS AGREEMENT HEREBY AGREES THAT JURISDICTION AND VENUE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SUIT, ACTION OR PROCEEDING BROUGHT BY ANY PARTY ARISING OUT OF OR RELATING TO THIS AGREEMENT (INCLUDING ANY SUIT, ACTION OR PROCEEDING SEEKING EQUITABLE RELIEF) SHALL PROPERLY AND EXCLUSIVELY LIE IN THE COURT OF CHANCERY OF THE STATE OF DELAWARE (THE “</w:t>
      </w:r>
      <w:r>
        <w:rPr>
          <w:rFonts w:ascii="Arial" w:cs="Arial" w:eastAsia="Arial" w:hAnsi="Arial"/>
          <w:sz w:val="16"/>
          <w:szCs w:val="16"/>
          <w:u w:val="single" w:color="auto"/>
          <w:color w:val="auto"/>
        </w:rPr>
        <w:t>COURT OF CHANCERY</w:t>
      </w:r>
      <w:r>
        <w:rPr>
          <w:rFonts w:ascii="Arial" w:cs="Arial" w:eastAsia="Arial" w:hAnsi="Arial"/>
          <w:sz w:val="16"/>
          <w:szCs w:val="16"/>
          <w:color w:val="auto"/>
        </w:rPr>
        <w:t>”) OR, TO THE EXTENT THE COURT OF CHANCERY DOES NOT HAVE SUBJECT MATTER JURISDICTION, THE UNITED STATES DISTRICT COURT FOR THE DISTRICT OF DELAWARE AND THE APPELLATE COURTS HAVING JURISDICTION OF APPEALS IN SUCH COURTS (THE “</w:t>
      </w:r>
      <w:r>
        <w:rPr>
          <w:rFonts w:ascii="Arial" w:cs="Arial" w:eastAsia="Arial" w:hAnsi="Arial"/>
          <w:sz w:val="16"/>
          <w:szCs w:val="16"/>
          <w:u w:val="single" w:color="auto"/>
          <w:color w:val="auto"/>
        </w:rPr>
        <w:t>DELAWARE FEDERAL COURT</w:t>
      </w:r>
      <w:r>
        <w:rPr>
          <w:rFonts w:ascii="Arial" w:cs="Arial" w:eastAsia="Arial" w:hAnsi="Arial"/>
          <w:sz w:val="16"/>
          <w:szCs w:val="16"/>
          <w:color w:val="auto"/>
        </w:rPr>
        <w:t>”) OR, TO THE EXTENT NEITHER THE COURT OF CHANCERY NOR THE DELAWARE FEDERAL COURT HAS SUBJECT MATTER JURISDICTION, THE SUPERIOR COURT OF THE STATE OF DELAWARE (COLLECTIVELY, THE “</w:t>
      </w:r>
      <w:r>
        <w:rPr>
          <w:rFonts w:ascii="Arial" w:cs="Arial" w:eastAsia="Arial" w:hAnsi="Arial"/>
          <w:sz w:val="16"/>
          <w:szCs w:val="16"/>
          <w:u w:val="single" w:color="auto"/>
          <w:color w:val="auto"/>
        </w:rPr>
        <w:t>CHOSEN COURTS</w:t>
      </w:r>
      <w:r>
        <w:rPr>
          <w:rFonts w:ascii="Arial" w:cs="Arial" w:eastAsia="Arial" w:hAnsi="Arial"/>
          <w:sz w:val="16"/>
          <w:szCs w:val="16"/>
          <w:color w:val="auto"/>
        </w:rPr>
        <w:t>”). BY EXECUTION AND DELIVERY OF THIS AGREEMENT, EACH PARTY IRREVOCABLY SUBMITS TO THE JURISDICTION OF THE CHOSEN COURTS FOR ITSELF AND IN RESPECT OF ITS PROPERTY WITH RESPECT TO SUCH SUIT, ACTION OR PROCEEDING. THE PARTIES HERETO IRREVOCABLY AGREE THAT VENUE WOULD BE PROPER IN THE CHOSEN COURTS, AND HEREBY WAIVE ANY OBJECTION THAT ANY SUCH CHOSEN COURT IS AN IMPROPER OR INCONVENIENT FORUM FOR THE RESOLUTION OF SUCH SUIT, ACTION OR PROCEEDING.</w:t>
      </w:r>
    </w:p>
    <w:p>
      <w:pPr>
        <w:spacing w:after="0" w:line="62"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4.9 Counterparts</w:t>
      </w:r>
      <w:r>
        <w:rPr>
          <w:rFonts w:ascii="Arial" w:cs="Arial" w:eastAsia="Arial" w:hAnsi="Arial"/>
          <w:sz w:val="18"/>
          <w:szCs w:val="18"/>
          <w:color w:val="auto"/>
        </w:rPr>
        <w:t>. This Agreement may be executed in any number of counterparts, and by facsimile or .pdf, each of which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shall constitute but one and the same Agreement by and among the parties.</w:t>
      </w:r>
    </w:p>
    <w:p>
      <w:pPr>
        <w:spacing w:after="0" w:line="61" w:lineRule="exact"/>
        <w:rPr>
          <w:sz w:val="20"/>
          <w:szCs w:val="20"/>
          <w:color w:val="auto"/>
        </w:rPr>
      </w:pPr>
    </w:p>
    <w:p>
      <w:pPr>
        <w:ind w:right="340" w:firstLine="436"/>
        <w:spacing w:after="0" w:line="277" w:lineRule="auto"/>
        <w:rPr>
          <w:sz w:val="20"/>
          <w:szCs w:val="20"/>
          <w:color w:val="auto"/>
        </w:rPr>
      </w:pPr>
      <w:r>
        <w:rPr>
          <w:rFonts w:ascii="Arial" w:cs="Arial" w:eastAsia="Arial" w:hAnsi="Arial"/>
          <w:sz w:val="17"/>
          <w:szCs w:val="17"/>
          <w:b w:val="1"/>
          <w:bCs w:val="1"/>
          <w:color w:val="auto"/>
        </w:rPr>
        <w:t>4.10 Severability</w:t>
      </w:r>
      <w:r>
        <w:rPr>
          <w:rFonts w:ascii="Arial" w:cs="Arial" w:eastAsia="Arial" w:hAnsi="Arial"/>
          <w:sz w:val="17"/>
          <w:szCs w:val="17"/>
          <w:color w:val="auto"/>
        </w:rPr>
        <w:t>. The invalidity or unenforceability of any provision of this Agreement shall not affect the other provisions hereof,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construed in all respects as if such invalid or unenforceable provisions were omitted. Furthermore, upon the request of any party hereto, the parties to this Agreement shall add, in lieu of such invalid or unenforceable provisions, provisions as similar in terms to such invalid or unenforceable provisions as may be possible and legal, valid and enforceable.</w:t>
      </w:r>
    </w:p>
    <w:p>
      <w:pPr>
        <w:spacing w:after="0" w:line="60" w:lineRule="exact"/>
        <w:rPr>
          <w:sz w:val="20"/>
          <w:szCs w:val="20"/>
          <w:color w:val="auto"/>
        </w:rPr>
      </w:pPr>
    </w:p>
    <w:p>
      <w:pPr>
        <w:ind w:right="420" w:firstLine="436"/>
        <w:spacing w:after="0" w:line="261" w:lineRule="auto"/>
        <w:rPr>
          <w:sz w:val="20"/>
          <w:szCs w:val="20"/>
          <w:color w:val="auto"/>
        </w:rPr>
      </w:pPr>
      <w:r>
        <w:rPr>
          <w:rFonts w:ascii="Arial" w:cs="Arial" w:eastAsia="Arial" w:hAnsi="Arial"/>
          <w:sz w:val="18"/>
          <w:szCs w:val="18"/>
          <w:b w:val="1"/>
          <w:bCs w:val="1"/>
          <w:color w:val="auto"/>
        </w:rPr>
        <w:t>4.11 Amendment and Waiver</w:t>
      </w:r>
      <w:r>
        <w:rPr>
          <w:rFonts w:ascii="Arial" w:cs="Arial" w:eastAsia="Arial" w:hAnsi="Arial"/>
          <w:sz w:val="18"/>
          <w:szCs w:val="18"/>
          <w:color w:val="auto"/>
        </w:rPr>
        <w:t>. This Agreement may be amended or modified, and the observance of any term hereof may be waived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generally or in a particular instance and either retroactively or prospectively) only by a written instrument executed by (a) the Company, (b) the Shareholders holding a majority of the shares of Common Stock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86" w:name="page487"/>
    <w:bookmarkEnd w:id="4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6"/>
          <w:szCs w:val="16"/>
          <w:color w:val="auto"/>
        </w:rPr>
        <w:t>, the parties have caused this Agreement to be executed as of the day and year first above written.</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MONTE ROSA THERAPEUTICS, INC.</w:t>
      </w:r>
    </w:p>
    <w:p>
      <w:pPr>
        <w:spacing w:after="0" w:line="2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253936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Markus Warmuth</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539"/>
          </w:cols>
          <w:pgMar w:left="920" w:top="267" w:right="1440" w:bottom="1440" w:gutter="0" w:footer="0" w:header="0"/>
        </w:sectPr>
      </w:pPr>
    </w:p>
    <w:bookmarkStart w:id="487" w:name="page488"/>
    <w:bookmarkEnd w:id="48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CANCER RESEARCH TECHNOLOGY LIMITED</w:t>
      </w: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Anthony Hickson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Business Officer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INSTITUTE OF CANCER RESEARCH:</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ROYAL CANCER HOSPITAL</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Angela Kukula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Dr. Angela Kukula</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Director of Enterprise</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Rajesh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Rajesh Chopra</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Ian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13335</wp:posOffset>
            </wp:positionV>
            <wp:extent cx="276860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Ian Collins</w:t>
      </w:r>
    </w:p>
    <w:p>
      <w:pPr>
        <w:spacing w:after="0" w:line="15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340"/>
          </w:cols>
          <w:pgMar w:left="1440" w:top="268" w:right="1119" w:bottom="1440" w:gutter="0" w:footer="0" w:header="0"/>
        </w:sectPr>
      </w:pPr>
    </w:p>
    <w:bookmarkStart w:id="488" w:name="page489"/>
    <w:bookmarkEnd w:id="488"/>
    <w:p>
      <w:pPr>
        <w:ind w:left="992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jc w:val="center"/>
        <w:ind w:left="500" w:right="60"/>
        <w:spacing w:after="0" w:line="335"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10 April,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by and between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IDGELINE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xml:space="preserve"> G</w:t>
      </w:r>
      <w:r>
        <w:rPr>
          <w:rFonts w:ascii="Arial" w:cs="Arial" w:eastAsia="Arial" w:hAnsi="Arial"/>
          <w:sz w:val="13"/>
          <w:szCs w:val="13"/>
          <w:b w:val="1"/>
          <w:bCs w:val="1"/>
          <w:color w:val="auto"/>
        </w:rPr>
        <w:t>MBH</w:t>
      </w:r>
      <w:r>
        <w:rPr>
          <w:rFonts w:ascii="Arial" w:cs="Arial" w:eastAsia="Arial" w:hAnsi="Arial"/>
          <w:sz w:val="17"/>
          <w:szCs w:val="17"/>
          <w:color w:val="auto"/>
        </w:rPr>
        <w:t>, a Basel Switzerland corporation (“</w:t>
      </w:r>
      <w:r>
        <w:rPr>
          <w:rFonts w:ascii="Arial" w:cs="Arial" w:eastAsia="Arial" w:hAnsi="Arial"/>
          <w:sz w:val="17"/>
          <w:szCs w:val="17"/>
          <w:b w:val="1"/>
          <w:bCs w:val="1"/>
          <w:i w:val="1"/>
          <w:iCs w:val="1"/>
          <w:color w:val="auto"/>
        </w:rPr>
        <w:t>Ridgeline</w:t>
      </w:r>
      <w:r>
        <w:rPr>
          <w:rFonts w:ascii="Arial" w:cs="Arial" w:eastAsia="Arial" w:hAnsi="Arial"/>
          <w:sz w:val="17"/>
          <w:szCs w:val="17"/>
          <w:color w:val="auto"/>
        </w:rPr>
        <w:t>”), and</w:t>
      </w:r>
      <w:r>
        <w:rPr>
          <w:rFonts w:ascii="Arial" w:cs="Arial" w:eastAsia="Arial" w:hAnsi="Arial"/>
          <w:sz w:val="17"/>
          <w:szCs w:val="17"/>
          <w:b w:val="1"/>
          <w:bCs w:val="1"/>
          <w:color w:val="auto"/>
        </w:rPr>
        <w:t xml:space="preserve"> MONTE R</w:t>
      </w:r>
      <w:r>
        <w:rPr>
          <w:rFonts w:ascii="Arial" w:cs="Arial" w:eastAsia="Arial" w:hAnsi="Arial"/>
          <w:sz w:val="13"/>
          <w:szCs w:val="13"/>
          <w:b w:val="1"/>
          <w:bCs w:val="1"/>
          <w:color w:val="auto"/>
        </w:rPr>
        <w:t>OSA</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xml:space="preserve"> AG </w:t>
      </w:r>
      <w:r>
        <w:rPr>
          <w:rFonts w:ascii="Arial" w:cs="Arial" w:eastAsia="Arial" w:hAnsi="Arial"/>
          <w:sz w:val="17"/>
          <w:szCs w:val="17"/>
          <w:color w:val="auto"/>
        </w:rPr>
        <w:t>(in formation), a corporation to be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registered in Switzerland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4" w:lineRule="exact"/>
        <w:rPr>
          <w:sz w:val="20"/>
          <w:szCs w:val="20"/>
          <w:color w:val="auto"/>
        </w:rPr>
      </w:pPr>
    </w:p>
    <w:p>
      <w:pPr>
        <w:ind w:right="140" w:firstLine="436"/>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Ridgeline is engaged in the business of facilitating the start-up, funding and ongoing operation of new biotechnology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management, scientific, business development, clinical development and other operational services to startup companies on a contract basis; and</w:t>
      </w:r>
    </w:p>
    <w:p>
      <w:pPr>
        <w:spacing w:after="0" w:line="181"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is a drug discovery and development company and desires to engage Ridgeline to provide the Company various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make available to the Company certain resources of Ridgeline on the terms set forth herein.</w:t>
      </w:r>
    </w:p>
    <w:p>
      <w:pPr>
        <w:spacing w:after="0" w:line="168" w:lineRule="exact"/>
        <w:rPr>
          <w:sz w:val="20"/>
          <w:szCs w:val="20"/>
          <w:color w:val="auto"/>
        </w:rPr>
      </w:pPr>
    </w:p>
    <w:p>
      <w:pPr>
        <w:ind w:right="340" w:firstLine="43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above premises and for other good and valid consideration, the receipt and adequacy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intending to be legally bound,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p>
    <w:p>
      <w:pPr>
        <w:spacing w:after="0" w:line="221"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b w:val="1"/>
          <w:bCs w:val="1"/>
          <w:color w:val="auto"/>
        </w:rPr>
        <w:t xml:space="preserve">1.1 “Company Confidential Information” </w:t>
      </w:r>
      <w:r>
        <w:rPr>
          <w:rFonts w:ascii="Arial" w:cs="Arial" w:eastAsia="Arial" w:hAnsi="Arial"/>
          <w:sz w:val="16"/>
          <w:szCs w:val="16"/>
          <w:color w:val="auto"/>
        </w:rPr>
        <w:t>shall mean (a) all Company Work Product and (b) any and all other data, information,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specimens relating to the Company or any other person or entity with which Company has a commercial relationship (other than Ridgeline) or their respective products, product concepts, technologies, businesses, financial, marketing, clinical or regulatory affairs, manufacturing processes and procedures, or those of any other third party, whether written, graphic or oral, and whether or not furnished to or obtained by Ridgeline, either directly or indirectly, during the course of performing Services hereunder; but excluding, in any event, Ridgeline Work Product.</w:t>
      </w:r>
    </w:p>
    <w:p>
      <w:pPr>
        <w:spacing w:after="0" w:line="157" w:lineRule="exact"/>
        <w:rPr>
          <w:sz w:val="20"/>
          <w:szCs w:val="20"/>
          <w:color w:val="auto"/>
        </w:rPr>
      </w:pPr>
    </w:p>
    <w:p>
      <w:pPr>
        <w:ind w:right="200" w:firstLine="436"/>
        <w:spacing w:after="0" w:line="291" w:lineRule="auto"/>
        <w:rPr>
          <w:sz w:val="20"/>
          <w:szCs w:val="20"/>
          <w:color w:val="auto"/>
        </w:rPr>
      </w:pPr>
      <w:r>
        <w:rPr>
          <w:rFonts w:ascii="Arial" w:cs="Arial" w:eastAsia="Arial" w:hAnsi="Arial"/>
          <w:sz w:val="16"/>
          <w:szCs w:val="16"/>
          <w:b w:val="1"/>
          <w:bCs w:val="1"/>
          <w:color w:val="auto"/>
        </w:rPr>
        <w:t xml:space="preserve">1.2 “Company Work Product” </w:t>
      </w:r>
      <w:r>
        <w:rPr>
          <w:rFonts w:ascii="Arial" w:cs="Arial" w:eastAsia="Arial" w:hAnsi="Arial"/>
          <w:sz w:val="16"/>
          <w:szCs w:val="16"/>
          <w:color w:val="auto"/>
        </w:rPr>
        <w:t>shall mean any and all results (including data) and products (interim and/or final) of the Services performed by</w:t>
      </w:r>
      <w:r>
        <w:rPr>
          <w:rFonts w:ascii="Arial" w:cs="Arial" w:eastAsia="Arial" w:hAnsi="Arial"/>
          <w:sz w:val="16"/>
          <w:szCs w:val="16"/>
          <w:b w:val="1"/>
          <w:bCs w:val="1"/>
          <w:color w:val="auto"/>
        </w:rPr>
        <w:t xml:space="preserve"> </w:t>
      </w:r>
      <w:r>
        <w:rPr>
          <w:rFonts w:ascii="Arial" w:cs="Arial" w:eastAsia="Arial" w:hAnsi="Arial"/>
          <w:sz w:val="16"/>
          <w:szCs w:val="16"/>
          <w:color w:val="auto"/>
        </w:rPr>
        <w:t>Ridgeline, whether tangible or intangible, including, without limitation, each and every business, financial or other plan, computation, compilation of information, invention (whether or not patentable), discovery, design, drawing, protocol, process, technique, formula, trade secret, device, compound, substance, material, pharmaceutical, method, software program (including without limitation, object code, source code, flow charts, algorithms and related documentation), listing, routine, manual and specification, whether or not patentable or copyrightable, that are made, developed, perfected, designed, conceived or first reduced to practice by Ridgeline, either solely or jointly with others, in the course of the Services.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89" w:name="page490"/>
    <w:bookmarkEnd w:id="489"/>
    <w:p>
      <w:pPr>
        <w:ind w:right="40" w:firstLine="436"/>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 “Ridgeline Confidential Information” </w:t>
      </w:r>
      <w:r>
        <w:rPr>
          <w:rFonts w:ascii="Arial" w:cs="Arial" w:eastAsia="Arial" w:hAnsi="Arial"/>
          <w:sz w:val="18"/>
          <w:szCs w:val="18"/>
          <w:color w:val="auto"/>
        </w:rPr>
        <w:t>shall mean all data, information, technology, samples and specimens relating to Ridgeline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or entity with which Ridgeline has a commercial relationship (other than the Company) or their respective products, technologies, businesses, financial, marketing, clinical or regulatory affairs, manufacturing processes and procedures, or those of any other third party, from whom Ridgeline receives information on a confidential basis, whether written, graphic or oral, furnished to or obtained by the Company, either directly or indirectly, other than during the course of providing Services hereunder, including, without limitation, Ridgeline Work Product, but excluding Company Work Product.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1.4 “Confidential Information” </w:t>
      </w:r>
      <w:r>
        <w:rPr>
          <w:rFonts w:ascii="Arial" w:cs="Arial" w:eastAsia="Arial" w:hAnsi="Arial"/>
          <w:sz w:val="16"/>
          <w:szCs w:val="16"/>
          <w:color w:val="auto"/>
        </w:rPr>
        <w:t>shall mean the Ridgeline Confidential Information or the Company’s Confidential Information, as applicable.</w:t>
      </w:r>
    </w:p>
    <w:p>
      <w:pPr>
        <w:spacing w:after="0" w:line="244"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1.5 “Ridgeline Key Team” </w:t>
      </w:r>
      <w:r>
        <w:rPr>
          <w:rFonts w:ascii="Arial" w:cs="Arial" w:eastAsia="Arial" w:hAnsi="Arial"/>
          <w:sz w:val="18"/>
          <w:szCs w:val="18"/>
          <w:color w:val="auto"/>
        </w:rPr>
        <w:t>shall mean those individuals set forth on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and such other individuals as may be agreed to between Ridgeline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from time to time.</w:t>
      </w:r>
    </w:p>
    <w:p>
      <w:pPr>
        <w:spacing w:after="0" w:line="168"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b w:val="1"/>
          <w:bCs w:val="1"/>
          <w:color w:val="auto"/>
        </w:rPr>
        <w:t xml:space="preserve">1.6 “Ridgeline Work Product” </w:t>
      </w:r>
      <w:r>
        <w:rPr>
          <w:rFonts w:ascii="Arial" w:cs="Arial" w:eastAsia="Arial" w:hAnsi="Arial"/>
          <w:sz w:val="18"/>
          <w:szCs w:val="18"/>
          <w:color w:val="auto"/>
        </w:rPr>
        <w:t>shall mean any and all results (including data) and products (interim and/or final) of any activities or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Ridgeline on behalf of itself or any third party, other than in the course of performing the Services, whether tangible or intangible, including, without limitation, each and every invention (whether or not patentable), discovery, design, drawing, protocol, process, technique, formula, trade secret, device, compound, substance, material, pharmaceutical, method, software program (including without limitation, object code, source code, flow charts, algorithms and related documentation), listing, routine, manual and specification, whether or not patentable or copyrightable, that are made, developed, perfected, designed, conceived or first reduced to practice by Ridgeline, either solely or jointly with others, whether before, during or after the Term.</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 “Term” </w:t>
      </w:r>
      <w:r>
        <w:rPr>
          <w:rFonts w:ascii="Arial" w:cs="Arial" w:eastAsia="Arial" w:hAnsi="Arial"/>
          <w:sz w:val="18"/>
          <w:szCs w:val="18"/>
          <w:color w:val="auto"/>
        </w:rPr>
        <w:t>shall have the meaning provided in Section 2.6.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ERVICES</w:t>
      </w:r>
    </w:p>
    <w:p>
      <w:pPr>
        <w:spacing w:after="0" w:line="221" w:lineRule="exact"/>
        <w:rPr>
          <w:sz w:val="20"/>
          <w:szCs w:val="20"/>
          <w:color w:val="auto"/>
        </w:rPr>
      </w:pPr>
    </w:p>
    <w:p>
      <w:pPr>
        <w:ind w:right="120" w:firstLine="436"/>
        <w:spacing w:after="0" w:line="261" w:lineRule="auto"/>
        <w:rPr>
          <w:sz w:val="20"/>
          <w:szCs w:val="20"/>
          <w:color w:val="auto"/>
        </w:rPr>
      </w:pPr>
      <w:r>
        <w:rPr>
          <w:rFonts w:ascii="Arial" w:cs="Arial" w:eastAsia="Arial" w:hAnsi="Arial"/>
          <w:sz w:val="18"/>
          <w:szCs w:val="18"/>
          <w:b w:val="1"/>
          <w:bCs w:val="1"/>
          <w:color w:val="auto"/>
        </w:rPr>
        <w:t xml:space="preserve">2.1 Services. </w:t>
      </w:r>
      <w:r>
        <w:rPr>
          <w:rFonts w:ascii="Arial" w:cs="Arial" w:eastAsia="Arial" w:hAnsi="Arial"/>
          <w:sz w:val="18"/>
          <w:szCs w:val="18"/>
          <w:color w:val="auto"/>
        </w:rPr>
        <w:t>Subject to the terms of this Agreement, for the Term determined pursuant to Section 2.6(a) hereof, Ridgeline shall provide 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provided to the Company such services, in the nature of those described on Exhibit A, as may reasonably be requested by the Company and reasonably approved by Ridgeline from time to time following the date hereof (the </w:t>
      </w:r>
      <w:r>
        <w:rPr>
          <w:rFonts w:ascii="Arial" w:cs="Arial" w:eastAsia="Arial" w:hAnsi="Arial"/>
          <w:sz w:val="18"/>
          <w:szCs w:val="18"/>
          <w:b w:val="1"/>
          <w:bCs w:val="1"/>
          <w:i w:val="1"/>
          <w:iCs w:val="1"/>
          <w:color w:val="auto"/>
        </w:rPr>
        <w:t>“Services”).</w:t>
      </w:r>
    </w:p>
    <w:p>
      <w:pPr>
        <w:spacing w:after="0" w:line="181" w:lineRule="exact"/>
        <w:rPr>
          <w:sz w:val="20"/>
          <w:szCs w:val="20"/>
          <w:color w:val="auto"/>
        </w:rPr>
      </w:pPr>
    </w:p>
    <w:p>
      <w:pPr>
        <w:ind w:firstLine="436"/>
        <w:spacing w:after="0" w:line="277" w:lineRule="auto"/>
        <w:rPr>
          <w:sz w:val="20"/>
          <w:szCs w:val="20"/>
          <w:color w:val="auto"/>
        </w:rPr>
      </w:pPr>
      <w:r>
        <w:rPr>
          <w:rFonts w:ascii="Arial" w:cs="Arial" w:eastAsia="Arial" w:hAnsi="Arial"/>
          <w:sz w:val="17"/>
          <w:szCs w:val="17"/>
          <w:b w:val="1"/>
          <w:bCs w:val="1"/>
          <w:color w:val="auto"/>
        </w:rPr>
        <w:t>2.2 Charges and Payment</w:t>
      </w:r>
      <w:r>
        <w:rPr>
          <w:rFonts w:ascii="Arial" w:cs="Arial" w:eastAsia="Arial" w:hAnsi="Arial"/>
          <w:sz w:val="17"/>
          <w:szCs w:val="17"/>
          <w:color w:val="auto"/>
        </w:rPr>
        <w:t>. As compensation for its Services hereunder, the Company shall pay Ridgeline in accordance with the provisions of</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attached hereto. In addition, the Company shall reimburse Ridgeline for its actual expenses (including travel expenses) as reasonably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Ridgeline or its employees and/or consultants in the course of performing Services. Ridgeline shall invoice the Company on a quarterly basis for all charges pursuant to this Agreement in accordance with the provisions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490" w:name="page491"/>
    <w:bookmarkEnd w:id="490"/>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 General Obligations; Standard of Care</w:t>
      </w:r>
      <w:r>
        <w:rPr>
          <w:rFonts w:ascii="Arial" w:cs="Arial" w:eastAsia="Arial" w:hAnsi="Arial"/>
          <w:sz w:val="18"/>
          <w:szCs w:val="18"/>
          <w:color w:val="auto"/>
        </w:rPr>
        <w:t>.</w:t>
      </w:r>
    </w:p>
    <w:p>
      <w:pPr>
        <w:spacing w:after="0" w:line="221" w:lineRule="exact"/>
        <w:rPr>
          <w:sz w:val="20"/>
          <w:szCs w:val="20"/>
          <w:color w:val="auto"/>
        </w:rPr>
      </w:pPr>
    </w:p>
    <w:p>
      <w:pPr>
        <w:jc w:val="both"/>
        <w:ind w:left="-20" w:right="440" w:firstLine="990"/>
        <w:spacing w:after="0" w:line="261" w:lineRule="auto"/>
        <w:tabs>
          <w:tab w:leader="none" w:pos="1214"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Requirements</w:t>
      </w:r>
      <w:r>
        <w:rPr>
          <w:rFonts w:ascii="Arial" w:cs="Arial" w:eastAsia="Arial" w:hAnsi="Arial"/>
          <w:sz w:val="18"/>
          <w:szCs w:val="18"/>
          <w:color w:val="auto"/>
        </w:rPr>
        <w:t>. Ridgeline shall use commercially reasonable efforts to provide Services subject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accordance with its policies, procedures and practices then in effect, and shall exercise substantially the same care and skill as it exercises in performing similar services for itself.</w:t>
      </w:r>
    </w:p>
    <w:p>
      <w:pPr>
        <w:spacing w:after="0" w:line="180" w:lineRule="exact"/>
        <w:rPr>
          <w:rFonts w:ascii="Arial" w:cs="Arial" w:eastAsia="Arial" w:hAnsi="Arial"/>
          <w:sz w:val="18"/>
          <w:szCs w:val="18"/>
          <w:b w:val="1"/>
          <w:bCs w:val="1"/>
          <w:color w:val="auto"/>
        </w:rPr>
      </w:pPr>
    </w:p>
    <w:p>
      <w:pPr>
        <w:ind w:left="-20" w:right="20" w:firstLine="990"/>
        <w:spacing w:after="0" w:line="261" w:lineRule="auto"/>
        <w:tabs>
          <w:tab w:leader="none" w:pos="1224"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The parties acknowledge that Ridgeline may make changes from time to time in the manner of performing the Services (e.g.,</w:t>
      </w:r>
      <w:r>
        <w:rPr>
          <w:rFonts w:ascii="Arial" w:cs="Arial" w:eastAsia="Arial" w:hAnsi="Arial"/>
          <w:sz w:val="18"/>
          <w:szCs w:val="18"/>
          <w:b w:val="1"/>
          <w:bCs w:val="1"/>
          <w:color w:val="auto"/>
        </w:rPr>
        <w:t xml:space="preserve"> </w:t>
      </w:r>
      <w:r>
        <w:rPr>
          <w:rFonts w:ascii="Arial" w:cs="Arial" w:eastAsia="Arial" w:hAnsi="Arial"/>
          <w:sz w:val="18"/>
          <w:szCs w:val="18"/>
          <w:color w:val="auto"/>
        </w:rPr>
        <w:t>if Ridgeline is making substantially similar changes in performing similar services for itself or its affiliates). To the extent they materially affect the Services, such changes shall be made in consultation with the Company.</w:t>
      </w:r>
    </w:p>
    <w:p>
      <w:pPr>
        <w:spacing w:after="0" w:line="180" w:lineRule="exact"/>
        <w:rPr>
          <w:rFonts w:ascii="Arial" w:cs="Arial" w:eastAsia="Arial" w:hAnsi="Arial"/>
          <w:sz w:val="18"/>
          <w:szCs w:val="18"/>
          <w:b w:val="1"/>
          <w:bCs w:val="1"/>
          <w:color w:val="auto"/>
        </w:rPr>
      </w:pPr>
    </w:p>
    <w:p>
      <w:pPr>
        <w:ind w:left="-20" w:right="60" w:firstLine="990"/>
        <w:spacing w:after="0" w:line="275" w:lineRule="auto"/>
        <w:tabs>
          <w:tab w:leader="none" w:pos="1204"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r>
        <w:rPr>
          <w:rFonts w:ascii="Arial" w:cs="Arial" w:eastAsia="Arial" w:hAnsi="Arial"/>
          <w:sz w:val="18"/>
          <w:szCs w:val="18"/>
          <w:color w:val="auto"/>
        </w:rPr>
        <w:t>. Ridgeline agrees to perform the Services in accordance with the terms and conditions contained in this Agreement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federal, state and local laws and regulations.</w:t>
      </w:r>
    </w:p>
    <w:p>
      <w:pPr>
        <w:spacing w:after="0" w:line="167" w:lineRule="exact"/>
        <w:rPr>
          <w:rFonts w:ascii="Arial" w:cs="Arial" w:eastAsia="Arial" w:hAnsi="Arial"/>
          <w:sz w:val="18"/>
          <w:szCs w:val="18"/>
          <w:b w:val="1"/>
          <w:bCs w:val="1"/>
          <w:color w:val="auto"/>
        </w:rPr>
      </w:pPr>
    </w:p>
    <w:p>
      <w:pPr>
        <w:ind w:left="-20" w:right="380" w:firstLine="990"/>
        <w:spacing w:after="0" w:line="275" w:lineRule="auto"/>
        <w:tabs>
          <w:tab w:leader="none" w:pos="1224"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w:t>
      </w:r>
      <w:r>
        <w:rPr>
          <w:rFonts w:ascii="Arial" w:cs="Arial" w:eastAsia="Arial" w:hAnsi="Arial"/>
          <w:sz w:val="18"/>
          <w:szCs w:val="18"/>
          <w:color w:val="auto"/>
        </w:rPr>
        <w:t>. On a regular basis during the Term, the parties shall conduct meetings, either in person or by telephone or video</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to discuss the progress and results of the Services.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2.4 Confidentiality</w:t>
      </w:r>
      <w:r>
        <w:rPr>
          <w:rFonts w:ascii="Arial" w:cs="Arial" w:eastAsia="Arial" w:hAnsi="Arial"/>
          <w:sz w:val="18"/>
          <w:szCs w:val="18"/>
          <w:color w:val="auto"/>
        </w:rPr>
        <w:t>.</w:t>
      </w:r>
    </w:p>
    <w:p>
      <w:pPr>
        <w:spacing w:after="0" w:line="221" w:lineRule="exact"/>
        <w:rPr>
          <w:sz w:val="20"/>
          <w:szCs w:val="20"/>
          <w:color w:val="auto"/>
        </w:rPr>
      </w:pPr>
    </w:p>
    <w:p>
      <w:pPr>
        <w:ind w:left="-20" w:firstLine="990"/>
        <w:spacing w:after="0" w:line="266" w:lineRule="auto"/>
        <w:tabs>
          <w:tab w:leader="none" w:pos="1214"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Except to the extent expressly authorized by this Agreement or otherwise agreed in writing by the parties,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Term of this Agreement and for [***] thereafter, the receiving party shall keep confidential and shall not publish or otherwise disclose and shall not use for any purpose other than as expressly provided for in this Agreement any Confidential Information of the other party. Each party may use the other party’s Confidential Information only to the extent required to accomplish the purposes of this Agreement, consistent with any restrictions on the use of Confidential Information received by a third party and communicated by the party disclosing such Confidential Information. To the extent that any such restrictions on the use of Confidential Information received by a third party exceed the restrictions on the use of Confidential Information set forth in this’ Agreement, the parties each hereby agree to be bound by such restrictions. The parties agree and acknowledge that certain Confidential Information may be required for submission to the U.S. Food and Drug Administration and/or federal or state regulatory bodies. The parties acknowledge and agree that such submissions, to the extent required by applicable law, shall not constitute a violation of the terms of this Agreement if permitted under any applicable agreement with a third party for whom the disclosing party obtained the Confidential Information. Each party will use at least the same standard of care as it uses to protect proprietary or confidential information of its own (but in no event less than reasonable care) to ensure that its employees, agents, consultants and other representatives do not disclose or make any unauthorized use of such Confidential Information. Each party will promptly notify the other upon discovery of any unauthorized use or disclosure of such Confidential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500" w:top="268" w:right="499" w:bottom="1440" w:gutter="0" w:footer="0" w:header="0"/>
        </w:sectPr>
      </w:pPr>
    </w:p>
    <w:bookmarkStart w:id="491" w:name="page492"/>
    <w:bookmarkEnd w:id="491"/>
    <w:p>
      <w:pPr>
        <w:ind w:left="1253" w:hanging="270"/>
        <w:spacing w:after="0"/>
        <w:tabs>
          <w:tab w:leader="none" w:pos="1253" w:val="left"/>
        </w:tabs>
        <w:numPr>
          <w:ilvl w:val="1"/>
          <w:numId w:val="39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Limitations</w:t>
      </w:r>
      <w:r>
        <w:rPr>
          <w:rFonts w:ascii="Arial" w:cs="Arial" w:eastAsia="Arial" w:hAnsi="Arial"/>
          <w:sz w:val="16"/>
          <w:szCs w:val="16"/>
          <w:color w:val="auto"/>
        </w:rPr>
        <w:t>. Confidential Information shall not include any information that the receiving party can prove by competent evidence:</w:t>
      </w:r>
    </w:p>
    <w:p>
      <w:pPr>
        <w:spacing w:after="0" w:line="46" w:lineRule="exact"/>
        <w:rPr>
          <w:rFonts w:ascii="Arial" w:cs="Arial" w:eastAsia="Arial" w:hAnsi="Arial"/>
          <w:sz w:val="16"/>
          <w:szCs w:val="16"/>
          <w:b w:val="1"/>
          <w:bCs w:val="1"/>
          <w:color w:val="auto"/>
        </w:rPr>
      </w:pPr>
    </w:p>
    <w:p>
      <w:pPr>
        <w:ind w:left="-7" w:right="120" w:firstLine="7"/>
        <w:spacing w:after="0" w:line="249" w:lineRule="auto"/>
        <w:tabs>
          <w:tab w:leader="none" w:pos="20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was already known to the receiving party without any obligations of confidentiality prior to receipt from the other party; (ii) was generally available to the public or otherwise part of the public domain at the time of its disclosure to the receiving party; (iii) became generally available to the public or otherwise part of the public domain after its disclosure, other than through any act or omission of the receiving party in breach of any obligation of confidentiality; (iv) was disclosed to the receiving party, other than under an obligation of confidentiality, by a third party who had no obligation not to disclose such information to others; or (v) was independently discovered or developed by the receiving party without the use of Confidential Information;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combination of features or disclosures shall not be deemed to fall within the foregoing exclusions solely because certain individual features are</w:t>
      </w:r>
    </w:p>
    <w:p>
      <w:pPr>
        <w:spacing w:after="0" w:line="191" w:lineRule="exact"/>
        <w:rPr>
          <w:rFonts w:ascii="Arial" w:cs="Arial" w:eastAsia="Arial" w:hAnsi="Arial"/>
          <w:sz w:val="18"/>
          <w:szCs w:val="18"/>
          <w:color w:val="auto"/>
        </w:rPr>
      </w:pPr>
    </w:p>
    <w:p>
      <w:pPr>
        <w:ind w:left="-7" w:right="20" w:firstLine="990"/>
        <w:spacing w:after="0" w:line="294" w:lineRule="auto"/>
        <w:tabs>
          <w:tab w:leader="none" w:pos="1217" w:val="left"/>
        </w:tabs>
        <w:numPr>
          <w:ilvl w:val="1"/>
          <w:numId w:val="391"/>
        </w:numPr>
        <w:rPr>
          <w:rFonts w:ascii="Arial" w:cs="Arial" w:eastAsia="Arial" w:hAnsi="Arial"/>
          <w:sz w:val="16"/>
          <w:szCs w:val="16"/>
          <w:b w:val="1"/>
          <w:bCs w:val="1"/>
          <w:color w:val="auto"/>
        </w:rPr>
      </w:pPr>
      <w:r>
        <w:rPr>
          <w:rFonts w:ascii="Arial" w:cs="Arial" w:eastAsia="Arial" w:hAnsi="Arial"/>
          <w:sz w:val="16"/>
          <w:szCs w:val="16"/>
          <w:b w:val="1"/>
          <w:bCs w:val="1"/>
          <w:color w:val="auto"/>
        </w:rPr>
        <w:t>Authorized Disclosure</w:t>
      </w:r>
      <w:r>
        <w:rPr>
          <w:rFonts w:ascii="Arial" w:cs="Arial" w:eastAsia="Arial" w:hAnsi="Arial"/>
          <w:sz w:val="16"/>
          <w:szCs w:val="16"/>
          <w:color w:val="auto"/>
        </w:rPr>
        <w:t>. Notwithstanding Section 2.4(a), a party may disclose Confidential Information of the other party,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violating the obligations of this Agreement, to the extent the disclosure is required by a valid order of a court or other governmental body having jurisdiction, provided that such party gives reasonable prior written notice to the other party of such required disclosure and makes a reasonable effort to obtain, or to assist the other party in obtaining, a protective order preventing or limiting the disclosure and/or requiring that the Confidential Information so disclosed be used only for the purposes for which the law or regulation requires, or for which the order was issued.</w:t>
      </w:r>
    </w:p>
    <w:p>
      <w:pPr>
        <w:spacing w:after="0" w:line="156" w:lineRule="exact"/>
        <w:rPr>
          <w:rFonts w:ascii="Arial" w:cs="Arial" w:eastAsia="Arial" w:hAnsi="Arial"/>
          <w:sz w:val="16"/>
          <w:szCs w:val="16"/>
          <w:b w:val="1"/>
          <w:bCs w:val="1"/>
          <w:color w:val="auto"/>
        </w:rPr>
      </w:pPr>
    </w:p>
    <w:p>
      <w:pPr>
        <w:ind w:left="-7" w:right="20" w:firstLine="990"/>
        <w:spacing w:after="0" w:line="261" w:lineRule="auto"/>
        <w:tabs>
          <w:tab w:leader="none" w:pos="1237" w:val="left"/>
        </w:tabs>
        <w:numPr>
          <w:ilvl w:val="1"/>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Use of Name/Publicity</w:t>
      </w:r>
      <w:r>
        <w:rPr>
          <w:rFonts w:ascii="Arial" w:cs="Arial" w:eastAsia="Arial" w:hAnsi="Arial"/>
          <w:sz w:val="18"/>
          <w:szCs w:val="18"/>
          <w:color w:val="auto"/>
        </w:rPr>
        <w:t>. Neither party shall use the other party’s name in connection with any publication or promotion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party’s consent, except as required by federal, state or local laws, rules and regulations. Neither party shall disclose the specific content or terms of this Agreement without the prior written consent of the other party.</w:t>
      </w:r>
    </w:p>
    <w:p>
      <w:pPr>
        <w:spacing w:after="0" w:line="181" w:lineRule="exact"/>
        <w:rPr>
          <w:sz w:val="20"/>
          <w:szCs w:val="20"/>
          <w:color w:val="auto"/>
        </w:rPr>
      </w:pPr>
    </w:p>
    <w:p>
      <w:pPr>
        <w:ind w:left="433"/>
        <w:spacing w:after="0"/>
        <w:rPr>
          <w:sz w:val="20"/>
          <w:szCs w:val="20"/>
          <w:color w:val="auto"/>
        </w:rPr>
      </w:pPr>
      <w:r>
        <w:rPr>
          <w:rFonts w:ascii="Arial" w:cs="Arial" w:eastAsia="Arial" w:hAnsi="Arial"/>
          <w:sz w:val="18"/>
          <w:szCs w:val="18"/>
          <w:b w:val="1"/>
          <w:bCs w:val="1"/>
          <w:color w:val="auto"/>
        </w:rPr>
        <w:t>2.5 Intellectual Property Rights</w:t>
      </w:r>
    </w:p>
    <w:p>
      <w:pPr>
        <w:spacing w:after="0" w:line="221" w:lineRule="exact"/>
        <w:rPr>
          <w:sz w:val="20"/>
          <w:szCs w:val="20"/>
          <w:color w:val="auto"/>
        </w:rPr>
      </w:pPr>
    </w:p>
    <w:p>
      <w:pPr>
        <w:ind w:left="-7" w:firstLine="990"/>
        <w:spacing w:after="0" w:line="286" w:lineRule="auto"/>
        <w:tabs>
          <w:tab w:leader="none" w:pos="1227"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The Company shall own all right, title and interest in and to all Company Work Product, including, without limitation,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patent, copyright or other intellectual property rights therein, that is conceived or first reduced to practice by Ridgeline, either solely or jointly with others, in the course of performing the Services (collectively, the “</w:t>
      </w:r>
      <w:r>
        <w:rPr>
          <w:rFonts w:ascii="Arial" w:cs="Arial" w:eastAsia="Arial" w:hAnsi="Arial"/>
          <w:sz w:val="16"/>
          <w:szCs w:val="16"/>
          <w:b w:val="1"/>
          <w:bCs w:val="1"/>
          <w:i w:val="1"/>
          <w:iCs w:val="1"/>
          <w:color w:val="auto"/>
        </w:rPr>
        <w:t>Company Intellectual Property</w:t>
      </w:r>
      <w:r>
        <w:rPr>
          <w:rFonts w:ascii="Arial" w:cs="Arial" w:eastAsia="Arial" w:hAnsi="Arial"/>
          <w:sz w:val="16"/>
          <w:szCs w:val="16"/>
          <w:color w:val="auto"/>
        </w:rPr>
        <w:t>”), and neither this Agreement, nor the provision of the Services hereunder, shall give Ridgeline any right, title or interest in or to any Company Intellectual Property. The Company shall be responsible for all costs and expenses associated with such Company Work Product. The Company hereby grants to Ridgeline a non-exclusive, worldwide, fully-paid, royalty-free license, without the right to sublicense, to use the Company’s technology solely as necessary or appropriate to perform Services under this Agreement during the Term. Ridgeline shall retain all right, title and interest in and to any and all Ridgeline Work Product, including, without limitation, all patent, copyright or other intellectual property rights therein (collectively, the “</w:t>
      </w:r>
      <w:r>
        <w:rPr>
          <w:rFonts w:ascii="Arial" w:cs="Arial" w:eastAsia="Arial" w:hAnsi="Arial"/>
          <w:sz w:val="16"/>
          <w:szCs w:val="16"/>
          <w:b w:val="1"/>
          <w:bCs w:val="1"/>
          <w:i w:val="1"/>
          <w:iCs w:val="1"/>
          <w:color w:val="auto"/>
        </w:rPr>
        <w:t>Ridgeline Intellectual Property</w:t>
      </w:r>
      <w:r>
        <w:rPr>
          <w:rFonts w:ascii="Arial" w:cs="Arial" w:eastAsia="Arial" w:hAnsi="Arial"/>
          <w:sz w:val="16"/>
          <w:szCs w:val="16"/>
          <w:color w:val="auto"/>
        </w:rPr>
        <w:t>”), and neither this Agreement, nor the provision of the Services hereunder, shall give the Company any right, title or interest in or to any Ridgeline Intellectual Property.</w:t>
      </w:r>
    </w:p>
    <w:p>
      <w:pPr>
        <w:spacing w:after="0" w:line="10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93"/>
          </w:cols>
          <w:pgMar w:left="487" w:top="268" w:right="519" w:bottom="1440" w:gutter="0" w:footer="0" w:header="0"/>
        </w:sectPr>
      </w:pPr>
    </w:p>
    <w:bookmarkStart w:id="492" w:name="page493"/>
    <w:bookmarkEnd w:id="492"/>
    <w:p>
      <w:pPr>
        <w:ind w:left="-20" w:right="40" w:firstLine="990"/>
        <w:spacing w:after="0" w:line="282" w:lineRule="auto"/>
        <w:tabs>
          <w:tab w:leader="none" w:pos="1224"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Assignment; Assistance</w:t>
      </w:r>
      <w:r>
        <w:rPr>
          <w:rFonts w:ascii="Arial" w:cs="Arial" w:eastAsia="Arial" w:hAnsi="Arial"/>
          <w:sz w:val="16"/>
          <w:szCs w:val="16"/>
          <w:color w:val="auto"/>
        </w:rPr>
        <w:t>. Ridgeline hereby assigns all of Ridgeline’s right, title and interest in and to any Company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to the Company without royalty or any other consideration and agrees to execute all applications, assignments or other instruments reasonably requested by the Company in order for the Company to establish its ownership of such Company Intellectual Property and to obtain whatever protection for such Company Intellectual Property, including copyright and patent rights in any and all countries designated by the Company on such Company Intellectual Property as the Company shall determine. Ridgeline agrees to assist the Company, or its designee, in every reasonable way (but at the Company’s expense) to secure the Company’s rights in Company Intellectual Property and any copyrights, patents or other intellectual property rights relating to all Company Intellectual Property in any and all countries designated by the Company, including the disclosure to the Company of all pertinent information and data with respect to all Company Intellectual Property,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Company Intellectual Property. Ridgeline also agrees that its obligation to execute or cause to be executed any such instrument or papers shall continue after the expiration or termination of this Agreement. Ridgeline agrees that, if the Company is unable because of Ridgeline’s unavailability, dissolution, or otherwise, to secure Ridgeline’s signature for the purpose of applying for or pursuing any application for any United States or foreign patents or copyright registrations covering the Company Intellectual Property assigned to the Company herein, then, until such time Ridgeline becomes available it hereby designates and appoints the Company and its duly authorized officers and agents as Ridgeline’s agent and attorney-in-fact, to act for and on Ridgeline’s behalf to execute and file any such applications and to do all other lawfully permitted acts only to further the prosecution and issuance of patents and copyright registrations with the same legal force and effect as if executed by Ridgeline.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2.6 Term; Termination</w:t>
      </w:r>
      <w:r>
        <w:rPr>
          <w:rFonts w:ascii="Arial" w:cs="Arial" w:eastAsia="Arial" w:hAnsi="Arial"/>
          <w:sz w:val="18"/>
          <w:szCs w:val="18"/>
          <w:color w:val="auto"/>
        </w:rPr>
        <w:t>.</w:t>
      </w:r>
    </w:p>
    <w:p>
      <w:pPr>
        <w:spacing w:after="0" w:line="221" w:lineRule="exact"/>
        <w:rPr>
          <w:sz w:val="20"/>
          <w:szCs w:val="20"/>
          <w:color w:val="auto"/>
        </w:rPr>
      </w:pPr>
    </w:p>
    <w:p>
      <w:pPr>
        <w:ind w:left="-20" w:right="260" w:firstLine="990"/>
        <w:spacing w:after="0" w:line="275" w:lineRule="auto"/>
        <w:tabs>
          <w:tab w:leader="none" w:pos="1214"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shall remain in effect until terminated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Section 2.6.</w:t>
      </w:r>
    </w:p>
    <w:p>
      <w:pPr>
        <w:spacing w:after="0" w:line="167" w:lineRule="exact"/>
        <w:rPr>
          <w:rFonts w:ascii="Arial" w:cs="Arial" w:eastAsia="Arial" w:hAnsi="Arial"/>
          <w:sz w:val="18"/>
          <w:szCs w:val="18"/>
          <w:b w:val="1"/>
          <w:bCs w:val="1"/>
          <w:color w:val="auto"/>
        </w:rPr>
      </w:pPr>
    </w:p>
    <w:p>
      <w:pPr>
        <w:ind w:left="-20" w:right="40" w:firstLine="990"/>
        <w:spacing w:after="0" w:line="268" w:lineRule="auto"/>
        <w:tabs>
          <w:tab w:leader="none" w:pos="1224"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Election to Terminate</w:t>
      </w:r>
      <w:r>
        <w:rPr>
          <w:rFonts w:ascii="Arial" w:cs="Arial" w:eastAsia="Arial" w:hAnsi="Arial"/>
          <w:sz w:val="17"/>
          <w:szCs w:val="17"/>
          <w:color w:val="auto"/>
        </w:rPr>
        <w:t>. The Company may terminate this Agreement either with respect to all, or with respect to any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Services provided hereunder (including, without limitation, terminating the provision of Services by any member or members of the Ridgeline Key Team) at any time and from time to time, for any reason or no reason, by giving written notice to Ridgeline at least [***] prior to the date of such termination. Ridgeline may terminate this Agreement either with respect to all, or with respect to any one or more, of the Services provided hereunder at any time and from time to time, for any reason or no reason, by giving written notice to the Company at least [***] prior to the date of such termination. In addition, the parties may at any time agree in writing to terminate this Agreement with respect to some or all of the Services, effective immediately or as indicated in such writing. In the event of any termination with respect to one or more, but less than all, Services, this Agreement shall continue in full force and effect with respect to any Services not terminated hereby.</w:t>
      </w:r>
    </w:p>
    <w:p>
      <w:pPr>
        <w:spacing w:after="0" w:line="179" w:lineRule="exact"/>
        <w:rPr>
          <w:rFonts w:ascii="Arial" w:cs="Arial" w:eastAsia="Arial" w:hAnsi="Arial"/>
          <w:sz w:val="17"/>
          <w:szCs w:val="17"/>
          <w:b w:val="1"/>
          <w:bCs w:val="1"/>
          <w:color w:val="auto"/>
        </w:rPr>
      </w:pPr>
    </w:p>
    <w:p>
      <w:pPr>
        <w:ind w:left="-20" w:firstLine="990"/>
        <w:spacing w:after="0" w:line="299" w:lineRule="auto"/>
        <w:tabs>
          <w:tab w:leader="none" w:pos="1204"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Payment Upon Early Termination</w:t>
      </w:r>
      <w:r>
        <w:rPr>
          <w:rFonts w:ascii="Arial" w:cs="Arial" w:eastAsia="Arial" w:hAnsi="Arial"/>
          <w:sz w:val="16"/>
          <w:szCs w:val="16"/>
          <w:color w:val="auto"/>
        </w:rPr>
        <w:t>. In the event of termination of this Agreement or any Services hereunder, Ridgeline shall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work completed through the date of termination in accordance with this Agreement, including reasonable and documented out-of-pocket expenses and any non-cancelable commitments reasonably incurred by Ridgeline in accordance with this Agreement. Ridgeline shall refund to the Company any prepaid amounts not earned by Ridgeline prior to the date of such termination, including as set forth in Section 2.2 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68" w:right="499" w:bottom="1440" w:gutter="0" w:footer="0" w:header="0"/>
        </w:sectPr>
      </w:pPr>
    </w:p>
    <w:bookmarkStart w:id="493" w:name="page494"/>
    <w:bookmarkEnd w:id="493"/>
    <w:p>
      <w:pPr>
        <w:ind w:right="20" w:firstLine="990"/>
        <w:spacing w:after="0" w:line="261" w:lineRule="auto"/>
        <w:tabs>
          <w:tab w:leader="none" w:pos="1244"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Survival Upon Termination</w:t>
      </w:r>
      <w:r>
        <w:rPr>
          <w:rFonts w:ascii="Arial" w:cs="Arial" w:eastAsia="Arial" w:hAnsi="Arial"/>
          <w:sz w:val="18"/>
          <w:szCs w:val="18"/>
          <w:color w:val="auto"/>
        </w:rPr>
        <w:t>. Expiration or termination of this Agreement will not relieve either party of any obligation accruing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expiration or termination. Article 1, Sections 2.2, 2.4, 2.5, 2.6(c), 2.6(d), 3.3, 3.4, and Articles 4 and 5 will survive expiration or termination of this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b w:val="1"/>
          <w:bCs w:val="1"/>
          <w:color w:val="auto"/>
        </w:rPr>
        <w:t>; D</w:t>
      </w:r>
      <w:r>
        <w:rPr>
          <w:rFonts w:ascii="Arial" w:cs="Arial" w:eastAsia="Arial" w:hAnsi="Arial"/>
          <w:sz w:val="14"/>
          <w:szCs w:val="14"/>
          <w:b w:val="1"/>
          <w:bCs w:val="1"/>
          <w:color w:val="auto"/>
        </w:rPr>
        <w:t>ISCLAIMER</w:t>
      </w:r>
      <w:r>
        <w:rPr>
          <w:rFonts w:ascii="Arial" w:cs="Arial" w:eastAsia="Arial" w:hAnsi="Arial"/>
          <w:sz w:val="18"/>
          <w:szCs w:val="18"/>
          <w:b w:val="1"/>
          <w:bCs w:val="1"/>
          <w:color w:val="auto"/>
        </w:rPr>
        <w:t>; L</w:t>
      </w:r>
      <w:r>
        <w:rPr>
          <w:rFonts w:ascii="Arial" w:cs="Arial" w:eastAsia="Arial" w:hAnsi="Arial"/>
          <w:sz w:val="14"/>
          <w:szCs w:val="14"/>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p>
    <w:p>
      <w:pPr>
        <w:spacing w:after="0" w:line="221"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b w:val="1"/>
          <w:bCs w:val="1"/>
          <w:color w:val="auto"/>
        </w:rPr>
        <w:t>3.1 Mutual Representations and Warranties</w:t>
      </w:r>
      <w:r>
        <w:rPr>
          <w:rFonts w:ascii="Arial" w:cs="Arial" w:eastAsia="Arial" w:hAnsi="Arial"/>
          <w:sz w:val="16"/>
          <w:szCs w:val="16"/>
          <w:color w:val="auto"/>
        </w:rPr>
        <w:t>. Each party represents and warrants to the other that: (a) it has full power and authority to enter</w:t>
      </w:r>
      <w:r>
        <w:rPr>
          <w:rFonts w:ascii="Arial" w:cs="Arial" w:eastAsia="Arial" w:hAnsi="Arial"/>
          <w:sz w:val="16"/>
          <w:szCs w:val="16"/>
          <w:b w:val="1"/>
          <w:bCs w:val="1"/>
          <w:color w:val="auto"/>
        </w:rPr>
        <w:t xml:space="preserve"> </w:t>
      </w:r>
      <w:r>
        <w:rPr>
          <w:rFonts w:ascii="Arial" w:cs="Arial" w:eastAsia="Arial" w:hAnsi="Arial"/>
          <w:sz w:val="16"/>
          <w:szCs w:val="16"/>
          <w:color w:val="auto"/>
        </w:rPr>
        <w:t>into this Agreement and to perform its obligations hereunder; (b) this Agreement is legally binding upon it, enforceable against it in accordance with its terms, and does not conflict with any charter or constituting document, or any agreement, instrument or understanding, oral or written, to which it is a party or by which it may be bound, nor violate any material law or regulation of any court, governmental body or administrative or other agency having jurisdiction over it; and (c) such party is not under any pre-existing obligation inconsistent with the provisions of this Agreement.</w:t>
      </w:r>
    </w:p>
    <w:p>
      <w:pPr>
        <w:spacing w:after="0" w:line="157"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3.2 Ridgeline Representations and Warranties</w:t>
      </w:r>
      <w:r>
        <w:rPr>
          <w:rFonts w:ascii="Arial" w:cs="Arial" w:eastAsia="Arial" w:hAnsi="Arial"/>
          <w:sz w:val="18"/>
          <w:szCs w:val="18"/>
          <w:color w:val="auto"/>
        </w:rPr>
        <w:t>. Ridgeline hereby represents and warrants to the Company that the Services shall be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by qualified personnel in a good, timely, efficient and professional manner.</w:t>
      </w:r>
    </w:p>
    <w:p>
      <w:pPr>
        <w:spacing w:after="0" w:line="168"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3.3 Disclaimer of Warranties</w:t>
      </w:r>
      <w:r>
        <w:rPr>
          <w:rFonts w:ascii="Arial" w:cs="Arial" w:eastAsia="Arial" w:hAnsi="Arial"/>
          <w:sz w:val="18"/>
          <w:szCs w:val="18"/>
          <w:color w:val="auto"/>
        </w:rPr>
        <w:t>. EXCEPT AS EXPRESSLY SET FORTH IN THIS AGREEMENT, EACH PARTY DISCLAIMS ALL</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EXPRESS OR IMPLIED, INCLUDING, BUT NOT LIMITED TO, THE IMPLIED WARRANTIES OF MERCHANTABILITY AND FITNESS FOR A PARTICULAR PURPOSE. WITHOUT LIMITING THE GENERALITY OF THE FOREGOING, AND EXCEPT AS EXPRESSLY SET FORTH IN THIS AGREEMENT, RIDGELINE MAKES NO REPRESENTATIONS OR WARRANTIES AS TO THE QUALITY, SUITABILITY OR ADEQUACY OF THE SERVICES FOR ANY PURPOSE OR USE.</w:t>
      </w:r>
    </w:p>
    <w:p>
      <w:pPr>
        <w:spacing w:after="0" w:line="184" w:lineRule="exact"/>
        <w:rPr>
          <w:sz w:val="20"/>
          <w:szCs w:val="20"/>
          <w:color w:val="auto"/>
        </w:rPr>
      </w:pPr>
    </w:p>
    <w:p>
      <w:pPr>
        <w:jc w:val="both"/>
        <w:ind w:right="600" w:firstLine="436"/>
        <w:spacing w:after="0" w:line="261" w:lineRule="auto"/>
        <w:rPr>
          <w:sz w:val="20"/>
          <w:szCs w:val="20"/>
          <w:color w:val="auto"/>
        </w:rPr>
      </w:pPr>
      <w:r>
        <w:rPr>
          <w:rFonts w:ascii="Arial" w:cs="Arial" w:eastAsia="Arial" w:hAnsi="Arial"/>
          <w:sz w:val="18"/>
          <w:szCs w:val="18"/>
          <w:b w:val="1"/>
          <w:bCs w:val="1"/>
          <w:color w:val="auto"/>
        </w:rPr>
        <w:t>3.4 Limitation of Liability</w:t>
      </w:r>
      <w:r>
        <w:rPr>
          <w:rFonts w:ascii="Arial" w:cs="Arial" w:eastAsia="Arial" w:hAnsi="Arial"/>
          <w:sz w:val="18"/>
          <w:szCs w:val="18"/>
          <w:color w:val="auto"/>
        </w:rPr>
        <w:t>. NEITHER PARTY SHALL BE ENTITLED TO RECOVER FROM THE OTHER PARTY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INCIDENTAL, CONSEQUENTIAL OR PUNITIVE DAMAGES IN CONNECTION WITH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3.4 shall not be construed to limit either party’s indemnification obligations under Article 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p>
    <w:p>
      <w:pPr>
        <w:spacing w:after="0" w:line="221" w:lineRule="exact"/>
        <w:rPr>
          <w:sz w:val="20"/>
          <w:szCs w:val="20"/>
          <w:color w:val="auto"/>
        </w:rPr>
      </w:pPr>
    </w:p>
    <w:p>
      <w:pPr>
        <w:ind w:right="60" w:firstLine="436"/>
        <w:spacing w:after="0" w:line="284" w:lineRule="auto"/>
        <w:rPr>
          <w:sz w:val="20"/>
          <w:szCs w:val="20"/>
          <w:color w:val="auto"/>
        </w:rPr>
      </w:pPr>
      <w:r>
        <w:rPr>
          <w:rFonts w:ascii="Arial" w:cs="Arial" w:eastAsia="Arial" w:hAnsi="Arial"/>
          <w:sz w:val="16"/>
          <w:szCs w:val="16"/>
          <w:b w:val="1"/>
          <w:bCs w:val="1"/>
          <w:color w:val="auto"/>
        </w:rPr>
        <w:t>4.1 By the Company</w:t>
      </w:r>
      <w:r>
        <w:rPr>
          <w:rFonts w:ascii="Arial" w:cs="Arial" w:eastAsia="Arial" w:hAnsi="Arial"/>
          <w:sz w:val="16"/>
          <w:szCs w:val="16"/>
          <w:color w:val="auto"/>
        </w:rPr>
        <w:t>. The Company hereby agrees to save, defend, indemnify and hold harmless Ridgeline,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employees, consultants and agents (each, a “</w:t>
      </w:r>
      <w:r>
        <w:rPr>
          <w:rFonts w:ascii="Arial" w:cs="Arial" w:eastAsia="Arial" w:hAnsi="Arial"/>
          <w:sz w:val="16"/>
          <w:szCs w:val="16"/>
          <w:b w:val="1"/>
          <w:bCs w:val="1"/>
          <w:i w:val="1"/>
          <w:iCs w:val="1"/>
          <w:color w:val="auto"/>
        </w:rPr>
        <w:t>Ridgeline Party</w:t>
      </w:r>
      <w:r>
        <w:rPr>
          <w:rFonts w:ascii="Arial" w:cs="Arial" w:eastAsia="Arial" w:hAnsi="Arial"/>
          <w:sz w:val="16"/>
          <w:szCs w:val="16"/>
          <w:color w:val="auto"/>
        </w:rPr>
        <w:t>”) from and against any and all losses, damages, liabilities, expenses and costs, including reasonable legal expense and attorneys’ fees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to which any Ridgeline Party may become subject as a result of any claim, demand, action or other proceeding by any third party to the extent such Losses arise directly or indirectly out of (a) the performance of the Services,</w:t>
      </w:r>
    </w:p>
    <w:p>
      <w:pPr>
        <w:spacing w:after="0" w:line="2" w:lineRule="exact"/>
        <w:rPr>
          <w:sz w:val="20"/>
          <w:szCs w:val="20"/>
          <w:color w:val="auto"/>
        </w:rPr>
      </w:pPr>
    </w:p>
    <w:p>
      <w:pPr>
        <w:jc w:val="both"/>
        <w:ind w:right="40" w:firstLine="7"/>
        <w:spacing w:after="0" w:line="270" w:lineRule="auto"/>
        <w:tabs>
          <w:tab w:leader="none" w:pos="252"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development, manufacture, use, handling, storage, sale or other disposition of any product by the Company, or (c) the gross negligence or willful misconduct of any Company Party or the breach by the Company of any warranty, representation, covenant or agreement made by the Company in this Agreement, except, in each case, to the extent such Losses result from the gross negligence or willful misconduct of any Ridgeline Party or the breach by Ridgeline of any warranty, representation, covenant or agreement made by Ridgeline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8" w:right="519" w:bottom="1440" w:gutter="0" w:footer="0" w:header="0"/>
        </w:sectPr>
      </w:pPr>
    </w:p>
    <w:bookmarkStart w:id="494" w:name="page495"/>
    <w:bookmarkEnd w:id="494"/>
    <w:p>
      <w:pPr>
        <w:ind w:right="20" w:firstLine="43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4.2 By Ridgeline</w:t>
      </w:r>
      <w:r>
        <w:rPr>
          <w:rFonts w:ascii="Arial" w:cs="Arial" w:eastAsia="Arial" w:hAnsi="Arial"/>
          <w:sz w:val="16"/>
          <w:szCs w:val="16"/>
          <w:color w:val="auto"/>
        </w:rPr>
        <w:t>. Ridgeline hereby agrees to save, defend, indemnify and hold harmless the Company, its affiliates and their respective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employees, consultants and agents (each, a “</w:t>
      </w:r>
      <w:r>
        <w:rPr>
          <w:rFonts w:ascii="Arial" w:cs="Arial" w:eastAsia="Arial" w:hAnsi="Arial"/>
          <w:sz w:val="16"/>
          <w:szCs w:val="16"/>
          <w:b w:val="1"/>
          <w:bCs w:val="1"/>
          <w:i w:val="1"/>
          <w:iCs w:val="1"/>
          <w:color w:val="auto"/>
        </w:rPr>
        <w:t>Company Party</w:t>
      </w:r>
      <w:r>
        <w:rPr>
          <w:rFonts w:ascii="Arial" w:cs="Arial" w:eastAsia="Arial" w:hAnsi="Arial"/>
          <w:sz w:val="16"/>
          <w:szCs w:val="16"/>
          <w:color w:val="auto"/>
        </w:rPr>
        <w:t>”) from and against any and all Losses to which any Company Party may become subject as a result of any claim, demand, action or other proceeding by any third party to the extent such Losses arise directly or indirectly out of the gross negligence or willful misconduct of any Ridgeline Party or the breach by Ridgeline of any warranty, representation, covenant or agreement made by Ridgeline in this Agreement, except, in each case, to the extent such Losses result from the gross negligence or willful misconduct of any Company Party or the breach by the Company of any warranty, representation, covenant or agreement made by the Company in this Agreement.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4.3 Control of Defense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 party seeks indemnification under Section 4.1 or Section 4.2, it shall inform the other party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of a claim as soon as reasonably practicable after it receives notice of the claim, shall permit the Indemnifying Party to assume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direction and control of the defense of the claim (including the right to settle the claim solely for monetary consideration with no admission of fault),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 shall cooperate as requested (at the expense of the Indemnifying Party) in the defense of the claim.</w:t>
      </w:r>
    </w:p>
    <w:p>
      <w:pPr>
        <w:spacing w:after="0" w:line="204" w:lineRule="exact"/>
        <w:rPr>
          <w:sz w:val="20"/>
          <w:szCs w:val="20"/>
          <w:color w:val="auto"/>
        </w:rPr>
      </w:pPr>
    </w:p>
    <w:p>
      <w:pPr>
        <w:ind w:right="340" w:firstLine="436"/>
        <w:spacing w:after="0" w:line="340" w:lineRule="auto"/>
        <w:rPr>
          <w:sz w:val="20"/>
          <w:szCs w:val="20"/>
          <w:color w:val="auto"/>
        </w:rPr>
      </w:pPr>
      <w:r>
        <w:rPr>
          <w:rFonts w:ascii="Arial" w:cs="Arial" w:eastAsia="Arial" w:hAnsi="Arial"/>
          <w:sz w:val="16"/>
          <w:szCs w:val="16"/>
          <w:b w:val="1"/>
          <w:bCs w:val="1"/>
          <w:color w:val="auto"/>
        </w:rPr>
        <w:t>4.4 Liability Insurance</w:t>
      </w:r>
      <w:r>
        <w:rPr>
          <w:rFonts w:ascii="Arial" w:cs="Arial" w:eastAsia="Arial" w:hAnsi="Arial"/>
          <w:sz w:val="16"/>
          <w:szCs w:val="16"/>
          <w:color w:val="auto"/>
        </w:rPr>
        <w:t>. Each party agrees to maintain during the Term usual and customary liability and workers compensation insurance in</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consistent with industry standards and to provide a certificate of insurance evidencing such coverage to the other party upon request.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221" w:lineRule="exact"/>
        <w:rPr>
          <w:sz w:val="20"/>
          <w:szCs w:val="20"/>
          <w:color w:val="auto"/>
        </w:rPr>
      </w:pPr>
    </w:p>
    <w:p>
      <w:pPr>
        <w:ind w:firstLine="436"/>
        <w:spacing w:after="0" w:line="309" w:lineRule="auto"/>
        <w:rPr>
          <w:sz w:val="20"/>
          <w:szCs w:val="20"/>
          <w:color w:val="auto"/>
        </w:rPr>
      </w:pPr>
      <w:r>
        <w:rPr>
          <w:rFonts w:ascii="Arial" w:cs="Arial" w:eastAsia="Arial" w:hAnsi="Arial"/>
          <w:sz w:val="16"/>
          <w:szCs w:val="16"/>
          <w:b w:val="1"/>
          <w:bCs w:val="1"/>
          <w:color w:val="auto"/>
        </w:rPr>
        <w:t>5.1 Taxes</w:t>
      </w:r>
      <w:r>
        <w:rPr>
          <w:rFonts w:ascii="Arial" w:cs="Arial" w:eastAsia="Arial" w:hAnsi="Arial"/>
          <w:sz w:val="16"/>
          <w:szCs w:val="16"/>
          <w:color w:val="auto"/>
        </w:rPr>
        <w:t>. Ridgeline will pay any and all taxes levied on account of any payments made to it under this Agreement. If any taxes are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by the Company from any payment to Ridgeline, the Company shall (a) deduct such taxes from the payment, (b) timely pay the taxes to the proper taxing authority, and (c) send proof of payment to Ridgeline and certify its receipt by the taxing authority within [***] following such payment.</w:t>
      </w:r>
    </w:p>
    <w:p>
      <w:pPr>
        <w:spacing w:after="0" w:line="145" w:lineRule="exact"/>
        <w:rPr>
          <w:sz w:val="20"/>
          <w:szCs w:val="20"/>
          <w:color w:val="auto"/>
        </w:rPr>
      </w:pPr>
    </w:p>
    <w:p>
      <w:pPr>
        <w:ind w:right="60" w:firstLine="436"/>
        <w:spacing w:after="0" w:line="257" w:lineRule="auto"/>
        <w:rPr>
          <w:sz w:val="20"/>
          <w:szCs w:val="20"/>
          <w:color w:val="auto"/>
        </w:rPr>
      </w:pPr>
      <w:r>
        <w:rPr>
          <w:rFonts w:ascii="Arial" w:cs="Arial" w:eastAsia="Arial" w:hAnsi="Arial"/>
          <w:sz w:val="18"/>
          <w:szCs w:val="18"/>
          <w:b w:val="1"/>
          <w:bCs w:val="1"/>
          <w:color w:val="auto"/>
        </w:rPr>
        <w:t>5.2 Relationship of Parties</w:t>
      </w:r>
      <w:r>
        <w:rPr>
          <w:rFonts w:ascii="Arial" w:cs="Arial" w:eastAsia="Arial" w:hAnsi="Arial"/>
          <w:sz w:val="18"/>
          <w:szCs w:val="18"/>
          <w:color w:val="auto"/>
        </w:rPr>
        <w:t>. Nothing in this Agreement shall be deemed or construed by the parties or any third party as creating the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of principal and agent, partnership or joint venture between the parties, it being understood and agreed that no provision contained herein, and no act of the parties, shall be deemed to create any relationship between the parties other than the relationship of independent contractor nor be deemed to vest any rights, interest or claims in any third parties.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68" w:right="539" w:bottom="1440" w:gutter="0" w:footer="0" w:header="0"/>
        </w:sectPr>
      </w:pPr>
    </w:p>
    <w:bookmarkStart w:id="495" w:name="page496"/>
    <w:bookmarkEnd w:id="495"/>
    <w:p>
      <w:pPr>
        <w:jc w:val="both"/>
        <w:ind w:firstLine="436"/>
        <w:spacing w:after="0" w:line="28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5.3 Integration</w:t>
      </w:r>
      <w:r>
        <w:rPr>
          <w:rFonts w:ascii="Arial" w:cs="Arial" w:eastAsia="Arial" w:hAnsi="Arial"/>
          <w:sz w:val="17"/>
          <w:szCs w:val="17"/>
          <w:color w:val="auto"/>
        </w:rPr>
        <w:t>. This Agreement (including the Exhibits hereto) contains the complete, final and exclusive agreement of the parties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supersedes all prior and contemporaneous oral and written agreements or arrangements between the parties. To the extent this Agreement conflicts with any other agreements, written or oral, between the parties, this Agreement controls.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5.4 Modification and Amendment</w:t>
      </w:r>
      <w:r>
        <w:rPr>
          <w:rFonts w:ascii="Arial" w:cs="Arial" w:eastAsia="Arial" w:hAnsi="Arial"/>
          <w:sz w:val="18"/>
          <w:szCs w:val="18"/>
          <w:color w:val="auto"/>
        </w:rPr>
        <w:t>. This Agreement may not be modified or amended except in a writing signed by the parties.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5.5 Governing Law</w:t>
      </w:r>
      <w:r>
        <w:rPr>
          <w:rFonts w:ascii="Arial" w:cs="Arial" w:eastAsia="Arial" w:hAnsi="Arial"/>
          <w:sz w:val="18"/>
          <w:szCs w:val="18"/>
          <w:color w:val="auto"/>
        </w:rPr>
        <w:t>. This Agreement shall be governed by and construed in accordance with the laws of Switzerland</w:t>
      </w:r>
    </w:p>
    <w:p>
      <w:pPr>
        <w:spacing w:after="0" w:line="221" w:lineRule="exact"/>
        <w:rPr>
          <w:sz w:val="20"/>
          <w:szCs w:val="20"/>
          <w:color w:val="auto"/>
        </w:rPr>
      </w:pPr>
    </w:p>
    <w:p>
      <w:pPr>
        <w:ind w:right="400" w:firstLine="436"/>
        <w:spacing w:after="0" w:line="275" w:lineRule="auto"/>
        <w:rPr>
          <w:sz w:val="20"/>
          <w:szCs w:val="20"/>
          <w:color w:val="auto"/>
        </w:rPr>
      </w:pPr>
      <w:r>
        <w:rPr>
          <w:rFonts w:ascii="Arial" w:cs="Arial" w:eastAsia="Arial" w:hAnsi="Arial"/>
          <w:sz w:val="18"/>
          <w:szCs w:val="18"/>
          <w:b w:val="1"/>
          <w:bCs w:val="1"/>
          <w:color w:val="auto"/>
        </w:rPr>
        <w:t>5.6 No Implied Licenses</w:t>
      </w:r>
      <w:r>
        <w:rPr>
          <w:rFonts w:ascii="Arial" w:cs="Arial" w:eastAsia="Arial" w:hAnsi="Arial"/>
          <w:sz w:val="18"/>
          <w:szCs w:val="18"/>
          <w:color w:val="auto"/>
        </w:rPr>
        <w:t>. No right or license is granted under this Agreement by either party to the other, either expressly or by implication,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those specifically set forth herein.</w:t>
      </w:r>
    </w:p>
    <w:p>
      <w:pPr>
        <w:spacing w:after="0" w:line="168" w:lineRule="exact"/>
        <w:rPr>
          <w:sz w:val="20"/>
          <w:szCs w:val="20"/>
          <w:color w:val="auto"/>
        </w:rPr>
      </w:pPr>
    </w:p>
    <w:p>
      <w:pPr>
        <w:ind w:right="280" w:firstLine="436"/>
        <w:spacing w:after="0" w:line="340" w:lineRule="auto"/>
        <w:rPr>
          <w:sz w:val="20"/>
          <w:szCs w:val="20"/>
          <w:color w:val="auto"/>
        </w:rPr>
      </w:pPr>
      <w:r>
        <w:rPr>
          <w:rFonts w:ascii="Arial" w:cs="Arial" w:eastAsia="Arial" w:hAnsi="Arial"/>
          <w:sz w:val="16"/>
          <w:szCs w:val="16"/>
          <w:b w:val="1"/>
          <w:bCs w:val="1"/>
          <w:color w:val="auto"/>
        </w:rPr>
        <w:t>5.7 Severability</w:t>
      </w:r>
      <w:r>
        <w:rPr>
          <w:rFonts w:ascii="Arial" w:cs="Arial" w:eastAsia="Arial" w:hAnsi="Arial"/>
          <w:sz w:val="16"/>
          <w:szCs w:val="16"/>
          <w:color w:val="auto"/>
        </w:rPr>
        <w:t>. If any provision of this Agreement should be held invalid or unenforceable, the remaining provisions shall be unaffected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remain in full force and effect, to the extent consistent with the intent of the parties as evidenced by this Agreement as a whole.</w:t>
      </w:r>
    </w:p>
    <w:p>
      <w:pPr>
        <w:spacing w:after="0" w:line="121" w:lineRule="exact"/>
        <w:rPr>
          <w:sz w:val="20"/>
          <w:szCs w:val="20"/>
          <w:color w:val="auto"/>
        </w:rPr>
      </w:pPr>
    </w:p>
    <w:p>
      <w:pPr>
        <w:ind w:right="140" w:firstLine="436"/>
        <w:spacing w:after="0" w:line="291" w:lineRule="auto"/>
        <w:rPr>
          <w:sz w:val="20"/>
          <w:szCs w:val="20"/>
          <w:color w:val="auto"/>
        </w:rPr>
      </w:pPr>
      <w:r>
        <w:rPr>
          <w:rFonts w:ascii="Arial" w:cs="Arial" w:eastAsia="Arial" w:hAnsi="Arial"/>
          <w:sz w:val="16"/>
          <w:szCs w:val="16"/>
          <w:b w:val="1"/>
          <w:bCs w:val="1"/>
          <w:color w:val="auto"/>
        </w:rPr>
        <w:t>5.8 Assignment</w:t>
      </w:r>
      <w:r>
        <w:rPr>
          <w:rFonts w:ascii="Arial" w:cs="Arial" w:eastAsia="Arial" w:hAnsi="Arial"/>
          <w:sz w:val="16"/>
          <w:szCs w:val="16"/>
          <w:color w:val="auto"/>
        </w:rPr>
        <w:t>. Except as expressly provided hereunder, neither this Agreement nor any rights or obligations hereunder may be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transferred by either party without the prior written consent of the other party (which consent shall not be unreasonably withheld);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Company may assign this Agreement and its rights and obligations hereunder without Ridgeline’s consent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sale of all or substantially all of the Company’s business to which this Agreement relates to a third party, whether by merger, sale of stock, sale of assets or otherwise. The rights and obligations of the parties under this Agreement shall be binding upon and inure to the benefit of the successors and permitted assigns of the parties. Any assignment not in accordance with this Agreement shall be void.</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5.9 Headings</w:t>
      </w:r>
      <w:r>
        <w:rPr>
          <w:rFonts w:ascii="Arial" w:cs="Arial" w:eastAsia="Arial" w:hAnsi="Arial"/>
          <w:sz w:val="17"/>
          <w:szCs w:val="17"/>
          <w:color w:val="auto"/>
        </w:rPr>
        <w:t>. Section headings are for convenience of reference only and shall not be considered in the interpretation of this Agreement.</w:t>
      </w:r>
    </w:p>
    <w:p>
      <w:pPr>
        <w:spacing w:after="0" w:line="232" w:lineRule="exact"/>
        <w:rPr>
          <w:sz w:val="20"/>
          <w:szCs w:val="20"/>
          <w:color w:val="auto"/>
        </w:rPr>
      </w:pPr>
    </w:p>
    <w:p>
      <w:pPr>
        <w:ind w:right="440" w:firstLine="436"/>
        <w:spacing w:after="0" w:line="255" w:lineRule="auto"/>
        <w:rPr>
          <w:sz w:val="20"/>
          <w:szCs w:val="20"/>
          <w:color w:val="auto"/>
        </w:rPr>
      </w:pPr>
      <w:r>
        <w:rPr>
          <w:rFonts w:ascii="Arial" w:cs="Arial" w:eastAsia="Arial" w:hAnsi="Arial"/>
          <w:sz w:val="18"/>
          <w:szCs w:val="18"/>
          <w:b w:val="1"/>
          <w:bCs w:val="1"/>
          <w:color w:val="auto"/>
        </w:rPr>
        <w:t>5.10 Force Majeure</w:t>
      </w:r>
      <w:r>
        <w:rPr>
          <w:rFonts w:ascii="Arial" w:cs="Arial" w:eastAsia="Arial" w:hAnsi="Arial"/>
          <w:sz w:val="18"/>
          <w:szCs w:val="18"/>
          <w:color w:val="auto"/>
        </w:rPr>
        <w:t>. In the event of a delay caused by inclement weather, fire, flood, strike or other labor dispute, act of God, act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officials or agencies, or any other cause beyond the control of the parties, the party or parties so affected shall be excused from performance hereunder for the period of time attributable to such delay, which may extend beyond the time lost due to one or more of the causes mentioned above. In the event of any such delay, the parties may, in their sole discretion, amend this Agreement, as appropriate, by mutual written agreement.</w:t>
      </w:r>
    </w:p>
    <w:p>
      <w:pPr>
        <w:spacing w:after="0" w:line="184" w:lineRule="exact"/>
        <w:rPr>
          <w:sz w:val="20"/>
          <w:szCs w:val="20"/>
          <w:color w:val="auto"/>
        </w:rPr>
      </w:pPr>
    </w:p>
    <w:p>
      <w:pPr>
        <w:ind w:right="320" w:firstLine="436"/>
        <w:spacing w:after="0" w:line="275" w:lineRule="auto"/>
        <w:rPr>
          <w:sz w:val="20"/>
          <w:szCs w:val="20"/>
          <w:color w:val="auto"/>
        </w:rPr>
      </w:pPr>
      <w:r>
        <w:rPr>
          <w:rFonts w:ascii="Arial" w:cs="Arial" w:eastAsia="Arial" w:hAnsi="Arial"/>
          <w:sz w:val="18"/>
          <w:szCs w:val="18"/>
          <w:b w:val="1"/>
          <w:bCs w:val="1"/>
          <w:color w:val="auto"/>
        </w:rPr>
        <w:t>5.11 Notices</w:t>
      </w:r>
      <w:r>
        <w:rPr>
          <w:rFonts w:ascii="Arial" w:cs="Arial" w:eastAsia="Arial" w:hAnsi="Arial"/>
          <w:sz w:val="18"/>
          <w:szCs w:val="18"/>
          <w:color w:val="auto"/>
        </w:rPr>
        <w:t>. Any notices required or permitted hereunder shall be given by overnight courier to the appropriate party at the address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or at such other address as the party shall specify in writing.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68" w:right="539" w:bottom="1440" w:gutter="0" w:footer="0" w:header="0"/>
        </w:sectPr>
      </w:pPr>
    </w:p>
    <w:bookmarkStart w:id="496" w:name="page497"/>
    <w:bookmarkEnd w:id="496"/>
    <w:p>
      <w:pPr>
        <w:ind w:left="1100"/>
        <w:spacing w:after="0"/>
        <w:rPr>
          <w:sz w:val="20"/>
          <w:szCs w:val="20"/>
          <w:color w:val="auto"/>
        </w:rPr>
      </w:pPr>
      <w:r>
        <w:rPr>
          <w:rFonts w:ascii="Arial" w:cs="Arial" w:eastAsia="Arial" w:hAnsi="Arial"/>
          <w:sz w:val="18"/>
          <w:szCs w:val="18"/>
          <w:color w:val="auto"/>
        </w:rPr>
        <w:t>If to Ridgeline:</w:t>
      </w:r>
    </w:p>
    <w:p>
      <w:pPr>
        <w:spacing w:after="0" w:line="200" w:lineRule="exact"/>
        <w:rPr>
          <w:sz w:val="20"/>
          <w:szCs w:val="20"/>
          <w:color w:val="auto"/>
        </w:rPr>
      </w:pP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Ridgeline Therapeutics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-214630</wp:posOffset>
            </wp:positionV>
            <wp:extent cx="717613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Aeschenvorstadt 36, 4051 Basel, Switzerland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Attn: Dr. Alexander Mayweg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Aeschenvorstadt 36, 4051 Basel, Switzerland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200" w:lineRule="exact"/>
        <w:rPr>
          <w:sz w:val="20"/>
          <w:szCs w:val="20"/>
          <w:color w:val="auto"/>
        </w:rPr>
      </w:pPr>
    </w:p>
    <w:p>
      <w:pPr>
        <w:sectPr>
          <w:pgSz w:w="11900" w:h="16838" w:orient="portrait"/>
          <w:cols w:equalWidth="0" w:num="2">
            <w:col w:w="2460" w:space="400"/>
            <w:col w:w="7960"/>
          </w:cols>
          <w:pgMar w:left="480" w:top="272" w:right="599" w:bottom="1440" w:gutter="0" w:footer="0" w:header="0"/>
        </w:sectPr>
      </w:pP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shall be deemed made upon receipt by the addressee as evidenced by the applicable written receipt.</w:t>
      </w:r>
    </w:p>
    <w:p>
      <w:pPr>
        <w:spacing w:after="0" w:line="217" w:lineRule="exact"/>
        <w:rPr>
          <w:sz w:val="20"/>
          <w:szCs w:val="20"/>
          <w:color w:val="auto"/>
        </w:rPr>
      </w:pPr>
    </w:p>
    <w:p>
      <w:pPr>
        <w:ind w:right="460" w:firstLine="436"/>
        <w:spacing w:after="0" w:line="275" w:lineRule="auto"/>
        <w:rPr>
          <w:sz w:val="20"/>
          <w:szCs w:val="20"/>
          <w:color w:val="auto"/>
        </w:rPr>
      </w:pPr>
      <w:r>
        <w:rPr>
          <w:rFonts w:ascii="Arial" w:cs="Arial" w:eastAsia="Arial" w:hAnsi="Arial"/>
          <w:sz w:val="18"/>
          <w:szCs w:val="18"/>
          <w:b w:val="1"/>
          <w:bCs w:val="1"/>
          <w:color w:val="auto"/>
        </w:rPr>
        <w:t>5.12 Counterparts</w:t>
      </w:r>
      <w:r>
        <w:rPr>
          <w:rFonts w:ascii="Arial" w:cs="Arial" w:eastAsia="Arial" w:hAnsi="Arial"/>
          <w:sz w:val="18"/>
          <w:szCs w:val="18"/>
          <w:color w:val="auto"/>
        </w:rPr>
        <w:t>. This Agreement may be executed in multiple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8"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5.13 Non-Waiver</w:t>
      </w:r>
      <w:r>
        <w:rPr>
          <w:rFonts w:ascii="Arial" w:cs="Arial" w:eastAsia="Arial" w:hAnsi="Arial"/>
          <w:sz w:val="18"/>
          <w:szCs w:val="18"/>
          <w:color w:val="auto"/>
        </w:rPr>
        <w:t>. No failure or delay of one of the parties to insist upon strict performance of any of its rights or powers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operate as a waiver thereof, nor shall any other single or partial exercise of such right or power preclude any other further exercise of any rights or remedies provided by law.</w:t>
      </w:r>
    </w:p>
    <w:p>
      <w:pPr>
        <w:spacing w:after="0" w:line="181"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b w:val="1"/>
          <w:bCs w:val="1"/>
          <w:color w:val="auto"/>
        </w:rPr>
        <w:t>5.14 Waiver of Corporate Opportunity</w:t>
      </w:r>
      <w:r>
        <w:rPr>
          <w:rFonts w:ascii="Arial" w:cs="Arial" w:eastAsia="Arial" w:hAnsi="Arial"/>
          <w:sz w:val="16"/>
          <w:szCs w:val="16"/>
          <w:color w:val="auto"/>
        </w:rPr>
        <w:t>. In the event that either party to this Agreement or any director, officer, employee or representative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party (the “</w:t>
      </w:r>
      <w:r>
        <w:rPr>
          <w:rFonts w:ascii="Arial" w:cs="Arial" w:eastAsia="Arial" w:hAnsi="Arial"/>
          <w:sz w:val="16"/>
          <w:szCs w:val="16"/>
          <w:b w:val="1"/>
          <w:bCs w:val="1"/>
          <w:i w:val="1"/>
          <w:iCs w:val="1"/>
          <w:color w:val="auto"/>
        </w:rPr>
        <w:t>Primary Party</w:t>
      </w:r>
      <w:r>
        <w:rPr>
          <w:rFonts w:ascii="Arial" w:cs="Arial" w:eastAsia="Arial" w:hAnsi="Arial"/>
          <w:sz w:val="16"/>
          <w:szCs w:val="16"/>
          <w:color w:val="auto"/>
        </w:rPr>
        <w:t>”) acquires knowledge of a potential transaction or other matter (including, but not limited to, any compounds or other assets or the opportunity to acquire interests thereof) and that may be an opportunity of interest (a “</w:t>
      </w:r>
      <w:r>
        <w:rPr>
          <w:rFonts w:ascii="Arial" w:cs="Arial" w:eastAsia="Arial" w:hAnsi="Arial"/>
          <w:sz w:val="16"/>
          <w:szCs w:val="16"/>
          <w:b w:val="1"/>
          <w:bCs w:val="1"/>
          <w:i w:val="1"/>
          <w:iCs w:val="1"/>
          <w:color w:val="auto"/>
        </w:rPr>
        <w:t>Corporate Opportunity</w:t>
      </w:r>
      <w:r>
        <w:rPr>
          <w:rFonts w:ascii="Arial" w:cs="Arial" w:eastAsia="Arial" w:hAnsi="Arial"/>
          <w:sz w:val="16"/>
          <w:szCs w:val="16"/>
          <w:color w:val="auto"/>
        </w:rPr>
        <w:t>”) for the other party to this Agreement (the “</w:t>
      </w:r>
      <w:r>
        <w:rPr>
          <w:rFonts w:ascii="Arial" w:cs="Arial" w:eastAsia="Arial" w:hAnsi="Arial"/>
          <w:sz w:val="16"/>
          <w:szCs w:val="16"/>
          <w:b w:val="1"/>
          <w:bCs w:val="1"/>
          <w:i w:val="1"/>
          <w:iCs w:val="1"/>
          <w:color w:val="auto"/>
        </w:rPr>
        <w:t>Other Party</w:t>
      </w:r>
      <w:r>
        <w:rPr>
          <w:rFonts w:ascii="Arial" w:cs="Arial" w:eastAsia="Arial" w:hAnsi="Arial"/>
          <w:sz w:val="16"/>
          <w:szCs w:val="16"/>
          <w:color w:val="auto"/>
        </w:rPr>
        <w:t>”), then the Other Party (i) renounces any expectancy that the Primary Party offer an opportunity to participate in such Corporate Opportunity to the Other Party and (ii) to the fullest extent permitted by law, waives any claim that such opportunity constituted a Corporate Opportunity that should have been presented by the Primary Party to the Other Party or any of its affiliates.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 OF</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480" w:top="272" w:right="599" w:bottom="1440" w:gutter="0" w:footer="0" w:header="0"/>
          <w:type w:val="continuous"/>
        </w:sectPr>
      </w:pPr>
    </w:p>
    <w:bookmarkStart w:id="497" w:name="page498"/>
    <w:bookmarkEnd w:id="4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 WHEREOF</w:t>
      </w:r>
      <w:r>
        <w:rPr>
          <w:rFonts w:ascii="Arial" w:cs="Arial" w:eastAsia="Arial" w:hAnsi="Arial"/>
          <w:sz w:val="18"/>
          <w:szCs w:val="18"/>
          <w:color w:val="auto"/>
        </w:rPr>
        <w:t>, the parties have executed this Services Agreement as of the date first above written.</w:t>
      </w:r>
    </w:p>
    <w:p>
      <w:pPr>
        <w:spacing w:after="0" w:line="24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IDGELINE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MB</w:t>
      </w:r>
      <w:r>
        <w:rPr>
          <w:rFonts w:ascii="Arial" w:cs="Arial" w:eastAsia="Arial" w:hAnsi="Arial"/>
          <w:sz w:val="18"/>
          <w:szCs w:val="18"/>
          <w:b w:val="1"/>
          <w:bCs w:val="1"/>
          <w:color w:val="auto"/>
        </w:rPr>
        <w:t>H</w:t>
      </w:r>
    </w:p>
    <w:p>
      <w:pPr>
        <w:spacing w:after="0" w:line="22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Alexander Mayweg</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Alexander Mayweg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ind w:left="6120"/>
        <w:spacing w:after="0"/>
        <w:tabs>
          <w:tab w:leader="none" w:pos="6680" w:val="left"/>
        </w:tabs>
        <w:rPr>
          <w:sz w:val="20"/>
          <w:szCs w:val="20"/>
          <w:color w:val="auto"/>
        </w:rPr>
      </w:pPr>
      <w:r>
        <w:rPr>
          <w:rFonts w:ascii="Arial" w:cs="Arial" w:eastAsia="Arial" w:hAnsi="Arial"/>
          <w:sz w:val="18"/>
          <w:szCs w:val="18"/>
          <w:color w:val="auto"/>
        </w:rPr>
        <w:t>Title:</w:t>
        <w:tab/>
        <w:t>CSO</w:t>
      </w:r>
    </w:p>
    <w:p>
      <w:pPr>
        <w:spacing w:after="0" w:line="35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AG</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(in formation)</w:t>
      </w:r>
    </w:p>
    <w:p>
      <w:pPr>
        <w:spacing w:after="0" w:line="22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jc w:val="both"/>
        <w:ind w:left="6120"/>
        <w:spacing w:after="0"/>
        <w:tabs>
          <w:tab w:leader="none" w:pos="6680" w:val="left"/>
        </w:tabs>
        <w:rPr>
          <w:sz w:val="20"/>
          <w:szCs w:val="20"/>
          <w:color w:val="auto"/>
        </w:rPr>
      </w:pPr>
      <w:r>
        <w:rPr>
          <w:rFonts w:ascii="Arial" w:cs="Arial" w:eastAsia="Arial" w:hAnsi="Arial"/>
          <w:sz w:val="18"/>
          <w:szCs w:val="18"/>
          <w:color w:val="auto"/>
        </w:rPr>
        <w:t>Title:</w:t>
        <w:tab/>
        <w:t>Company Secretary, Cancer Research Technology</w:t>
      </w:r>
    </w:p>
    <w:p>
      <w:pPr>
        <w:spacing w:after="0" w:line="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Limited</w:t>
      </w:r>
    </w:p>
    <w:p>
      <w:pPr>
        <w:spacing w:after="0" w:line="208"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ind w:left="6120"/>
        <w:spacing w:after="0"/>
        <w:tabs>
          <w:tab w:leader="none" w:pos="6680" w:val="left"/>
        </w:tabs>
        <w:rPr>
          <w:sz w:val="20"/>
          <w:szCs w:val="20"/>
          <w:color w:val="auto"/>
        </w:rPr>
      </w:pPr>
      <w:r>
        <w:rPr>
          <w:rFonts w:ascii="Arial" w:cs="Arial" w:eastAsia="Arial" w:hAnsi="Arial"/>
          <w:sz w:val="18"/>
          <w:szCs w:val="18"/>
          <w:color w:val="auto"/>
        </w:rPr>
        <w:t>Title:</w:t>
        <w:tab/>
        <w:t>Director, ICR</w:t>
      </w:r>
    </w:p>
    <w:p>
      <w:pPr>
        <w:spacing w:after="0" w:line="35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Versant Venture Capital VI, L.P.</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Versant Ventures VI GP, L.P.</w:t>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Versant Ventures VI GP-GP, LLC</w:t>
      </w:r>
    </w:p>
    <w:p>
      <w:pPr>
        <w:spacing w:after="0" w:line="22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Bradley Bolzon</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-129540</wp:posOffset>
            </wp:positionV>
            <wp:extent cx="243713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ind w:left="6120"/>
        <w:spacing w:after="0"/>
        <w:tabs>
          <w:tab w:leader="none" w:pos="66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280"/>
          </w:cols>
          <w:pgMar w:left="920" w:top="268" w:right="699"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w:t>
      </w:r>
    </w:p>
    <w:p>
      <w:pPr>
        <w:spacing w:after="0" w:line="225" w:lineRule="exact"/>
        <w:rPr>
          <w:sz w:val="20"/>
          <w:szCs w:val="20"/>
          <w:color w:val="auto"/>
        </w:rPr>
      </w:pPr>
    </w:p>
    <w:p>
      <w:pPr>
        <w:ind w:left="-80" w:firstLine="444"/>
        <w:spacing w:after="0" w:line="255" w:lineRule="auto"/>
        <w:tabs>
          <w:tab w:leader="none" w:pos="534" w:val="left"/>
        </w:tabs>
        <w:numPr>
          <w:ilvl w:val="0"/>
          <w:numId w:val="397"/>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the “</w:t>
      </w:r>
      <w:r>
        <w:rPr>
          <w:rFonts w:ascii="Arial" w:cs="Arial" w:eastAsia="Arial" w:hAnsi="Arial"/>
          <w:sz w:val="18"/>
          <w:szCs w:val="18"/>
          <w:b w:val="1"/>
          <w:bCs w:val="1"/>
          <w:i w:val="1"/>
          <w:iCs w:val="1"/>
          <w:color w:val="auto"/>
        </w:rPr>
        <w:t>Ridgeline Key Team</w:t>
      </w:r>
      <w:r>
        <w:rPr>
          <w:rFonts w:ascii="Arial" w:cs="Arial" w:eastAsia="Arial" w:hAnsi="Arial"/>
          <w:sz w:val="18"/>
          <w:szCs w:val="18"/>
          <w:color w:val="auto"/>
        </w:rPr>
        <w:t>” shall initially mean Alexander Mayweg, CSO of Ridgeline, [***], and additional team members for scientific or laboratory expertise and work as required or required from time to time in consultation with the Company. Subject to the provisions of Section 2.1 hereof, Ridgeline shall use commercially reasonable efforts to provide, among others, the following Services as may be requested from time to time by the Company:</w:t>
      </w:r>
    </w:p>
    <w:p>
      <w:pPr>
        <w:spacing w:after="0" w:line="92" w:lineRule="exact"/>
        <w:rPr>
          <w:rFonts w:ascii="Arial" w:cs="Arial" w:eastAsia="Arial" w:hAnsi="Arial"/>
          <w:sz w:val="18"/>
          <w:szCs w:val="18"/>
          <w:b w:val="1"/>
          <w:bCs w:val="1"/>
          <w:color w:val="auto"/>
        </w:rPr>
      </w:pPr>
    </w:p>
    <w:p>
      <w:pPr>
        <w:ind w:left="1880" w:right="260" w:hanging="535"/>
        <w:spacing w:after="0" w:line="261" w:lineRule="auto"/>
        <w:tabs>
          <w:tab w:leader="none" w:pos="1880" w:val="left"/>
        </w:tabs>
        <w:numPr>
          <w:ilvl w:val="1"/>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Set up services</w:t>
      </w:r>
      <w:r>
        <w:rPr>
          <w:rFonts w:ascii="Arial" w:cs="Arial" w:eastAsia="Arial" w:hAnsi="Arial"/>
          <w:sz w:val="18"/>
          <w:szCs w:val="18"/>
          <w:color w:val="auto"/>
        </w:rPr>
        <w:t>. Ridgeline shall or may procure any necessary set up services such as company foundation, drafting or</w:t>
      </w:r>
      <w:r>
        <w:rPr>
          <w:rFonts w:ascii="Arial" w:cs="Arial" w:eastAsia="Arial" w:hAnsi="Arial"/>
          <w:sz w:val="18"/>
          <w:szCs w:val="18"/>
          <w:b w:val="1"/>
          <w:bCs w:val="1"/>
          <w:color w:val="auto"/>
        </w:rPr>
        <w:t xml:space="preserve"> </w:t>
      </w:r>
      <w:r>
        <w:rPr>
          <w:rFonts w:ascii="Arial" w:cs="Arial" w:eastAsia="Arial" w:hAnsi="Arial"/>
          <w:sz w:val="18"/>
          <w:szCs w:val="18"/>
          <w:color w:val="auto"/>
        </w:rPr>
        <w:t>creation or refinement of business plan, capital equipment and infrastructure to perform Services for Company, including office equipment, IT systems and furniture.</w:t>
      </w:r>
    </w:p>
    <w:p>
      <w:pPr>
        <w:spacing w:after="0" w:line="87" w:lineRule="exact"/>
        <w:rPr>
          <w:rFonts w:ascii="Arial" w:cs="Arial" w:eastAsia="Arial" w:hAnsi="Arial"/>
          <w:sz w:val="18"/>
          <w:szCs w:val="18"/>
          <w:b w:val="1"/>
          <w:bCs w:val="1"/>
          <w:color w:val="auto"/>
        </w:rPr>
      </w:pPr>
    </w:p>
    <w:p>
      <w:pPr>
        <w:ind w:left="1880" w:right="200" w:hanging="535"/>
        <w:spacing w:after="0" w:line="340" w:lineRule="auto"/>
        <w:tabs>
          <w:tab w:leader="none" w:pos="1880" w:val="left"/>
        </w:tabs>
        <w:numPr>
          <w:ilvl w:val="1"/>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Ridgeline shall or may provide to the Company general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pursuant to a research and development plan to be mutually agreed by the parties, including [***]</w:t>
      </w:r>
    </w:p>
    <w:p>
      <w:pPr>
        <w:spacing w:after="0" w:line="27" w:lineRule="exact"/>
        <w:rPr>
          <w:rFonts w:ascii="Arial" w:cs="Arial" w:eastAsia="Arial" w:hAnsi="Arial"/>
          <w:sz w:val="16"/>
          <w:szCs w:val="16"/>
          <w:b w:val="1"/>
          <w:bCs w:val="1"/>
          <w:color w:val="auto"/>
        </w:rPr>
      </w:pPr>
    </w:p>
    <w:p>
      <w:pPr>
        <w:ind w:left="1880" w:right="400" w:hanging="535"/>
        <w:spacing w:after="0" w:line="275" w:lineRule="auto"/>
        <w:tabs>
          <w:tab w:leader="none" w:pos="1880" w:val="left"/>
        </w:tabs>
        <w:numPr>
          <w:ilvl w:val="1"/>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and Administrative Services</w:t>
      </w:r>
      <w:r>
        <w:rPr>
          <w:rFonts w:ascii="Arial" w:cs="Arial" w:eastAsia="Arial" w:hAnsi="Arial"/>
          <w:sz w:val="18"/>
          <w:szCs w:val="18"/>
          <w:color w:val="auto"/>
        </w:rPr>
        <w:t>. Ridgeline shall or may provide management, strategic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as mutually agreed by the parties, including:</w:t>
      </w:r>
    </w:p>
    <w:p>
      <w:pPr>
        <w:spacing w:after="0" w:line="77" w:lineRule="exact"/>
        <w:rPr>
          <w:rFonts w:ascii="Arial" w:cs="Arial" w:eastAsia="Arial" w:hAnsi="Arial"/>
          <w:sz w:val="18"/>
          <w:szCs w:val="18"/>
          <w:b w:val="1"/>
          <w:bCs w:val="1"/>
          <w:color w:val="auto"/>
        </w:rPr>
      </w:pPr>
    </w:p>
    <w:p>
      <w:pPr>
        <w:ind w:left="2300" w:hanging="420"/>
        <w:spacing w:after="0"/>
        <w:tabs>
          <w:tab w:leader="none" w:pos="230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2300" w:hanging="420"/>
        <w:spacing w:after="0"/>
        <w:tabs>
          <w:tab w:leader="none" w:pos="230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2300" w:hanging="420"/>
        <w:spacing w:after="0"/>
        <w:tabs>
          <w:tab w:leader="none" w:pos="230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left="1880" w:hanging="535"/>
        <w:spacing w:after="0"/>
        <w:tabs>
          <w:tab w:leader="none" w:pos="1880" w:val="left"/>
        </w:tabs>
        <w:numPr>
          <w:ilvl w:val="1"/>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 Ridgeline shall provide such other Services as mutually agreed between Ridgeline and the Company.</w:t>
      </w:r>
    </w:p>
    <w:p>
      <w:pPr>
        <w:spacing w:after="0" w:line="224" w:lineRule="exact"/>
        <w:rPr>
          <w:rFonts w:ascii="Arial" w:cs="Arial" w:eastAsia="Arial" w:hAnsi="Arial"/>
          <w:sz w:val="18"/>
          <w:szCs w:val="18"/>
          <w:b w:val="1"/>
          <w:bCs w:val="1"/>
          <w:color w:val="auto"/>
        </w:rPr>
      </w:pPr>
    </w:p>
    <w:p>
      <w:pPr>
        <w:ind w:left="-80" w:right="100" w:firstLine="444"/>
        <w:spacing w:after="0" w:line="270" w:lineRule="auto"/>
        <w:tabs>
          <w:tab w:leader="none" w:pos="534" w:val="left"/>
        </w:tabs>
        <w:numPr>
          <w:ilvl w:val="0"/>
          <w:numId w:val="397"/>
        </w:numPr>
        <w:rPr>
          <w:rFonts w:ascii="Arial" w:cs="Arial" w:eastAsia="Arial" w:hAnsi="Arial"/>
          <w:sz w:val="17"/>
          <w:szCs w:val="17"/>
          <w:b w:val="1"/>
          <w:bCs w:val="1"/>
          <w:color w:val="auto"/>
        </w:rPr>
      </w:pPr>
      <w:r>
        <w:rPr>
          <w:rFonts w:ascii="Arial" w:cs="Arial" w:eastAsia="Arial" w:hAnsi="Arial"/>
          <w:sz w:val="17"/>
          <w:szCs w:val="17"/>
          <w:color w:val="auto"/>
        </w:rPr>
        <w:t>The Company shall pay Ridgeline per calendar quarter (or any partial quarter on a pro rata basis) for Services to be performed pursuant to this Agreement. Unless otherwise mutually agreed to by Ridgeline and the Company in writing prior to the commencement of Services in any calendar quarter, Ridgeline shall invoice the Company for the actual amounts incurred set forth in the table below (current estimates), on or about the [***] following each calendar quarter for the Services performed during the prior quarter, together with the amount of reimbursable costs and expenses incurred by Ridgeline on behalf of the Company pursuant to Section 2.2 hereof prior to such invoice. The Company agrees to pay all amounts due to Ridgeline arising under this Agreement within [***] of receipt of any such invoice.</w:t>
      </w:r>
    </w:p>
    <w:p>
      <w:pPr>
        <w:spacing w:after="0" w:line="178" w:lineRule="exact"/>
        <w:rPr>
          <w:rFonts w:ascii="Arial" w:cs="Arial" w:eastAsia="Arial" w:hAnsi="Arial"/>
          <w:sz w:val="17"/>
          <w:szCs w:val="17"/>
          <w:b w:val="1"/>
          <w:bCs w:val="1"/>
          <w:color w:val="auto"/>
        </w:rPr>
      </w:pPr>
    </w:p>
    <w:p>
      <w:pPr>
        <w:ind w:left="-80" w:right="80" w:firstLine="444"/>
        <w:spacing w:after="0" w:line="275" w:lineRule="auto"/>
        <w:tabs>
          <w:tab w:leader="none" w:pos="534" w:val="left"/>
        </w:tabs>
        <w:numPr>
          <w:ilvl w:val="0"/>
          <w:numId w:val="397"/>
        </w:numPr>
        <w:rPr>
          <w:rFonts w:ascii="Arial" w:cs="Arial" w:eastAsia="Arial" w:hAnsi="Arial"/>
          <w:sz w:val="17"/>
          <w:szCs w:val="17"/>
          <w:b w:val="1"/>
          <w:bCs w:val="1"/>
          <w:color w:val="auto"/>
        </w:rPr>
      </w:pPr>
      <w:r>
        <w:rPr>
          <w:rFonts w:ascii="Arial" w:cs="Arial" w:eastAsia="Arial" w:hAnsi="Arial"/>
          <w:sz w:val="17"/>
          <w:szCs w:val="17"/>
          <w:color w:val="auto"/>
        </w:rPr>
        <w:t>In connection with the Services to be provided hereunder, the Company will issue to Ridgeline an allocation (to be agreed by the Company board) of the Company’s Common Stock/Options Pool. Ridgeline may allocate and transfer such shares of the Company’s Common Stock to members of the Ridgeline Key Team from time to time according to an agreed vesting schedule, and the Company agrees to use commercially reasonable efforts to provide all necessary consents and to facilitate any such transfer of such shares.</w:t>
      </w:r>
    </w:p>
    <w:p>
      <w:pPr>
        <w:sectPr>
          <w:pgSz w:w="11900" w:h="16838" w:orient="portrait"/>
          <w:cols w:equalWidth="0" w:num="1">
            <w:col w:w="10780"/>
          </w:cols>
          <w:pgMar w:left="560" w:top="268" w:right="559" w:bottom="1440" w:gutter="0" w:footer="0" w:header="0"/>
        </w:sectPr>
      </w:pPr>
    </w:p>
    <w:bookmarkStart w:id="499" w:name="page500"/>
    <w:bookmarkEnd w:id="499"/>
    <w:p>
      <w:pPr>
        <w:jc w:val="both"/>
        <w:ind w:left="-60" w:right="20" w:firstLine="444"/>
        <w:spacing w:after="0" w:line="275" w:lineRule="auto"/>
        <w:tabs>
          <w:tab w:leader="none" w:pos="554" w:val="left"/>
        </w:tabs>
        <w:numPr>
          <w:ilvl w:val="0"/>
          <w:numId w:val="39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and Ridgeline acknowledge that the fees payable for Services have been set by reference to the costs expected to be incurred by Ridgeline in the provision of the Services to the Company, plus [***]. The currently projected cost estimates for Ridgeline set up, R&amp;D (including drug discovery and design), management and administrative services (excluding the [***]) are as follows, shown in millions CHF. These costs and timelines are subject to approval by the Company’s BOD and may be altered at the BOD level.</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-130175</wp:posOffset>
            </wp:positionV>
            <wp:extent cx="6938010" cy="8750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938010" cy="87503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ind w:left="-60" w:right="300" w:firstLine="444"/>
        <w:spacing w:after="0" w:line="271" w:lineRule="auto"/>
        <w:tabs>
          <w:tab w:leader="none" w:pos="554"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The Services fees and expense reimbursements shall be payable in CHF (Swiss Francs) (unless mutually agreed by the parties) and shall be subject to all applicable government regulations and rulings.</w:t>
      </w:r>
    </w:p>
    <w:p>
      <w:pPr>
        <w:spacing w:after="0" w:line="174" w:lineRule="exact"/>
        <w:rPr>
          <w:rFonts w:ascii="Arial" w:cs="Arial" w:eastAsia="Arial" w:hAnsi="Arial"/>
          <w:sz w:val="18"/>
          <w:szCs w:val="18"/>
          <w:b w:val="1"/>
          <w:bCs w:val="1"/>
          <w:color w:val="auto"/>
        </w:rPr>
      </w:pPr>
    </w:p>
    <w:p>
      <w:pPr>
        <w:ind w:left="-60" w:firstLine="444"/>
        <w:spacing w:after="0" w:line="270" w:lineRule="auto"/>
        <w:tabs>
          <w:tab w:leader="none" w:pos="554" w:val="left"/>
        </w:tabs>
        <w:numPr>
          <w:ilvl w:val="0"/>
          <w:numId w:val="399"/>
        </w:numPr>
        <w:rPr>
          <w:rFonts w:ascii="Arial" w:cs="Arial" w:eastAsia="Arial" w:hAnsi="Arial"/>
          <w:sz w:val="17"/>
          <w:szCs w:val="17"/>
          <w:b w:val="1"/>
          <w:bCs w:val="1"/>
          <w:color w:val="auto"/>
        </w:rPr>
      </w:pPr>
      <w:r>
        <w:rPr>
          <w:rFonts w:ascii="Arial" w:cs="Arial" w:eastAsia="Arial" w:hAnsi="Arial"/>
          <w:sz w:val="17"/>
          <w:szCs w:val="17"/>
          <w:color w:val="auto"/>
        </w:rPr>
        <w:t>The Company expressly acknowledges that Ridgeline is engaged in the business of facilitating the start-up, funding and ongoing operation of multiple biotechnology companies and providing management, scientific, business development, financial and other operational services to those companies and that neither Ridgeline nor any other company to which Ridgeline provides services shall have any exclusivity or similar obligation to the Company, including without limitation any corporate opportunity obligation or any obligation to disclose or make available to the Company any information, potential transaction or other matter of which any such Ridgeline Party becomes aware otherwise than solely in the course of performing Services under this Agreement on behalf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540" w:top="272" w:right="559" w:bottom="1440" w:gutter="0" w:footer="0" w:header="0"/>
        </w:sectPr>
      </w:pPr>
    </w:p>
    <w:bookmarkStart w:id="500" w:name="page501"/>
    <w:bookmarkEnd w:id="500"/>
    <w:p>
      <w:pPr>
        <w:ind w:left="9920"/>
        <w:spacing w:after="0"/>
        <w:rPr>
          <w:sz w:val="20"/>
          <w:szCs w:val="20"/>
          <w:color w:val="auto"/>
        </w:rPr>
      </w:pPr>
      <w:r>
        <w:rPr>
          <w:rFonts w:ascii="Arial" w:cs="Arial" w:eastAsia="Arial" w:hAnsi="Arial"/>
          <w:sz w:val="16"/>
          <w:szCs w:val="16"/>
          <w:b w:val="1"/>
          <w:bCs w:val="1"/>
          <w:color w:val="auto"/>
        </w:rPr>
        <w:t>Exhibit 10.16</w:t>
      </w:r>
    </w:p>
    <w:p>
      <w:pPr>
        <w:spacing w:after="0" w:line="248" w:lineRule="exact"/>
        <w:rPr>
          <w:sz w:val="20"/>
          <w:szCs w:val="20"/>
          <w:color w:val="auto"/>
        </w:rPr>
      </w:pPr>
    </w:p>
    <w:p>
      <w:pPr>
        <w:jc w:val="center"/>
        <w:ind w:left="500" w:right="60"/>
        <w:spacing w:after="0" w:line="335"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SERVICES AGREEMENT</w:t>
      </w:r>
    </w:p>
    <w:p>
      <w:pPr>
        <w:spacing w:after="0" w:line="221" w:lineRule="exact"/>
        <w:rPr>
          <w:sz w:val="20"/>
          <w:szCs w:val="20"/>
          <w:color w:val="auto"/>
        </w:rPr>
      </w:pPr>
    </w:p>
    <w:p>
      <w:pPr>
        <w:ind w:right="920" w:firstLine="436"/>
        <w:spacing w:after="0" w:line="301" w:lineRule="auto"/>
        <w:rPr>
          <w:sz w:val="20"/>
          <w:szCs w:val="20"/>
          <w:color w:val="auto"/>
        </w:rPr>
      </w:pPr>
      <w:r>
        <w:rPr>
          <w:rFonts w:ascii="Arial" w:cs="Arial" w:eastAsia="Arial" w:hAnsi="Arial"/>
          <w:sz w:val="17"/>
          <w:szCs w:val="17"/>
          <w:color w:val="auto"/>
        </w:rPr>
        <w:t>THIS SERVICES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December 29, 2020, by and between Monte Rosa Therapeutics Ag (“</w:t>
      </w:r>
      <w:r>
        <w:rPr>
          <w:rFonts w:ascii="Arial" w:cs="Arial" w:eastAsia="Arial" w:hAnsi="Arial"/>
          <w:sz w:val="17"/>
          <w:szCs w:val="17"/>
          <w:u w:val="single" w:color="auto"/>
          <w:color w:val="auto"/>
        </w:rPr>
        <w:t>Recipient</w:t>
      </w:r>
      <w:r>
        <w:rPr>
          <w:rFonts w:ascii="Arial" w:cs="Arial" w:eastAsia="Arial" w:hAnsi="Arial"/>
          <w:sz w:val="17"/>
          <w:szCs w:val="17"/>
          <w:color w:val="auto"/>
        </w:rPr>
        <w:t>”), and Monte Rosa Therapeutics, Inc. (“</w:t>
      </w:r>
      <w:r>
        <w:rPr>
          <w:rFonts w:ascii="Arial" w:cs="Arial" w:eastAsia="Arial" w:hAnsi="Arial"/>
          <w:sz w:val="17"/>
          <w:szCs w:val="17"/>
          <w:u w:val="single" w:color="auto"/>
          <w:color w:val="auto"/>
        </w:rPr>
        <w:t>Service Company</w:t>
      </w:r>
      <w:r>
        <w:rPr>
          <w:rFonts w:ascii="Arial" w:cs="Arial" w:eastAsia="Arial" w:hAnsi="Arial"/>
          <w:sz w:val="17"/>
          <w:szCs w:val="17"/>
          <w:color w:val="auto"/>
        </w:rPr>
        <w:t>”) and shall be effective as of January 1, 2020.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Service Company is the parent company of the Recipient (together with the Service Company, the “</w:t>
      </w:r>
      <w:r>
        <w:rPr>
          <w:rFonts w:ascii="Arial" w:cs="Arial" w:eastAsia="Arial" w:hAnsi="Arial"/>
          <w:sz w:val="18"/>
          <w:szCs w:val="18"/>
          <w:u w:val="single" w:color="auto"/>
          <w:color w:val="auto"/>
        </w:rPr>
        <w:t>Group</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Recipient is, for tax purposes, the owner of the intellectual property for the Group;</w:t>
      </w:r>
    </w:p>
    <w:p>
      <w:pPr>
        <w:spacing w:after="0" w:line="221"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WHEREAS, Service Company agrees to provide or cause to be provided to Recipient certain research and development services and management, administrative and support services for Recipient’s business operations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on the terms set forth in this Agreement, including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w:t>
      </w:r>
    </w:p>
    <w:p>
      <w:pPr>
        <w:spacing w:after="0" w:line="186" w:lineRule="exact"/>
        <w:rPr>
          <w:sz w:val="20"/>
          <w:szCs w:val="20"/>
          <w:color w:val="auto"/>
        </w:rPr>
      </w:pPr>
    </w:p>
    <w:p>
      <w:pPr>
        <w:ind w:right="660" w:firstLine="436"/>
        <w:spacing w:after="0" w:line="271" w:lineRule="auto"/>
        <w:rPr>
          <w:sz w:val="20"/>
          <w:szCs w:val="20"/>
          <w:color w:val="auto"/>
        </w:rPr>
      </w:pPr>
      <w:r>
        <w:rPr>
          <w:rFonts w:ascii="Arial" w:cs="Arial" w:eastAsia="Arial" w:hAnsi="Arial"/>
          <w:sz w:val="18"/>
          <w:szCs w:val="18"/>
          <w:color w:val="auto"/>
        </w:rPr>
        <w:t>NOW, THEREFORE, subject to the terms, conditions, covenants and provisions of this Agreement, Recipient and Service Company each mutually covenant and agree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SERVICES PROVIDED</w:t>
      </w:r>
    </w:p>
    <w:p>
      <w:pPr>
        <w:spacing w:after="0" w:line="208" w:lineRule="exact"/>
        <w:rPr>
          <w:sz w:val="20"/>
          <w:szCs w:val="20"/>
          <w:color w:val="auto"/>
        </w:rPr>
      </w:pPr>
    </w:p>
    <w:p>
      <w:pPr>
        <w:ind w:right="280" w:firstLine="436"/>
        <w:spacing w:after="0" w:line="28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Services</w:t>
      </w:r>
      <w:r>
        <w:rPr>
          <w:rFonts w:ascii="Arial" w:cs="Arial" w:eastAsia="Arial" w:hAnsi="Arial"/>
          <w:sz w:val="17"/>
          <w:szCs w:val="17"/>
          <w:color w:val="auto"/>
        </w:rPr>
        <w:t>. Upon the terms and subject to the conditions set forth in this Agreement, Service Company will provide each of those services (hereinafter referred to individually as a “</w:t>
      </w:r>
      <w:r>
        <w:rPr>
          <w:rFonts w:ascii="Arial" w:cs="Arial" w:eastAsia="Arial" w:hAnsi="Arial"/>
          <w:sz w:val="17"/>
          <w:szCs w:val="17"/>
          <w:u w:val="single" w:color="auto"/>
          <w:color w:val="auto"/>
        </w:rPr>
        <w:t>Service</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attached hereto (which is incorporated herein and made a part of this Agreement) to Recipient, as such Services are needed during the term of this Agreement.</w:t>
      </w:r>
    </w:p>
    <w:p>
      <w:pPr>
        <w:spacing w:after="0" w:line="62"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Personnel</w:t>
      </w:r>
      <w:r>
        <w:rPr>
          <w:rFonts w:ascii="Arial" w:cs="Arial" w:eastAsia="Arial" w:hAnsi="Arial"/>
          <w:sz w:val="18"/>
          <w:szCs w:val="18"/>
          <w:color w:val="auto"/>
        </w:rPr>
        <w:t>. In providing the Services, Service Company may, as it deems necessary or appropriate, (i) use the personnel of Service Company or any affiliate thereof, and (ii) employ the services of reputable and qualified third parties.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Level of Services</w:t>
      </w:r>
      <w:r>
        <w:rPr>
          <w:rFonts w:ascii="Arial" w:cs="Arial" w:eastAsia="Arial" w:hAnsi="Arial"/>
          <w:sz w:val="18"/>
          <w:szCs w:val="18"/>
          <w:color w:val="auto"/>
        </w:rPr>
        <w:t>. The Services will be provided and utilized in good faith and in a reasonable manner by the parties hereto.</w:t>
      </w:r>
    </w:p>
    <w:p>
      <w:pPr>
        <w:spacing w:after="0" w:line="114" w:lineRule="exact"/>
        <w:rPr>
          <w:sz w:val="20"/>
          <w:szCs w:val="20"/>
          <w:color w:val="auto"/>
        </w:rPr>
      </w:pPr>
    </w:p>
    <w:p>
      <w:pPr>
        <w:ind w:right="120" w:firstLine="436"/>
        <w:spacing w:after="0" w:line="30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Service Company Access</w:t>
      </w:r>
      <w:r>
        <w:rPr>
          <w:rFonts w:ascii="Arial" w:cs="Arial" w:eastAsia="Arial" w:hAnsi="Arial"/>
          <w:sz w:val="16"/>
          <w:szCs w:val="16"/>
          <w:color w:val="auto"/>
        </w:rPr>
        <w:t>. To the extent reasonably required for personnel of Service Company to perform the Services, Recipient shall provide personnel of Service Company or its affiliates with any reasonably necessary access during normal business hours (to the extent practicable) to its equipment, office space, plants, telecommunications and computer equipment and systems, and any other areas and equipment.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w:t>
      </w:r>
    </w:p>
    <w:p>
      <w:pPr>
        <w:spacing w:after="0" w:line="208"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Invoices/Payment</w:t>
      </w:r>
      <w:r>
        <w:rPr>
          <w:rFonts w:ascii="Arial" w:cs="Arial" w:eastAsia="Arial" w:hAnsi="Arial"/>
          <w:sz w:val="18"/>
          <w:szCs w:val="18"/>
          <w:color w:val="auto"/>
        </w:rPr>
        <w:t xml:space="preserve">. For the initial period from January 1, 2020 through December 31, 2020 and thereafter at the end of each calendar month during the term hereof, Service Company, and/or its affiliates, will submit a single itemized invoice to Recipient for all Services provided to such Recipient during the calendar month just ended in accordance with the pricing of such Services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Payment of all undisputed invoiced amounts shall be made by check or electronic funds transmission in U.S. Dollars within [***] of the invoice date unless otherwise agreed to by the parties. Invoices not paid by the due date shall bear interest at the Applicable Federal Rate from the due date until payment is received. All payments shall be made to the account designated by Service Company.</w:t>
      </w:r>
    </w:p>
    <w:p>
      <w:pPr>
        <w:sectPr>
          <w:pgSz w:w="11900" w:h="16838" w:orient="portrait"/>
          <w:cols w:equalWidth="0" w:num="1">
            <w:col w:w="10920"/>
          </w:cols>
          <w:pgMar w:left="480" w:top="121" w:right="499" w:bottom="1440" w:gutter="0" w:footer="0" w:header="0"/>
        </w:sectPr>
      </w:pPr>
    </w:p>
    <w:bookmarkStart w:id="501" w:name="page502"/>
    <w:bookmarkEnd w:id="501"/>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Services Agreement – Page 2</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CONFIDENTIALITY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All information that is disclosed or provided by one 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to the other party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pursuant to this Agreement, whether in oral, written, graphic, electronic, or any other form, shall be the “Confidential Information”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disclosing party, except that all deliverables or results of Services, except as provided in </w:t>
      </w:r>
      <w:r>
        <w:rPr>
          <w:rFonts w:ascii="Arial" w:cs="Arial" w:eastAsia="Arial" w:hAnsi="Arial"/>
          <w:sz w:val="16"/>
          <w:szCs w:val="16"/>
          <w:u w:val="single" w:color="auto"/>
          <w:color w:val="auto"/>
        </w:rPr>
        <w:t>Section 4.3</w:t>
      </w:r>
      <w:r>
        <w:rPr>
          <w:rFonts w:ascii="Arial" w:cs="Arial" w:eastAsia="Arial" w:hAnsi="Arial"/>
          <w:sz w:val="16"/>
          <w:szCs w:val="16"/>
          <w:color w:val="auto"/>
        </w:rPr>
        <w:t>, shall be deemed the Confidential Information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Recipient. Except to the extent expressly authorized by this Agreement or by the other party in writing, during the term of this Agreement and for five</w:t>
      </w:r>
    </w:p>
    <w:p>
      <w:pPr>
        <w:spacing w:after="0" w:line="30" w:lineRule="exact"/>
        <w:rPr>
          <w:sz w:val="20"/>
          <w:szCs w:val="20"/>
          <w:color w:val="auto"/>
        </w:rPr>
      </w:pPr>
    </w:p>
    <w:p>
      <w:pPr>
        <w:ind w:right="80" w:firstLine="7"/>
        <w:spacing w:after="0" w:line="270" w:lineRule="auto"/>
        <w:tabs>
          <w:tab w:leader="none" w:pos="252" w:val="left"/>
        </w:tabs>
        <w:numPr>
          <w:ilvl w:val="0"/>
          <w:numId w:val="400"/>
        </w:numPr>
        <w:rPr>
          <w:rFonts w:ascii="Arial" w:cs="Arial" w:eastAsia="Arial" w:hAnsi="Arial"/>
          <w:sz w:val="17"/>
          <w:szCs w:val="17"/>
          <w:color w:val="auto"/>
        </w:rPr>
      </w:pPr>
      <w:r>
        <w:rPr>
          <w:rFonts w:ascii="Arial" w:cs="Arial" w:eastAsia="Arial" w:hAnsi="Arial"/>
          <w:sz w:val="17"/>
          <w:szCs w:val="17"/>
          <w:color w:val="auto"/>
        </w:rPr>
        <w:t>years thereafter, each party shall maintain in strict trust and confidence and shall not disclose to any third party or use for any purpose other than as provided for in this Agreement any Confidential Information of the other party. Service Company may use Recipient’s Confidential Information only to the extent required to perform the Services, and for no other purpose. Each party agrees that it shall not use the other party’s Confidential Information for any purpose or in any manner that would constitute a violation of applicable laws.</w:t>
      </w:r>
    </w:p>
    <w:p>
      <w:pPr>
        <w:spacing w:after="0" w:line="70"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Exceptions</w:t>
      </w:r>
      <w:r>
        <w:rPr>
          <w:rFonts w:ascii="Arial" w:cs="Arial" w:eastAsia="Arial" w:hAnsi="Arial"/>
          <w:sz w:val="16"/>
          <w:szCs w:val="16"/>
          <w:color w:val="auto"/>
        </w:rPr>
        <w:t xml:space="preserve">. The obligations of confidentiality and nonuse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apply to any specific portion of information that the Recipient can demonstrate by competent written proof: (a) is in the public domain or comes into the public domain through no fault of the Recipient;</w:t>
      </w:r>
    </w:p>
    <w:p>
      <w:pPr>
        <w:spacing w:after="0" w:line="1" w:lineRule="exact"/>
        <w:rPr>
          <w:sz w:val="20"/>
          <w:szCs w:val="20"/>
          <w:color w:val="auto"/>
        </w:rPr>
      </w:pPr>
    </w:p>
    <w:p>
      <w:pPr>
        <w:jc w:val="both"/>
        <w:ind w:right="140" w:firstLine="7"/>
        <w:spacing w:after="0" w:line="298" w:lineRule="auto"/>
        <w:tabs>
          <w:tab w:leader="none" w:pos="25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is furnished to the Recipient by a third party rightfully in possession of such information and not subject to a duty of confidentiality with respect thereto; (c) is already known by the Recipient at the time of receiving such Confidential Information from the Disclosing Party as evidenced by the Recipient’s prior written records; or (d) is independently developed by the Recipient without access to the Disclosing Party’s Confidential Information.</w:t>
      </w:r>
    </w:p>
    <w:p>
      <w:pPr>
        <w:spacing w:after="0" w:line="51"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Authorized Disclosure</w:t>
      </w:r>
      <w:r>
        <w:rPr>
          <w:rFonts w:ascii="Arial" w:cs="Arial" w:eastAsia="Arial" w:hAnsi="Arial"/>
          <w:sz w:val="17"/>
          <w:szCs w:val="17"/>
          <w:color w:val="auto"/>
        </w:rPr>
        <w:t>. Notwithstanding the foregoing in this ARTICLE III, the Recipient may disclose certain Confidential Information of the Disclosing Party to the extent such disclosure is required by law or regulation, or pursuant to a valid order of a court or other governmental body having jurisdiction, provided that the Recipient provides the Disclosing Party with reasonable prior written notice of such disclosure and reasonable assistance in obtaining a protective order or confidential treatment preventing or limiting the disclosure and/or requiring that the Confidential Information so disclosed be used only for the purposes for which the law or regulation required, or for which the order was issued.</w:t>
      </w:r>
    </w:p>
    <w:p>
      <w:pPr>
        <w:spacing w:after="0" w:line="69" w:lineRule="exact"/>
        <w:rPr>
          <w:sz w:val="20"/>
          <w:szCs w:val="20"/>
          <w:color w:val="auto"/>
        </w:rPr>
      </w:pPr>
    </w:p>
    <w:p>
      <w:pPr>
        <w:ind w:right="180" w:firstLine="436"/>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Upon termination or expiration of the Agreement, or upon written request of the Disclosing Party, the Recipient shall promptly return to the Disclosing Party or destroy all documents, notes and other tangible materials representing the Disclosing Party’s Confidential Information and all copies thereof; provided, however, that each party may retain a single archival copy of the other party’s Confidential Information for the sole purpose of facilitating compliance with the surviving provisions of this Agreement.</w:t>
      </w:r>
    </w:p>
    <w:p>
      <w:pPr>
        <w:sectPr>
          <w:pgSz w:w="11900" w:h="16838" w:orient="portrait"/>
          <w:cols w:equalWidth="0" w:num="1">
            <w:col w:w="10920"/>
          </w:cols>
          <w:pgMar w:left="480" w:top="272" w:right="499" w:bottom="1440" w:gutter="0" w:footer="0" w:header="0"/>
        </w:sectPr>
      </w:pPr>
    </w:p>
    <w:bookmarkStart w:id="502" w:name="page503"/>
    <w:bookmarkEnd w:id="502"/>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Services Agreement – Page 3</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w:t>
      </w:r>
    </w:p>
    <w:p>
      <w:pPr>
        <w:spacing w:after="0" w:line="208" w:lineRule="exact"/>
        <w:rPr>
          <w:sz w:val="20"/>
          <w:szCs w:val="20"/>
          <w:color w:val="auto"/>
        </w:rPr>
      </w:pPr>
    </w:p>
    <w:p>
      <w:pPr>
        <w:ind w:right="20" w:firstLine="436"/>
        <w:spacing w:after="0" w:line="30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Work for Hire</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4.3</w:t>
      </w:r>
      <w:r>
        <w:rPr>
          <w:rFonts w:ascii="Arial" w:cs="Arial" w:eastAsia="Arial" w:hAnsi="Arial"/>
          <w:sz w:val="17"/>
          <w:szCs w:val="17"/>
          <w:color w:val="auto"/>
        </w:rPr>
        <w:t>, all deliverables resulting from the Services provided under this Agreement are “Works Made for Hire” as defined in the U.S. Copyright Act and other copyrightable works will be deemed, upon creation, to be assigned to Recipient.</w:t>
      </w:r>
    </w:p>
    <w:p>
      <w:pPr>
        <w:spacing w:after="0" w:line="45" w:lineRule="exact"/>
        <w:rPr>
          <w:sz w:val="20"/>
          <w:szCs w:val="20"/>
          <w:color w:val="auto"/>
        </w:rPr>
      </w:pPr>
    </w:p>
    <w:p>
      <w:pPr>
        <w:ind w:right="60" w:firstLine="436"/>
        <w:spacing w:after="0" w:line="28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Inventions and Assignment</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4.3</w:t>
      </w:r>
      <w:r>
        <w:rPr>
          <w:rFonts w:ascii="Arial" w:cs="Arial" w:eastAsia="Arial" w:hAnsi="Arial"/>
          <w:sz w:val="16"/>
          <w:szCs w:val="16"/>
          <w:color w:val="auto"/>
        </w:rPr>
        <w:t>, any materials, data, processes, documents, deliverables, information (including Confidential Information), discoveries, inventions, know-how and the like developed or generated by or on behalf of Service Company during the course of performing Services, whether or not patentable, and all related patent, copyright and other intellectual property rights in any of the foregoing (collectively the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the sole and exclusive property of Recipient. Service Company hereby assigns, and to the extent it cannot presently assign, agrees to assign, to Recipient all of Service Company’s worldwide right, title and interest in and to such Inventions. Service Company shall assist Recipient in securing for Recipient any patents, copyrights or other proprietary rights in such Inventions, and shall take such actions and execute such documents as Recipient may reasonably request in connection with providing such assistance or otherwise to vest in Recipient all right, title and interest in and to such Inventions, including without limitation any and all applications, assignments or other instruments. Service Company shall be compensated for all of its reasonable out-of-pocket costs and expenses associated with such requested assistance. To the extent Inventions cannot be assigned to Recipient under this ARTICLE IV, Service Company grants to Recipient an exclusive perpetual, irrevocable, transferable, fully paid-up, worldwide license, with the right to grant sublicenses, under such Inventions for any and all purposes.</w:t>
      </w:r>
    </w:p>
    <w:p>
      <w:pPr>
        <w:spacing w:after="0" w:line="66"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Service Company Property</w:t>
      </w:r>
      <w:r>
        <w:rPr>
          <w:rFonts w:ascii="Arial" w:cs="Arial" w:eastAsia="Arial" w:hAnsi="Arial"/>
          <w:sz w:val="17"/>
          <w:szCs w:val="17"/>
          <w:color w:val="auto"/>
        </w:rPr>
        <w:t>. Any (i) processes or process improvements developed by Service Company related to Service Company’s pre-existing technology that are general in nature and are not unique or specific to the targets or work performed for Recipient and as to which Recipient has not specifically funded development under this Agreement, and (ii) pre-existing patents, know-how or other technology or information owned or controlled by Service Company prior to the effective date of this Agreement and that are incorporated into or embodied in any Inventions or deliverables provided by Service Company under this Agreement will be owned by Service Company. For clarity, such pre-existing technology or pre-existing patents, know-how or other technology or information owned or controlled by Service Company shall not include any such technology, patents, know-how or information which has been assigned or exclusively licensed to Recipient or any third party. Service Company hereby grants to Recipient a perpetual, irrevocable, non-exclusive, worldwide, royalty-free, fully paid-up license (with a right to grant sublicenses) under Service Company’s intellectual property rights solely to the extent necessary for Recipient to utilize the Inventions and the other deliverables of Services for any purpose. The foregoing license may be sublicensed by Recipient in connection with the transfer by Recipient of the deliverables or Inventions to which the license relates.</w:t>
      </w:r>
    </w:p>
    <w:p>
      <w:pPr>
        <w:spacing w:after="0" w:line="78"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 Other License Grant</w:t>
      </w:r>
      <w:r>
        <w:rPr>
          <w:rFonts w:ascii="Arial" w:cs="Arial" w:eastAsia="Arial" w:hAnsi="Arial"/>
          <w:sz w:val="17"/>
          <w:szCs w:val="17"/>
          <w:color w:val="auto"/>
        </w:rPr>
        <w:t>. Except as expressly set forth in this Agreement, nothing in this Agreement, nor the delivery of any information or materials to Service Company by Recipient (or any third party acting on its behalf) in connection with Service Company’s performance of Services under this Agreement shall be deemed to grant to either party any right or license under any patents, patent applications, know-how, technology, inventions or other intellectual property of the other party. Notwithstanding anything in this Agreement to the contrary, Recipient shall own all right, title and interest in and to all inventions, know-how, information and materials, and all related intellectual property rights, that arise from Recipient’s use of Inventions and the other deliverables and results of Services arising from this Agreement.</w:t>
      </w:r>
    </w:p>
    <w:p>
      <w:pPr>
        <w:spacing w:after="0" w:line="7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Subcontractors</w:t>
      </w:r>
      <w:r>
        <w:rPr>
          <w:rFonts w:ascii="Arial" w:cs="Arial" w:eastAsia="Arial" w:hAnsi="Arial"/>
          <w:sz w:val="18"/>
          <w:szCs w:val="18"/>
          <w:color w:val="auto"/>
        </w:rPr>
        <w:t>. Service Company will ensure that its agreement with any permitted subcontractor includes the assignment of any Inventions to Recipient or to the Service Company, with the right of further transfer to Recipient.</w:t>
      </w:r>
    </w:p>
    <w:p>
      <w:pPr>
        <w:sectPr>
          <w:pgSz w:w="11900" w:h="16838" w:orient="portrait"/>
          <w:cols w:equalWidth="0" w:num="1">
            <w:col w:w="10920"/>
          </w:cols>
          <w:pgMar w:left="480" w:top="272" w:right="499" w:bottom="1440" w:gutter="0" w:footer="0" w:header="0"/>
        </w:sectPr>
      </w:pPr>
    </w:p>
    <w:bookmarkStart w:id="503" w:name="page504"/>
    <w:bookmarkEnd w:id="503"/>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Services Agreement – Page 4</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w:t>
      </w:r>
    </w:p>
    <w:p>
      <w:pPr>
        <w:spacing w:after="0" w:line="208"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on the date hereof and shall remain in force until the parties hereto mutually agree to terminate. The date of mutually agreed upon termination, is referred to as 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68"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Effects; Survival of Certain Obligations</w:t>
      </w:r>
      <w:r>
        <w:rPr>
          <w:rFonts w:ascii="Arial" w:cs="Arial" w:eastAsia="Arial" w:hAnsi="Arial"/>
          <w:sz w:val="16"/>
          <w:szCs w:val="16"/>
          <w:color w:val="auto"/>
        </w:rPr>
        <w:t xml:space="preserve">. In the event of a termination or expiration of this Agreement in accordance with the terms hereof, this Agreement shall immediately become null and void and have no effect, and none of the parties shall have any liability of any nature whatsoever hereunder, or in connection with the transactions contemplated hereby, except that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all other obligations of the parties specifically intended to be performed after the termination of this Agreement shall survive any termination of this Agreement. All obligations of Recipient and Service Company under this Agreement that arose prior to its termination or expiration and that have not been fully performed in accordance with the terms of this Agreement prior to such termination or expiration shall survive any such termination or expiration of this Agreement.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08" w:lineRule="exact"/>
        <w:rPr>
          <w:sz w:val="20"/>
          <w:szCs w:val="20"/>
          <w:color w:val="auto"/>
        </w:rPr>
      </w:pPr>
    </w:p>
    <w:p>
      <w:pPr>
        <w:ind w:right="240" w:firstLine="436"/>
        <w:spacing w:after="0" w:line="30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Complete Agreement</w:t>
      </w:r>
      <w:r>
        <w:rPr>
          <w:rFonts w:ascii="Arial" w:cs="Arial" w:eastAsia="Arial" w:hAnsi="Arial"/>
          <w:sz w:val="17"/>
          <w:szCs w:val="17"/>
          <w:color w:val="auto"/>
        </w:rPr>
        <w:t xml:space="preserve">. This Agreement, together with </w:t>
      </w:r>
      <w:r>
        <w:rPr>
          <w:rFonts w:ascii="Arial" w:cs="Arial" w:eastAsia="Arial" w:hAnsi="Arial"/>
          <w:sz w:val="17"/>
          <w:szCs w:val="17"/>
          <w:u w:val="single" w:color="auto"/>
          <w:color w:val="auto"/>
        </w:rPr>
        <w:t>Appendix A</w:t>
      </w:r>
      <w:r>
        <w:rPr>
          <w:rFonts w:ascii="Arial" w:cs="Arial" w:eastAsia="Arial" w:hAnsi="Arial"/>
          <w:sz w:val="17"/>
          <w:szCs w:val="17"/>
          <w:color w:val="auto"/>
        </w:rPr>
        <w:t>, constitutes the entire agreement and supersedes all prior agreements and understandings, both written and oral, among the parties hereto, or any of them, with respect to the subject matter hereof.</w:t>
      </w:r>
    </w:p>
    <w:p>
      <w:pPr>
        <w:spacing w:after="0" w:line="45" w:lineRule="exact"/>
        <w:rPr>
          <w:sz w:val="20"/>
          <w:szCs w:val="20"/>
          <w:color w:val="auto"/>
        </w:rPr>
      </w:pPr>
    </w:p>
    <w:p>
      <w:pPr>
        <w:ind w:right="380" w:firstLine="436"/>
        <w:spacing w:after="0" w:line="39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counterparts, all of which shall be considered one and the same agreement and shall become effective when counterparts have been signed by each of the parties, it being understood that all parties need not sign the same counterpart.</w:t>
      </w:r>
    </w:p>
    <w:p>
      <w:pPr>
        <w:spacing w:after="0" w:line="1"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The parties may mutually amend or waive any provision of this Agreement at any time. No amendment or waiver of any provision of this Agreement shall be valid unless the same shall be in writing and signed by each of the parties.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86"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Assignment; Reliance of Other Parties</w:t>
      </w:r>
      <w:r>
        <w:rPr>
          <w:rFonts w:ascii="Arial" w:cs="Arial" w:eastAsia="Arial" w:hAnsi="Arial"/>
          <w:sz w:val="16"/>
          <w:szCs w:val="16"/>
          <w:color w:val="auto"/>
        </w:rPr>
        <w:t xml:space="preserve">. Neither this Agreement nor any of the rights, interests or obligations hereunder shall be assigned by any of the parties hereto in whole or in part (whether by operation of law or otherwise) without the prior written consent of the other parties and any attempt to make any such assignment without such consent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that Recipient may, without the consent of Service Company, assign this Agreement to any acquirer of all or substantially all of the business and assets of Recipient, whether by acquisition of assets, merger or otherwise. Subject to the preceding sentence, this Agreement will be binding upon, inure to the benefit of and be enforceable by the parties and their respective successors and assigns. This Agreement (including the documents and instruments referred to herein) is not intended to confer upon any person or entity other than the parties hereto any rights or remedies under or by reason of this Agreement.</w:t>
      </w:r>
    </w:p>
    <w:p>
      <w:pPr>
        <w:spacing w:after="0" w:line="59" w:lineRule="exact"/>
        <w:rPr>
          <w:sz w:val="20"/>
          <w:szCs w:val="20"/>
          <w:color w:val="auto"/>
        </w:rPr>
      </w:pPr>
    </w:p>
    <w:p>
      <w:pPr>
        <w:ind w:right="520" w:firstLine="436"/>
        <w:spacing w:after="0" w:line="27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shall be governed by and construed in accordance with the laws of the State of Massachusetts without regard to its rules of conflict of laws.</w:t>
      </w:r>
    </w:p>
    <w:p>
      <w:pPr>
        <w:spacing w:after="0" w:line="68"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provisions of this Agreement shall for any reason be held invalid, illegal or unenforceable in any respect, by any court of competent jurisdiction, such invalidity, illegality or unenforceability shall not affect any other provisions of this Agreement and the parties shall use their reasonable best efforts to substitute a valid, legal and enforceable provision which, insofar as practicable, implements the original purposes and intents of this Agreement.</w:t>
      </w:r>
    </w:p>
    <w:p>
      <w:pPr>
        <w:sectPr>
          <w:pgSz w:w="11900" w:h="16838" w:orient="portrait"/>
          <w:cols w:equalWidth="0" w:num="1">
            <w:col w:w="10900"/>
          </w:cols>
          <w:pgMar w:left="480" w:top="272" w:right="519" w:bottom="1440" w:gutter="0" w:footer="0" w:header="0"/>
        </w:sectPr>
      </w:pPr>
    </w:p>
    <w:bookmarkStart w:id="504" w:name="page505"/>
    <w:bookmarkEnd w:id="50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Services Agreement – Page 5</w:t>
      </w:r>
    </w:p>
    <w:p>
      <w:pPr>
        <w:spacing w:after="0" w:line="15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Nothing in this Agreement is intended or should be construed to create a partnership, joint venture, or employer-employee relationship between Recipient and any of Service Company’s employees or agents. Service Company is not the agent of Recipient and is not authorized, and, except as otherwise provided herein with respect to performance of the Services, must not represent to any third party that it is authorized, to make any commitment or otherwise act on behalf of Recipient.</w:t>
      </w:r>
    </w:p>
    <w:p>
      <w:pPr>
        <w:sectPr>
          <w:pgSz w:w="11900" w:h="16838" w:orient="portrait"/>
          <w:cols w:equalWidth="0" w:num="1">
            <w:col w:w="10840"/>
          </w:cols>
          <w:pgMar w:left="480" w:top="272" w:right="579" w:bottom="1440" w:gutter="0" w:footer="0" w:header="0"/>
        </w:sectPr>
      </w:pPr>
    </w:p>
    <w:bookmarkStart w:id="505" w:name="page506"/>
    <w:bookmarkEnd w:id="5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hereto have caused this Agreement to be executed the day and year first above written.</w:t>
      </w:r>
    </w:p>
    <w:p>
      <w:pPr>
        <w:spacing w:after="0" w:line="26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MONTE ROSA THERAPEUTICS AG</w:t>
      </w:r>
    </w:p>
    <w:p>
      <w:pPr>
        <w:spacing w:after="0" w:line="22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Markus Warmuth, M.D.</w:t>
      </w:r>
    </w:p>
    <w:p>
      <w:pPr>
        <w:spacing w:after="0" w:line="20"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Director, Authorized Signatory</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MONTE ROSA THERAPEUTICS, INC.</w:t>
      </w:r>
    </w:p>
    <w:p>
      <w:pPr>
        <w:spacing w:after="0" w:line="236"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Ajim Tamboli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Ajim Tamboli</w:t>
      </w:r>
    </w:p>
    <w:p>
      <w:pPr>
        <w:spacing w:after="0" w:line="20"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Chief Financial Officer</w:t>
      </w:r>
    </w:p>
    <w:p>
      <w:pPr>
        <w:spacing w:after="0" w:line="2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Services Agreement Signature Page</w:t>
      </w:r>
    </w:p>
    <w:p>
      <w:pPr>
        <w:sectPr>
          <w:pgSz w:w="11900" w:h="16838" w:orient="portrait"/>
          <w:cols w:equalWidth="0" w:num="1">
            <w:col w:w="9539"/>
          </w:cols>
          <w:pgMar w:left="920" w:top="272" w:right="1440" w:bottom="1440" w:gutter="0" w:footer="0" w:header="0"/>
        </w:sectPr>
      </w:pPr>
    </w:p>
    <w:bookmarkStart w:id="506" w:name="page507"/>
    <w:bookmarkEnd w:id="50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APPENDIX A: SERVICES; PRICING</w:t>
      </w:r>
    </w:p>
    <w:p>
      <w:pPr>
        <w:spacing w:after="0" w:line="248" w:lineRule="exact"/>
        <w:rPr>
          <w:sz w:val="20"/>
          <w:szCs w:val="20"/>
          <w:color w:val="auto"/>
        </w:rPr>
      </w:pPr>
    </w:p>
    <w:p>
      <w:pPr>
        <w:ind w:left="440" w:hanging="433"/>
        <w:spacing w:after="0"/>
        <w:tabs>
          <w:tab w:leader="none" w:pos="4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Services</w:t>
      </w:r>
    </w:p>
    <w:p>
      <w:pPr>
        <w:spacing w:after="0" w:line="118"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Service Company shall perform such research and development activities, as mutually agreed to with Recipient, during the term of this agreement, to support the development, maintenance and support of Recipient’s intellectual property portfolio.</w:t>
      </w:r>
    </w:p>
    <w:p>
      <w:pPr>
        <w:spacing w:after="0" w:line="318" w:lineRule="exact"/>
        <w:rPr>
          <w:sz w:val="20"/>
          <w:szCs w:val="20"/>
          <w:color w:val="auto"/>
        </w:rPr>
      </w:pPr>
    </w:p>
    <w:p>
      <w:pPr>
        <w:ind w:left="440" w:hanging="433"/>
        <w:spacing w:after="0"/>
        <w:tabs>
          <w:tab w:leader="none" w:pos="4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Administrative and Support Services</w:t>
      </w:r>
    </w:p>
    <w:p>
      <w:pPr>
        <w:spacing w:after="0" w:line="118" w:lineRule="exact"/>
        <w:rPr>
          <w:sz w:val="20"/>
          <w:szCs w:val="20"/>
          <w:color w:val="auto"/>
        </w:rPr>
      </w:pPr>
    </w:p>
    <w:p>
      <w:pPr>
        <w:ind w:right="120" w:firstLine="436"/>
        <w:spacing w:after="0" w:line="307" w:lineRule="auto"/>
        <w:rPr>
          <w:sz w:val="20"/>
          <w:szCs w:val="20"/>
          <w:color w:val="auto"/>
        </w:rPr>
      </w:pPr>
      <w:r>
        <w:rPr>
          <w:rFonts w:ascii="Arial" w:cs="Arial" w:eastAsia="Arial" w:hAnsi="Arial"/>
          <w:sz w:val="16"/>
          <w:szCs w:val="16"/>
          <w:color w:val="auto"/>
        </w:rPr>
        <w:t>Service Company shall make available to Recipient, during the term of this agreement, certain management, administrative and support services, as mutually agreed to with Recipient, to assist Recipient in conducting its business operations. The Services may include, but are not limited to, management, financial, investment, human resource services, information systems, and other services as the parties may agree to from time to time.</w:t>
      </w:r>
    </w:p>
    <w:p>
      <w:pPr>
        <w:spacing w:after="0" w:line="2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III.</w:t>
        <w:tab/>
        <w:t>PRICING</w:t>
      </w:r>
    </w:p>
    <w:p>
      <w:pPr>
        <w:spacing w:after="0" w:line="131" w:lineRule="exact"/>
        <w:rPr>
          <w:sz w:val="20"/>
          <w:szCs w:val="20"/>
          <w:color w:val="auto"/>
        </w:rPr>
      </w:pPr>
    </w:p>
    <w:p>
      <w:pPr>
        <w:ind w:left="440" w:right="9860" w:hanging="433"/>
        <w:spacing w:after="0" w:line="488" w:lineRule="auto"/>
        <w:tabs>
          <w:tab w:leader="none" w:pos="432" w:val="left"/>
        </w:tabs>
        <w:numPr>
          <w:ilvl w:val="0"/>
          <w:numId w:val="404"/>
        </w:numPr>
        <w:rPr>
          <w:rFonts w:ascii="Arial" w:cs="Arial" w:eastAsia="Arial" w:hAnsi="Arial"/>
          <w:sz w:val="14"/>
          <w:szCs w:val="14"/>
          <w:color w:val="auto"/>
        </w:rPr>
      </w:pPr>
      <w:r>
        <w:rPr>
          <w:rFonts w:ascii="Arial" w:cs="Arial" w:eastAsia="Arial" w:hAnsi="Arial"/>
          <w:sz w:val="14"/>
          <w:szCs w:val="14"/>
          <w:color w:val="auto"/>
        </w:rPr>
        <w:t>Services [***]</w:t>
      </w:r>
    </w:p>
    <w:p>
      <w:pPr>
        <w:ind w:left="440" w:hanging="433"/>
        <w:spacing w:after="0"/>
        <w:tabs>
          <w:tab w:leader="none" w:pos="4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Out-of-Pocket Expenses</w:t>
      </w:r>
    </w:p>
    <w:p>
      <w:pPr>
        <w:spacing w:after="0" w:line="221"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Service Company shall invoice Recipient for all direct expenses incurred or paid by Service Company in the performance of the Services under this Agreement.</w:t>
      </w:r>
    </w:p>
    <w:p>
      <w:pPr>
        <w:sectPr>
          <w:pgSz w:w="11900" w:h="16838" w:orient="portrait"/>
          <w:cols w:equalWidth="0" w:num="1">
            <w:col w:w="10900"/>
          </w:cols>
          <w:pgMar w:left="480" w:top="267" w:right="519" w:bottom="1440" w:gutter="0" w:footer="0" w:header="0"/>
        </w:sectPr>
      </w:pPr>
    </w:p>
    <w:bookmarkStart w:id="507" w:name="page508"/>
    <w:bookmarkEnd w:id="507"/>
    <w:p>
      <w:pPr>
        <w:ind w:left="9920"/>
        <w:spacing w:after="0"/>
        <w:rPr>
          <w:sz w:val="20"/>
          <w:szCs w:val="20"/>
          <w:color w:val="auto"/>
        </w:rPr>
      </w:pPr>
      <w:r>
        <w:rPr>
          <w:rFonts w:ascii="Arial" w:cs="Arial" w:eastAsia="Arial" w:hAnsi="Arial"/>
          <w:sz w:val="16"/>
          <w:szCs w:val="16"/>
          <w:b w:val="1"/>
          <w:bCs w:val="1"/>
          <w:color w:val="auto"/>
        </w:rPr>
        <w:t>Exhibit 10.17</w:t>
      </w:r>
    </w:p>
    <w:p>
      <w:pPr>
        <w:spacing w:after="0" w:line="248" w:lineRule="exact"/>
        <w:rPr>
          <w:sz w:val="20"/>
          <w:szCs w:val="20"/>
          <w:color w:val="auto"/>
        </w:rPr>
      </w:pPr>
    </w:p>
    <w:p>
      <w:pPr>
        <w:jc w:val="center"/>
        <w:ind w:left="500" w:right="60"/>
        <w:spacing w:after="0" w:line="335"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3105150</wp:posOffset>
            </wp:positionV>
            <wp:extent cx="69297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2.7: Background IP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[separate Document]</w:t>
      </w:r>
    </w:p>
    <w:p>
      <w:pPr>
        <w:sectPr>
          <w:pgSz w:w="11900" w:h="16838" w:orient="portrait"/>
          <w:cols w:equalWidth="0" w:num="1">
            <w:col w:w="10920"/>
          </w:cols>
          <w:pgMar w:left="480" w:top="120" w:right="499" w:bottom="1440" w:gutter="0" w:footer="0" w:header="0"/>
        </w:sectPr>
      </w:pPr>
    </w:p>
    <w:bookmarkStart w:id="508" w:name="page509"/>
    <w:bookmarkEnd w:id="5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w:t>
      </w:r>
    </w:p>
    <w:p>
      <w:pPr>
        <w:spacing w:after="0" w:line="221" w:lineRule="exact"/>
        <w:rPr>
          <w:sz w:val="20"/>
          <w:szCs w:val="20"/>
          <w:color w:val="auto"/>
        </w:rPr>
      </w:pPr>
    </w:p>
    <w:p>
      <w:pPr>
        <w:ind w:left="4320" w:right="2399" w:hanging="1931"/>
        <w:spacing w:after="0" w:line="496" w:lineRule="auto"/>
        <w:tabs>
          <w:tab w:leader="none" w:pos="2651"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CANCER RESEARCH TECHNOLOGY LIMITED AND</w:t>
      </w:r>
    </w:p>
    <w:p>
      <w:pPr>
        <w:ind w:left="4320" w:right="2619" w:hanging="1705"/>
        <w:spacing w:after="0" w:line="496" w:lineRule="auto"/>
        <w:tabs>
          <w:tab w:leader="none" w:pos="2876"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THE INSTITUTE OF CANCER RESEARCH AND</w:t>
      </w:r>
    </w:p>
    <w:p>
      <w:pPr>
        <w:ind w:left="3140" w:hanging="250"/>
        <w:spacing w:after="0"/>
        <w:tabs>
          <w:tab w:leader="none" w:pos="3140" w:val="left"/>
        </w:tabs>
        <w:numPr>
          <w:ilvl w:val="2"/>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MONTE ROSA THERAPEUTICS AG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10, 2018</w:t>
      </w:r>
    </w:p>
    <w:p>
      <w:pPr>
        <w:sectPr>
          <w:pgSz w:w="11900" w:h="16838" w:orient="portrait"/>
          <w:cols w:equalWidth="0" w:num="1">
            <w:col w:w="9019"/>
          </w:cols>
          <w:pgMar w:left="1440" w:top="1440" w:right="1440"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31"/>
        </w:trPr>
        <w:tc>
          <w:tcPr>
            <w:tcW w:w="280" w:type="dxa"/>
            <w:vAlign w:val="bottom"/>
          </w:tcPr>
          <w:p>
            <w:pPr>
              <w:spacing w:after="0"/>
              <w:rPr>
                <w:sz w:val="20"/>
                <w:szCs w:val="20"/>
                <w:color w:val="auto"/>
              </w:rPr>
            </w:pPr>
          </w:p>
        </w:tc>
        <w:tc>
          <w:tcPr>
            <w:tcW w:w="8080" w:type="dxa"/>
            <w:vAlign w:val="bottom"/>
          </w:tcPr>
          <w:p>
            <w:pPr>
              <w:ind w:left="452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r>
      <w:tr>
        <w:trPr>
          <w:trHeight w:val="405"/>
        </w:trPr>
        <w:tc>
          <w:tcPr>
            <w:tcW w:w="2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1"/>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08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080" w:type="dxa"/>
            <w:vAlign w:val="bottom"/>
          </w:tcPr>
          <w:p>
            <w:pPr>
              <w:ind w:left="40"/>
              <w:spacing w:after="0"/>
              <w:rPr>
                <w:sz w:val="20"/>
                <w:szCs w:val="20"/>
                <w:color w:val="auto"/>
              </w:rPr>
            </w:pPr>
            <w:r>
              <w:rPr>
                <w:rFonts w:ascii="Arial" w:cs="Arial" w:eastAsia="Arial" w:hAnsi="Arial"/>
                <w:sz w:val="18"/>
                <w:szCs w:val="18"/>
                <w:color w:val="auto"/>
              </w:rPr>
              <w:t>LICENCES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08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08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080" w:type="dxa"/>
            <w:vAlign w:val="bottom"/>
          </w:tcPr>
          <w:p>
            <w:pPr>
              <w:ind w:left="40"/>
              <w:spacing w:after="0"/>
              <w:rPr>
                <w:sz w:val="20"/>
                <w:szCs w:val="20"/>
                <w:color w:val="auto"/>
              </w:rPr>
            </w:pPr>
            <w:r>
              <w:rPr>
                <w:rFonts w:ascii="Arial" w:cs="Arial" w:eastAsia="Arial" w:hAnsi="Arial"/>
                <w:sz w:val="18"/>
                <w:szCs w:val="18"/>
                <w:color w:val="auto"/>
              </w:rPr>
              <w:t>INTELLECTUAL PROPERTY PROTECTION, PROCEEDINGS AND COSTS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08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080" w:type="dxa"/>
            <w:vAlign w:val="bottom"/>
          </w:tcPr>
          <w:p>
            <w:pPr>
              <w:ind w:left="40"/>
              <w:spacing w:after="0"/>
              <w:rPr>
                <w:sz w:val="20"/>
                <w:szCs w:val="20"/>
                <w:color w:val="auto"/>
              </w:rPr>
            </w:pPr>
            <w:r>
              <w:rPr>
                <w:rFonts w:ascii="Arial" w:cs="Arial" w:eastAsia="Arial" w:hAnsi="Arial"/>
                <w:sz w:val="18"/>
                <w:szCs w:val="18"/>
                <w:color w:val="auto"/>
              </w:rPr>
              <w:t>INDEMNITY</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08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08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080" w:type="dxa"/>
            <w:vAlign w:val="bottom"/>
          </w:tcPr>
          <w:p>
            <w:pPr>
              <w:ind w:left="40"/>
              <w:spacing w:after="0"/>
              <w:rPr>
                <w:sz w:val="20"/>
                <w:szCs w:val="20"/>
                <w:color w:val="auto"/>
              </w:rPr>
            </w:pPr>
            <w:r>
              <w:rPr>
                <w:rFonts w:ascii="Arial" w:cs="Arial" w:eastAsia="Arial" w:hAnsi="Arial"/>
                <w:sz w:val="18"/>
                <w:szCs w:val="18"/>
                <w:color w:val="auto"/>
              </w:rPr>
              <w:t>PUBLICATIONS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080" w:type="dxa"/>
            <w:vAlign w:val="bottom"/>
          </w:tcPr>
          <w:p>
            <w:pPr>
              <w:ind w:left="40"/>
              <w:spacing w:after="0"/>
              <w:rPr>
                <w:sz w:val="20"/>
                <w:szCs w:val="20"/>
                <w:color w:val="auto"/>
              </w:rPr>
            </w:pPr>
            <w:r>
              <w:rPr>
                <w:rFonts w:ascii="Arial" w:cs="Arial" w:eastAsia="Arial" w:hAnsi="Arial"/>
                <w:sz w:val="18"/>
                <w:szCs w:val="18"/>
                <w:color w:val="auto"/>
              </w:rPr>
              <w:t>TERM AND 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080" w:type="dxa"/>
            <w:vAlign w:val="bottom"/>
          </w:tcPr>
          <w:p>
            <w:pPr>
              <w:ind w:left="40"/>
              <w:spacing w:after="0"/>
              <w:rPr>
                <w:sz w:val="20"/>
                <w:szCs w:val="20"/>
                <w:color w:val="auto"/>
              </w:rPr>
            </w:pPr>
            <w:r>
              <w:rPr>
                <w:rFonts w:ascii="Arial" w:cs="Arial" w:eastAsia="Arial" w:hAnsi="Arial"/>
                <w:sz w:val="18"/>
                <w:szCs w:val="18"/>
                <w:color w:val="auto"/>
              </w:rPr>
              <w:t>EFFECTS OF 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08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08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080" w:type="dxa"/>
            <w:vAlign w:val="bottom"/>
          </w:tcPr>
          <w:p>
            <w:pPr>
              <w:ind w:left="4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080" w:type="dxa"/>
            <w:vAlign w:val="bottom"/>
          </w:tcPr>
          <w:p>
            <w:pPr>
              <w:ind w:left="40"/>
              <w:spacing w:after="0"/>
              <w:rPr>
                <w:sz w:val="20"/>
                <w:szCs w:val="20"/>
                <w:color w:val="auto"/>
              </w:rPr>
            </w:pPr>
            <w:r>
              <w:rPr>
                <w:rFonts w:ascii="Arial" w:cs="Arial" w:eastAsia="Arial" w:hAnsi="Arial"/>
                <w:sz w:val="18"/>
                <w:szCs w:val="18"/>
                <w:color w:val="auto"/>
              </w:rPr>
              <w:t>VARIATION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0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080" w:type="dxa"/>
            <w:vAlign w:val="bottom"/>
          </w:tcPr>
          <w:p>
            <w:pPr>
              <w:ind w:left="40"/>
              <w:spacing w:after="0"/>
              <w:rPr>
                <w:sz w:val="20"/>
                <w:szCs w:val="20"/>
                <w:color w:val="auto"/>
              </w:rPr>
            </w:pPr>
            <w:r>
              <w:rPr>
                <w:rFonts w:ascii="Arial" w:cs="Arial" w:eastAsia="Arial" w:hAnsi="Arial"/>
                <w:sz w:val="18"/>
                <w:szCs w:val="18"/>
                <w:color w:val="auto"/>
              </w:rPr>
              <w:t>FURTHER ASSURANCE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8080" w:type="dxa"/>
            <w:vAlign w:val="bottom"/>
          </w:tcPr>
          <w:p>
            <w:pPr>
              <w:ind w:left="40"/>
              <w:spacing w:after="0"/>
              <w:rPr>
                <w:sz w:val="20"/>
                <w:szCs w:val="20"/>
                <w:color w:val="auto"/>
              </w:rPr>
            </w:pPr>
            <w:r>
              <w:rPr>
                <w:rFonts w:ascii="Arial" w:cs="Arial" w:eastAsia="Arial" w:hAnsi="Arial"/>
                <w:sz w:val="18"/>
                <w:szCs w:val="18"/>
                <w:color w:val="auto"/>
              </w:rPr>
              <w:t>WAIVER</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80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8080" w:type="dxa"/>
            <w:vAlign w:val="bottom"/>
          </w:tcPr>
          <w:p>
            <w:pPr>
              <w:ind w:left="40"/>
              <w:spacing w:after="0"/>
              <w:rPr>
                <w:sz w:val="20"/>
                <w:szCs w:val="20"/>
                <w:color w:val="auto"/>
              </w:rPr>
            </w:pPr>
            <w:r>
              <w:rPr>
                <w:rFonts w:ascii="Arial" w:cs="Arial" w:eastAsia="Arial" w:hAnsi="Arial"/>
                <w:sz w:val="18"/>
                <w:szCs w:val="18"/>
                <w:color w:val="auto"/>
              </w:rPr>
              <w:t>LAW AND JURISDICTION</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8080" w:type="dxa"/>
            <w:vAlign w:val="bottom"/>
          </w:tcPr>
          <w:p>
            <w:pPr>
              <w:ind w:left="40"/>
              <w:spacing w:after="0"/>
              <w:rPr>
                <w:sz w:val="20"/>
                <w:szCs w:val="20"/>
                <w:color w:val="auto"/>
              </w:rPr>
            </w:pPr>
            <w:r>
              <w:rPr>
                <w:rFonts w:ascii="Arial" w:cs="Arial" w:eastAsia="Arial" w:hAnsi="Arial"/>
                <w:sz w:val="18"/>
                <w:szCs w:val="18"/>
                <w:color w:val="auto"/>
              </w:rPr>
              <w:t>EXECUTION</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8080" w:type="dxa"/>
            <w:vAlign w:val="bottom"/>
          </w:tcPr>
          <w:p>
            <w:pPr>
              <w:ind w:left="40"/>
              <w:spacing w:after="0"/>
              <w:rPr>
                <w:sz w:val="20"/>
                <w:szCs w:val="20"/>
                <w:color w:val="auto"/>
              </w:rPr>
            </w:pPr>
            <w:r>
              <w:rPr>
                <w:rFonts w:ascii="Arial" w:cs="Arial" w:eastAsia="Arial" w:hAnsi="Arial"/>
                <w:sz w:val="18"/>
                <w:szCs w:val="18"/>
                <w:color w:val="auto"/>
              </w:rPr>
              <w:t>ANNOUNCEMENTS AND USE OF NAMES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8080" w:type="dxa"/>
            <w:vAlign w:val="bottom"/>
          </w:tcPr>
          <w:p>
            <w:pPr>
              <w:ind w:left="40"/>
              <w:spacing w:after="0"/>
              <w:rPr>
                <w:sz w:val="20"/>
                <w:szCs w:val="20"/>
                <w:color w:val="auto"/>
              </w:rPr>
            </w:pPr>
            <w:r>
              <w:rPr>
                <w:rFonts w:ascii="Arial" w:cs="Arial" w:eastAsia="Arial" w:hAnsi="Arial"/>
                <w:sz w:val="18"/>
                <w:szCs w:val="18"/>
                <w:color w:val="auto"/>
              </w:rPr>
              <w:t>DISPUTE RESOLUTION</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8080" w:type="dxa"/>
            <w:vAlign w:val="bottom"/>
          </w:tcPr>
          <w:p>
            <w:pPr>
              <w:ind w:left="40"/>
              <w:spacing w:after="0"/>
              <w:rPr>
                <w:sz w:val="20"/>
                <w:szCs w:val="20"/>
                <w:color w:val="auto"/>
              </w:rPr>
            </w:pPr>
            <w:r>
              <w:rPr>
                <w:rFonts w:ascii="Arial" w:cs="Arial" w:eastAsia="Arial" w:hAnsi="Arial"/>
                <w:sz w:val="18"/>
                <w:szCs w:val="18"/>
                <w:color w:val="auto"/>
              </w:rPr>
              <w:t>NO THIRD PARTY BENEFICIARIES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8080" w:type="dxa"/>
            <w:vAlign w:val="bottom"/>
          </w:tcPr>
          <w:p>
            <w:pPr>
              <w:ind w:left="40"/>
              <w:spacing w:after="0"/>
              <w:rPr>
                <w:sz w:val="20"/>
                <w:szCs w:val="20"/>
                <w:color w:val="auto"/>
              </w:rPr>
            </w:pPr>
            <w:r>
              <w:rPr>
                <w:rFonts w:ascii="Arial" w:cs="Arial" w:eastAsia="Arial" w:hAnsi="Arial"/>
                <w:sz w:val="18"/>
                <w:szCs w:val="18"/>
                <w:color w:val="auto"/>
              </w:rPr>
              <w:t>LANGUAGE; AUTHORSHIP</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60"/>
          </w:cols>
          <w:pgMar w:left="480" w:top="268" w:right="559" w:bottom="1440" w:gutter="0" w:footer="0" w:header="0"/>
        </w:sectPr>
      </w:pPr>
    </w:p>
    <w:bookmarkStart w:id="510" w:name="page511"/>
    <w:bookmarkEnd w:id="5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LICENSE AGREEMENT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License Agreement, dated as of the 10th day of April, 2018 (the “</w:t>
      </w:r>
      <w:r>
        <w:rPr>
          <w:rFonts w:ascii="Arial" w:cs="Arial" w:eastAsia="Arial" w:hAnsi="Arial"/>
          <w:sz w:val="18"/>
          <w:szCs w:val="18"/>
          <w:b w:val="1"/>
          <w:bCs w:val="1"/>
          <w:i w:val="1"/>
          <w:iCs w:val="1"/>
          <w:color w:val="auto"/>
        </w:rPr>
        <w:t>Execution Date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is made by and among:</w:t>
      </w:r>
    </w:p>
    <w:p>
      <w:pPr>
        <w:spacing w:after="0" w:line="114" w:lineRule="exact"/>
        <w:rPr>
          <w:sz w:val="20"/>
          <w:szCs w:val="20"/>
          <w:color w:val="auto"/>
        </w:rPr>
      </w:pPr>
    </w:p>
    <w:p>
      <w:pPr>
        <w:ind w:left="-40" w:right="120" w:firstLine="444"/>
        <w:spacing w:after="0" w:line="275" w:lineRule="auto"/>
        <w:tabs>
          <w:tab w:leader="none" w:pos="649"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r>
        <w:rPr>
          <w:rFonts w:ascii="Arial" w:cs="Arial" w:eastAsia="Arial" w:hAnsi="Arial"/>
          <w:sz w:val="18"/>
          <w:szCs w:val="18"/>
          <w:color w:val="auto"/>
        </w:rPr>
        <w:t>, a company registered in England and Wales under number 1626049 with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Angel Building, 407 St John Street, London. EC IV 4AD. England (“</w:t>
      </w:r>
      <w:r>
        <w:rPr>
          <w:rFonts w:ascii="Arial" w:cs="Arial" w:eastAsia="Arial" w:hAnsi="Arial"/>
          <w:sz w:val="18"/>
          <w:szCs w:val="18"/>
          <w:b w:val="1"/>
          <w:bCs w:val="1"/>
          <w:i w:val="1"/>
          <w:iCs w:val="1"/>
          <w:color w:val="auto"/>
        </w:rPr>
        <w:t>CRT</w:t>
      </w:r>
      <w:r>
        <w:rPr>
          <w:rFonts w:ascii="Arial" w:cs="Arial" w:eastAsia="Arial" w:hAnsi="Arial"/>
          <w:sz w:val="18"/>
          <w:szCs w:val="18"/>
          <w:color w:val="auto"/>
        </w:rPr>
        <w:t>”);</w:t>
      </w:r>
    </w:p>
    <w:p>
      <w:pPr>
        <w:spacing w:after="0" w:line="167" w:lineRule="exact"/>
        <w:rPr>
          <w:rFonts w:ascii="Arial" w:cs="Arial" w:eastAsia="Arial" w:hAnsi="Arial"/>
          <w:sz w:val="18"/>
          <w:szCs w:val="18"/>
          <w:b w:val="1"/>
          <w:bCs w:val="1"/>
          <w:color w:val="auto"/>
        </w:rPr>
      </w:pPr>
    </w:p>
    <w:p>
      <w:pPr>
        <w:ind w:left="-40" w:right="740" w:firstLine="444"/>
        <w:spacing w:after="0" w:line="340" w:lineRule="auto"/>
        <w:tabs>
          <w:tab w:leader="none" w:pos="649"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HE</w:t>
      </w:r>
      <w:r>
        <w:rPr>
          <w:rFonts w:ascii="Arial" w:cs="Arial" w:eastAsia="Arial" w:hAnsi="Arial"/>
          <w:sz w:val="16"/>
          <w:szCs w:val="16"/>
          <w:b w:val="1"/>
          <w:bCs w:val="1"/>
          <w:color w:val="auto"/>
        </w:rPr>
        <w:t xml:space="preserve"> I</w:t>
      </w:r>
      <w:r>
        <w:rPr>
          <w:rFonts w:ascii="Arial" w:cs="Arial" w:eastAsia="Arial" w:hAnsi="Arial"/>
          <w:sz w:val="12"/>
          <w:szCs w:val="12"/>
          <w:b w:val="1"/>
          <w:bCs w:val="1"/>
          <w:color w:val="auto"/>
        </w:rPr>
        <w:t>NSTITUTE OF</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ANCER</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ESEARCH</w:t>
      </w:r>
      <w:r>
        <w:rPr>
          <w:rFonts w:ascii="Arial" w:cs="Arial" w:eastAsia="Arial" w:hAnsi="Arial"/>
          <w:sz w:val="16"/>
          <w:szCs w:val="16"/>
          <w:b w:val="1"/>
          <w:bCs w:val="1"/>
          <w:color w:val="auto"/>
        </w:rPr>
        <w:t>: R</w:t>
      </w:r>
      <w:r>
        <w:rPr>
          <w:rFonts w:ascii="Arial" w:cs="Arial" w:eastAsia="Arial" w:hAnsi="Arial"/>
          <w:sz w:val="12"/>
          <w:szCs w:val="12"/>
          <w:b w:val="1"/>
          <w:bCs w:val="1"/>
          <w:color w:val="auto"/>
        </w:rPr>
        <w:t>OYAL</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ANCER</w:t>
      </w:r>
      <w:r>
        <w:rPr>
          <w:rFonts w:ascii="Arial" w:cs="Arial" w:eastAsia="Arial" w:hAnsi="Arial"/>
          <w:sz w:val="16"/>
          <w:szCs w:val="16"/>
          <w:b w:val="1"/>
          <w:bCs w:val="1"/>
          <w:color w:val="auto"/>
        </w:rPr>
        <w:t xml:space="preserve"> H</w:t>
      </w:r>
      <w:r>
        <w:rPr>
          <w:rFonts w:ascii="Arial" w:cs="Arial" w:eastAsia="Arial" w:hAnsi="Arial"/>
          <w:sz w:val="12"/>
          <w:szCs w:val="12"/>
          <w:b w:val="1"/>
          <w:bCs w:val="1"/>
          <w:color w:val="auto"/>
        </w:rPr>
        <w:t>OSPITAL</w:t>
      </w:r>
      <w:r>
        <w:rPr>
          <w:rFonts w:ascii="Arial" w:cs="Arial" w:eastAsia="Arial" w:hAnsi="Arial"/>
          <w:sz w:val="16"/>
          <w:szCs w:val="16"/>
          <w:color w:val="auto"/>
        </w:rPr>
        <w:t>, a company limited by guarantee and registered in England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number 00534147) and registered charity whose office is at 123 Old Brompton Road, London, SW17 9LN, England (“</w:t>
      </w:r>
      <w:r>
        <w:rPr>
          <w:rFonts w:ascii="Arial" w:cs="Arial" w:eastAsia="Arial" w:hAnsi="Arial"/>
          <w:sz w:val="16"/>
          <w:szCs w:val="16"/>
          <w:b w:val="1"/>
          <w:bCs w:val="1"/>
          <w:i w:val="1"/>
          <w:iCs w:val="1"/>
          <w:color w:val="auto"/>
        </w:rPr>
        <w:t>ICR</w:t>
      </w:r>
      <w:r>
        <w:rPr>
          <w:rFonts w:ascii="Arial" w:cs="Arial" w:eastAsia="Arial" w:hAnsi="Arial"/>
          <w:sz w:val="16"/>
          <w:szCs w:val="16"/>
          <w:color w:val="auto"/>
        </w:rPr>
        <w:t>”); and</w:t>
      </w:r>
    </w:p>
    <w:p>
      <w:pPr>
        <w:spacing w:after="0" w:line="120" w:lineRule="exact"/>
        <w:rPr>
          <w:rFonts w:ascii="Arial" w:cs="Arial" w:eastAsia="Arial" w:hAnsi="Arial"/>
          <w:sz w:val="16"/>
          <w:szCs w:val="16"/>
          <w:b w:val="1"/>
          <w:bCs w:val="1"/>
          <w:color w:val="auto"/>
        </w:rPr>
      </w:pPr>
    </w:p>
    <w:p>
      <w:pPr>
        <w:ind w:left="-40" w:right="440" w:firstLine="444"/>
        <w:spacing w:after="0" w:line="275" w:lineRule="auto"/>
        <w:tabs>
          <w:tab w:leader="none" w:pos="649"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AG, </w:t>
      </w:r>
      <w:r>
        <w:rPr>
          <w:rFonts w:ascii="Arial" w:cs="Arial" w:eastAsia="Arial" w:hAnsi="Arial"/>
          <w:sz w:val="18"/>
          <w:szCs w:val="18"/>
          <w:color w:val="auto"/>
        </w:rPr>
        <w:t>a company organized under the laws of Switzerland under number Switzerland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Aeschenvorstadt 36, 4051 Basel,</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Whereas:</w:t>
      </w:r>
    </w:p>
    <w:p>
      <w:pPr>
        <w:spacing w:after="0" w:line="118" w:lineRule="exact"/>
        <w:rPr>
          <w:sz w:val="20"/>
          <w:szCs w:val="20"/>
          <w:color w:val="auto"/>
        </w:rPr>
      </w:pPr>
    </w:p>
    <w:p>
      <w:pPr>
        <w:ind w:left="-40" w:right="220" w:firstLine="444"/>
        <w:spacing w:after="0" w:line="281" w:lineRule="auto"/>
        <w:tabs>
          <w:tab w:leader="none" w:pos="688" w:val="left"/>
        </w:tabs>
        <w:numPr>
          <w:ilvl w:val="0"/>
          <w:numId w:val="407"/>
        </w:numPr>
        <w:rPr>
          <w:rFonts w:ascii="Arial" w:cs="Arial" w:eastAsia="Arial" w:hAnsi="Arial"/>
          <w:sz w:val="17"/>
          <w:szCs w:val="17"/>
          <w:b w:val="1"/>
          <w:bCs w:val="1"/>
          <w:color w:val="auto"/>
        </w:rPr>
      </w:pPr>
      <w:r>
        <w:rPr>
          <w:rFonts w:ascii="Arial" w:cs="Arial" w:eastAsia="Arial" w:hAnsi="Arial"/>
          <w:sz w:val="17"/>
          <w:szCs w:val="17"/>
          <w:color w:val="auto"/>
        </w:rPr>
        <w:t>CRT is an oncology focused technology transfer and development company, wholly owned by Cancer Research UK (“</w:t>
      </w:r>
      <w:r>
        <w:rPr>
          <w:rFonts w:ascii="Arial" w:cs="Arial" w:eastAsia="Arial" w:hAnsi="Arial"/>
          <w:sz w:val="17"/>
          <w:szCs w:val="17"/>
          <w:b w:val="1"/>
          <w:bCs w:val="1"/>
          <w:i w:val="1"/>
          <w:iCs w:val="1"/>
          <w:color w:val="auto"/>
        </w:rPr>
        <w:t>CRUK</w:t>
      </w:r>
      <w:r>
        <w:rPr>
          <w:rFonts w:ascii="Arial" w:cs="Arial" w:eastAsia="Arial" w:hAnsi="Arial"/>
          <w:sz w:val="17"/>
          <w:szCs w:val="17"/>
          <w:color w:val="auto"/>
        </w:rPr>
        <w:t>”), a company limited by guarantee (registered in England and Wales under number 4325234) and a charity (registered in England under number 1089464 and registered in Scotland under number SC041666) of Angel Building, 407 St John Street, London, EC IV 4AD, United Kingdom;</w:t>
      </w:r>
    </w:p>
    <w:p>
      <w:pPr>
        <w:spacing w:after="0" w:line="169" w:lineRule="exact"/>
        <w:rPr>
          <w:rFonts w:ascii="Arial" w:cs="Arial" w:eastAsia="Arial" w:hAnsi="Arial"/>
          <w:sz w:val="17"/>
          <w:szCs w:val="17"/>
          <w:b w:val="1"/>
          <w:bCs w:val="1"/>
          <w:color w:val="auto"/>
        </w:rPr>
      </w:pPr>
    </w:p>
    <w:p>
      <w:pPr>
        <w:ind w:left="-40" w:firstLine="444"/>
        <w:spacing w:after="0" w:line="271" w:lineRule="auto"/>
        <w:tabs>
          <w:tab w:leader="none" w:pos="679"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The ICR is a registered charity and a college of the University of London, and is dedicated to the pursuit of scientific and clinical research into the understanding, diagnosis and treatment of cancer;</w:t>
      </w:r>
    </w:p>
    <w:p>
      <w:pPr>
        <w:spacing w:after="0" w:line="174" w:lineRule="exact"/>
        <w:rPr>
          <w:rFonts w:ascii="Arial" w:cs="Arial" w:eastAsia="Arial" w:hAnsi="Arial"/>
          <w:sz w:val="18"/>
          <w:szCs w:val="18"/>
          <w:b w:val="1"/>
          <w:bCs w:val="1"/>
          <w:color w:val="auto"/>
        </w:rPr>
      </w:pPr>
    </w:p>
    <w:p>
      <w:pPr>
        <w:ind w:left="-40" w:right="120" w:firstLine="444"/>
        <w:spacing w:after="0" w:line="271" w:lineRule="auto"/>
        <w:tabs>
          <w:tab w:leader="none" w:pos="688"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Pursuant to an agreement dated [***] between CRT and the ICR. CRT and the ICR jointly owns certain intellectual property generated at the ICR using funding from CRUK related to the field of cereblon (CRBN)-mediated protein degradation;</w:t>
      </w:r>
    </w:p>
    <w:p>
      <w:pPr>
        <w:spacing w:after="0" w:line="174" w:lineRule="exact"/>
        <w:rPr>
          <w:rFonts w:ascii="Arial" w:cs="Arial" w:eastAsia="Arial" w:hAnsi="Arial"/>
          <w:sz w:val="18"/>
          <w:szCs w:val="18"/>
          <w:b w:val="1"/>
          <w:bCs w:val="1"/>
          <w:color w:val="auto"/>
        </w:rPr>
      </w:pPr>
    </w:p>
    <w:p>
      <w:pPr>
        <w:ind w:left="700" w:hanging="296"/>
        <w:spacing w:after="0"/>
        <w:tabs>
          <w:tab w:leader="none" w:pos="700"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The Company is engaged in the research and development of protein degradation-based therapeutics;</w:t>
      </w:r>
    </w:p>
    <w:p>
      <w:pPr>
        <w:spacing w:after="0" w:line="220" w:lineRule="exact"/>
        <w:rPr>
          <w:rFonts w:ascii="Arial" w:cs="Arial" w:eastAsia="Arial" w:hAnsi="Arial"/>
          <w:sz w:val="18"/>
          <w:szCs w:val="18"/>
          <w:b w:val="1"/>
          <w:bCs w:val="1"/>
          <w:color w:val="auto"/>
        </w:rPr>
      </w:pPr>
    </w:p>
    <w:p>
      <w:pPr>
        <w:ind w:left="-40" w:right="240" w:firstLine="444"/>
        <w:spacing w:after="0" w:line="290" w:lineRule="auto"/>
        <w:tabs>
          <w:tab w:leader="none" w:pos="679" w:val="left"/>
        </w:tabs>
        <w:numPr>
          <w:ilvl w:val="0"/>
          <w:numId w:val="407"/>
        </w:numPr>
        <w:rPr>
          <w:rFonts w:ascii="Arial" w:cs="Arial" w:eastAsia="Arial" w:hAnsi="Arial"/>
          <w:sz w:val="16"/>
          <w:szCs w:val="16"/>
          <w:b w:val="1"/>
          <w:bCs w:val="1"/>
          <w:color w:val="auto"/>
        </w:rPr>
      </w:pPr>
      <w:r>
        <w:rPr>
          <w:rFonts w:ascii="Arial" w:cs="Arial" w:eastAsia="Arial" w:hAnsi="Arial"/>
          <w:sz w:val="16"/>
          <w:szCs w:val="16"/>
          <w:color w:val="auto"/>
        </w:rPr>
        <w:t>As a condition to and concurrent with the execution and delivery’ of this Agreement, the Parties are entering into that certain (a) Formation and Investment Agreement (as may be amended, the “</w:t>
      </w:r>
      <w:r>
        <w:rPr>
          <w:rFonts w:ascii="Arial" w:cs="Arial" w:eastAsia="Arial" w:hAnsi="Arial"/>
          <w:sz w:val="16"/>
          <w:szCs w:val="16"/>
          <w:b w:val="1"/>
          <w:bCs w:val="1"/>
          <w:i w:val="1"/>
          <w:iCs w:val="1"/>
          <w:color w:val="auto"/>
        </w:rPr>
        <w:t>Formation and Investment Agreement</w:t>
      </w:r>
      <w:r>
        <w:rPr>
          <w:rFonts w:ascii="Arial" w:cs="Arial" w:eastAsia="Arial" w:hAnsi="Arial"/>
          <w:sz w:val="16"/>
          <w:szCs w:val="16"/>
          <w:color w:val="auto"/>
        </w:rPr>
        <w:t>”), and the related Shareholders’ Agreement (as may be amended, the “</w:t>
      </w:r>
      <w:r>
        <w:rPr>
          <w:rFonts w:ascii="Arial" w:cs="Arial" w:eastAsia="Arial" w:hAnsi="Arial"/>
          <w:sz w:val="16"/>
          <w:szCs w:val="16"/>
          <w:b w:val="1"/>
          <w:bCs w:val="1"/>
          <w:i w:val="1"/>
          <w:iCs w:val="1"/>
          <w:color w:val="auto"/>
        </w:rPr>
        <w:t>Shareholders’ Agreement</w:t>
      </w:r>
      <w:r>
        <w:rPr>
          <w:rFonts w:ascii="Arial" w:cs="Arial" w:eastAsia="Arial" w:hAnsi="Arial"/>
          <w:sz w:val="16"/>
          <w:szCs w:val="16"/>
          <w:color w:val="auto"/>
        </w:rPr>
        <w:t xml:space="preserve"> ”), by and among the Company and its shareholders, including CRT and the ICR. pursuant to which the Company issues common shares of the Company as consideration for the rights granted to it under this Agreement, and (b) Collaboration and Option Agreement (as may be amended, the “</w:t>
      </w:r>
      <w:r>
        <w:rPr>
          <w:rFonts w:ascii="Arial" w:cs="Arial" w:eastAsia="Arial" w:hAnsi="Arial"/>
          <w:sz w:val="16"/>
          <w:szCs w:val="16"/>
          <w:b w:val="1"/>
          <w:bCs w:val="1"/>
          <w:i w:val="1"/>
          <w:iCs w:val="1"/>
          <w:color w:val="auto"/>
        </w:rPr>
        <w:t>Collaboration and Option Agreement</w:t>
      </w:r>
      <w:r>
        <w:rPr>
          <w:rFonts w:ascii="Arial" w:cs="Arial" w:eastAsia="Arial" w:hAnsi="Arial"/>
          <w:sz w:val="16"/>
          <w:szCs w:val="16"/>
          <w:color w:val="auto"/>
        </w:rPr>
        <w:t>”), pursuant to which the Company engages the ICR to conduct certain research and development services and grants CRT and the ICR certain rights as set forth therein; and</w:t>
      </w:r>
    </w:p>
    <w:p>
      <w:pPr>
        <w:spacing w:after="0" w:line="163" w:lineRule="exact"/>
        <w:rPr>
          <w:rFonts w:ascii="Arial" w:cs="Arial" w:eastAsia="Arial" w:hAnsi="Arial"/>
          <w:sz w:val="16"/>
          <w:szCs w:val="16"/>
          <w:b w:val="1"/>
          <w:bCs w:val="1"/>
          <w:color w:val="auto"/>
        </w:rPr>
      </w:pPr>
    </w:p>
    <w:p>
      <w:pPr>
        <w:ind w:left="-40" w:right="240" w:firstLine="444"/>
        <w:spacing w:after="0" w:line="307" w:lineRule="auto"/>
        <w:tabs>
          <w:tab w:leader="none" w:pos="669" w:val="left"/>
        </w:tabs>
        <w:numPr>
          <w:ilvl w:val="0"/>
          <w:numId w:val="407"/>
        </w:numPr>
        <w:rPr>
          <w:rFonts w:ascii="Arial" w:cs="Arial" w:eastAsia="Arial" w:hAnsi="Arial"/>
          <w:sz w:val="16"/>
          <w:szCs w:val="16"/>
          <w:b w:val="1"/>
          <w:bCs w:val="1"/>
          <w:color w:val="auto"/>
        </w:rPr>
      </w:pPr>
      <w:r>
        <w:rPr>
          <w:rFonts w:ascii="Arial" w:cs="Arial" w:eastAsia="Arial" w:hAnsi="Arial"/>
          <w:sz w:val="16"/>
          <w:szCs w:val="16"/>
          <w:color w:val="auto"/>
        </w:rPr>
        <w:t>As a condition to the execution and delivery of the Formation and Investment Agreement and the Collaboration and Option Agreement, the Company desires to obtain, and CRT and the ICR are willing to grant, certain exclusive and non-exclusive licenses under CRT’s and the ICR’s intellectual property rights in the field of cereblon (CBRN) mediated protein degradation, on the terms and conditions set forth herein.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520" w:top="268" w:right="519" w:bottom="1440" w:gutter="0" w:footer="0" w:header="0"/>
        </w:sectPr>
      </w:pPr>
    </w:p>
    <w:bookmarkStart w:id="511" w:name="page512"/>
    <w:bookmarkEnd w:id="511"/>
    <w:p>
      <w:pPr>
        <w:ind w:right="34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the covenants and premises contained in this Agreement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hereby agree as follows:</w:t>
      </w:r>
    </w:p>
    <w:p>
      <w:pPr>
        <w:spacing w:after="0" w:line="315" w:lineRule="exact"/>
        <w:rPr>
          <w:sz w:val="20"/>
          <w:szCs w:val="20"/>
          <w:color w:val="auto"/>
        </w:rPr>
      </w:pPr>
    </w:p>
    <w:p>
      <w:pPr>
        <w:ind w:left="440" w:hanging="433"/>
        <w:spacing w:after="0"/>
        <w:tabs>
          <w:tab w:leader="none" w:pos="4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In this Agreement the following words and expressions shall have the following meanings:</w:t>
      </w:r>
    </w:p>
    <w:p>
      <w:pPr>
        <w:spacing w:after="0" w:line="118"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Party, any person that, whether now or in the future, Controls, is Controlled by or is under common Control with a Party. For the avoidance of doubt, Versant Ventures shall not be deemed an Affiliate of Company.</w:t>
      </w:r>
    </w:p>
    <w:p>
      <w:pPr>
        <w:spacing w:after="0" w:line="175"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License Agreement and each of the Schedules attached hereto, as amended from time to time in accordance with the provisions of this License Agreement.</w:t>
      </w:r>
    </w:p>
    <w:p>
      <w:pPr>
        <w:spacing w:after="0" w:line="175"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Sunday, or any public holiday in England or any date on which commercial banks located in Switzerland, and/or New York. New- York, U.S.A, are authorized or required by law to close.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has the meaning given in Clause 7.1.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Collaboration and Option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Commencement</w:t>
      </w:r>
      <w:r>
        <w:rPr>
          <w:rFonts w:ascii="Arial" w:cs="Arial" w:eastAsia="Arial" w:hAnsi="Arial"/>
          <w:sz w:val="18"/>
          <w:szCs w:val="18"/>
          <w:color w:val="auto"/>
        </w:rPr>
        <w:t>” means, in relation to a clinical trial, the date upon which administration of a Licensed Product to the first human subject has occurred, whether such subject is a healthy volunteer or a patient.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w:t>
      </w:r>
    </w:p>
    <w:p>
      <w:pPr>
        <w:spacing w:after="0" w:line="2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Competent Authority</w:t>
      </w:r>
      <w:r>
        <w:rPr>
          <w:rFonts w:ascii="Arial" w:cs="Arial" w:eastAsia="Arial" w:hAnsi="Arial"/>
          <w:sz w:val="18"/>
          <w:szCs w:val="18"/>
          <w:color w:val="auto"/>
        </w:rPr>
        <w:t>” means any local or national agency, authority, department, inspectorate, minister, ministry’ official or public or statutory person (whether autonomous or not) of or of any government of any country having jurisdiction over the Agreement or any of the Parties or over the development or marketing of medicinal products including the FDA, the European Medicines Agency, the European Commission and the European Court of Justice.</w:t>
      </w:r>
    </w:p>
    <w:p>
      <w:pPr>
        <w:spacing w:after="0" w:line="190" w:lineRule="exact"/>
        <w:rPr>
          <w:sz w:val="20"/>
          <w:szCs w:val="20"/>
          <w:color w:val="auto"/>
        </w:rPr>
      </w:pPr>
    </w:p>
    <w:p>
      <w:pPr>
        <w:ind w:right="22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Compound Intellectual Property</w:t>
      </w:r>
      <w:r>
        <w:rPr>
          <w:rFonts w:ascii="Arial" w:cs="Arial" w:eastAsia="Arial" w:hAnsi="Arial"/>
          <w:sz w:val="18"/>
          <w:szCs w:val="18"/>
          <w:color w:val="auto"/>
        </w:rPr>
        <w:t>” means that part of the CRT/ICR Existing Intellectual Property that (i) consists of the CRT /ICR Existing Compound Library , (ii) consists of, contains or relates directly and solely to any CRT/ICR Existing Compound and/or (iii) is set out in Schedule 1A part (i), but for the avoidance of doubt excludes the CRT/ICR Existing Intellectual Property’ referred to in paragraph (b) of the definition of Non-Compound Intellectual Property.</w:t>
      </w:r>
    </w:p>
    <w:p>
      <w:pPr>
        <w:spacing w:after="0" w:line="190"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fifty percent (50%) or more of the voting stock or other equity’ interest of a subject entity with the power to vote, or the power in fact to control the management decisions of such entity through the ownership of securities or by contract or otherwise and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Controls</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as used with respect to any Party shall be construed accordingly.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80" w:top="268" w:right="599" w:bottom="1440" w:gutter="0" w:footer="0" w:header="0"/>
        </w:sectPr>
      </w:pPr>
    </w:p>
    <w:bookmarkStart w:id="512" w:name="page513"/>
    <w:bookmarkEnd w:id="5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CRBN</w:t>
      </w:r>
      <w:r>
        <w:rPr>
          <w:rFonts w:ascii="Arial" w:cs="Arial" w:eastAsia="Arial" w:hAnsi="Arial"/>
          <w:sz w:val="18"/>
          <w:szCs w:val="18"/>
          <w:color w:val="auto"/>
        </w:rPr>
        <w:t>” means cereblon.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Background Hit Intellectual Property</w:t>
      </w:r>
      <w:r>
        <w:rPr>
          <w:rFonts w:ascii="Arial" w:cs="Arial" w:eastAsia="Arial" w:hAnsi="Arial"/>
          <w:sz w:val="18"/>
          <w:szCs w:val="18"/>
          <w:color w:val="auto"/>
        </w:rPr>
        <w:t xml:space="preserve"> “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Compound Library</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Compounds</w:t>
      </w:r>
      <w:r>
        <w:rPr>
          <w:rFonts w:ascii="Arial" w:cs="Arial" w:eastAsia="Arial" w:hAnsi="Arial"/>
          <w:sz w:val="18"/>
          <w:szCs w:val="18"/>
          <w:color w:val="auto"/>
        </w:rPr>
        <w:t>” means any and all compounds listed in Schedule IC.</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Intellectual Property</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Know How</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Materials</w:t>
      </w:r>
      <w:r>
        <w:rPr>
          <w:rFonts w:ascii="Arial" w:cs="Arial" w:eastAsia="Arial" w:hAnsi="Arial"/>
          <w:sz w:val="18"/>
          <w:szCs w:val="18"/>
          <w:color w:val="auto"/>
        </w:rPr>
        <w:t>” means [***].</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Patents</w:t>
      </w:r>
      <w:r>
        <w:rPr>
          <w:rFonts w:ascii="Arial" w:cs="Arial" w:eastAsia="Arial" w:hAnsi="Arial"/>
          <w:sz w:val="18"/>
          <w:szCs w:val="18"/>
          <w:color w:val="auto"/>
        </w:rPr>
        <w:t>” means those Patents that claim inventions within the CRT/ICR Existing Compounds, CRT/ICR Existing Compound Library, ICR/CRT Existing Know How, and/or ICR/CRT Existing Materials.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Screening Platform</w:t>
      </w:r>
      <w:r>
        <w:rPr>
          <w:rFonts w:ascii="Arial" w:cs="Arial" w:eastAsia="Arial" w:hAnsi="Arial"/>
          <w:sz w:val="18"/>
          <w:szCs w:val="18"/>
          <w:color w:val="auto"/>
        </w:rPr>
        <w:t>” means the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CTU</w:t>
      </w:r>
      <w:r>
        <w:rPr>
          <w:rFonts w:ascii="Arial" w:cs="Arial" w:eastAsia="Arial" w:hAnsi="Arial"/>
          <w:sz w:val="17"/>
          <w:szCs w:val="17"/>
          <w:color w:val="auto"/>
        </w:rPr>
        <w:t>” means the ICR’s Cancer Research UK Cancer Therapeutics Unit, which is led as of the Effective Date by Professor Rajesh Chopra.</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given in Clause 12.1.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Execution Date</w:t>
      </w:r>
      <w:r>
        <w:rPr>
          <w:rFonts w:ascii="Arial" w:cs="Arial" w:eastAsia="Arial" w:hAnsi="Arial"/>
          <w:sz w:val="18"/>
          <w:szCs w:val="18"/>
          <w:color w:val="auto"/>
        </w:rPr>
        <w:t>” has the meaning given in the preamble.</w:t>
      </w:r>
    </w:p>
    <w:p>
      <w:pPr>
        <w:spacing w:after="0" w:line="221" w:lineRule="exact"/>
        <w:rPr>
          <w:sz w:val="20"/>
          <w:szCs w:val="20"/>
          <w:color w:val="auto"/>
        </w:rPr>
      </w:pPr>
    </w:p>
    <w:p>
      <w:pPr>
        <w:ind w:right="2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Officers</w:t>
      </w:r>
      <w:r>
        <w:rPr>
          <w:rFonts w:ascii="Arial" w:cs="Arial" w:eastAsia="Arial" w:hAnsi="Arial"/>
          <w:sz w:val="16"/>
          <w:szCs w:val="16"/>
          <w:color w:val="auto"/>
        </w:rPr>
        <w:t>” means an authorised executed officer of the Company, the Chief Executive Officer of CRT and the Director of Enterprise of the ICR or such other authorised officer of a Party’ as may be substituted from time to time upon the giving of written notice to the other Party.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or any successor to it.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Field</w:t>
      </w:r>
      <w:r>
        <w:rPr>
          <w:rFonts w:ascii="Arial" w:cs="Arial" w:eastAsia="Arial" w:hAnsi="Arial"/>
          <w:sz w:val="18"/>
          <w:szCs w:val="18"/>
          <w:color w:val="auto"/>
        </w:rPr>
        <w:t>” means the treatment, prevention and/or diagnosis of any and all diseases, disorders or conditions.</w:t>
      </w:r>
    </w:p>
    <w:p>
      <w:pPr>
        <w:spacing w:after="0" w:line="221"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means in relation to a Party any event or circumstance which is beyond the reasonable control of that Party, which event or circumstance that Party could not reasonably be expected to have taken into account at the Effective Date and which results in or causes the failure of that Party’ to perform any or all of its obligations under this Agreement including act of God, lightning, fire, storm, flood, earthquake, strike, lockout or other industrial disturbance, war, terrorist act, blockade, revolution, riot, insurrection, civil commotion, public demonstration, sabotage, act of vandalism, explosion, provided that lack of funds shall not be interpreted as a cause beyond the reasonable control of that Party.</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72" w:right="559" w:bottom="1440" w:gutter="0" w:footer="0" w:header="0"/>
        </w:sectPr>
      </w:pPr>
    </w:p>
    <w:bookmarkStart w:id="513" w:name="page514"/>
    <w:bookmarkEnd w:id="5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Formation and Investment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ind w:right="6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Parties</w:t>
      </w:r>
      <w:r>
        <w:rPr>
          <w:rFonts w:ascii="Arial" w:cs="Arial" w:eastAsia="Arial" w:hAnsi="Arial"/>
          <w:sz w:val="18"/>
          <w:szCs w:val="18"/>
          <w:color w:val="auto"/>
        </w:rPr>
        <w:t>” means CRT, CRUK, the ICR and their respective officers, employees and agents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JSC</w:t>
      </w:r>
      <w:r>
        <w:rPr>
          <w:rFonts w:ascii="Arial" w:cs="Arial" w:eastAsia="Arial" w:hAnsi="Arial"/>
          <w:sz w:val="18"/>
          <w:szCs w:val="18"/>
          <w:color w:val="auto"/>
        </w:rPr>
        <w:t>” has the meaning set forth in the Collaboration and Option Agreement.</w:t>
      </w:r>
    </w:p>
    <w:p>
      <w:pPr>
        <w:spacing w:after="0" w:line="221" w:lineRule="exact"/>
        <w:rPr>
          <w:sz w:val="20"/>
          <w:szCs w:val="20"/>
          <w:color w:val="auto"/>
        </w:rPr>
      </w:pPr>
    </w:p>
    <w:p>
      <w:pPr>
        <w:ind w:right="20"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 How</w:t>
      </w:r>
      <w:r>
        <w:rPr>
          <w:rFonts w:ascii="Arial" w:cs="Arial" w:eastAsia="Arial" w:hAnsi="Arial"/>
          <w:sz w:val="18"/>
          <w:szCs w:val="18"/>
          <w:color w:val="auto"/>
        </w:rPr>
        <w:t>” means any technical, business or financial information and other information, of any type whatsoever, in any tangible or intangible form, which is not in the public domain as of the Effective Date, including, know-how, trade secrets, ideas, concepts, inventions, discoveries, data, formulae, specifications, information relating to Materials (including biological and chemical structures and functions as well as methods for synthesising chemical compounds), procedures for experiments and tests, results of experimentation and testing (including pharmacological, biological, chemical, biochemical, clinical test data and data resulting from non-clinical studies), results of research and development including laboratory’ records and data analyses. Information in a compilation or a compilation of information may be Know How notwithstanding some or all of its individual elements are in the public domain.</w:t>
      </w:r>
    </w:p>
    <w:p>
      <w:pPr>
        <w:spacing w:after="0" w:line="197" w:lineRule="exact"/>
        <w:rPr>
          <w:sz w:val="20"/>
          <w:szCs w:val="20"/>
          <w:color w:val="auto"/>
        </w:rPr>
      </w:pPr>
    </w:p>
    <w:p>
      <w:pPr>
        <w:ind w:right="4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Licensed Product</w:t>
      </w:r>
      <w:r>
        <w:rPr>
          <w:rFonts w:ascii="Arial" w:cs="Arial" w:eastAsia="Arial" w:hAnsi="Arial"/>
          <w:sz w:val="17"/>
          <w:szCs w:val="17"/>
          <w:color w:val="auto"/>
        </w:rPr>
        <w:t>” means any product: (i) containing or comprising any CRT/ICR Existing Compound; and/or (ii) discovered, developed and/or generated using or incorporating any part of the CRT/ICR Existing Intellectual Property, including any metabolites, prodrugs, salts, hydrates, solvates, esters, intermediates, polymorphs, isomers, analogues and derivatives of any CRT/ICR Existing Compounds.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given in Clause 7.1.</w:t>
      </w:r>
    </w:p>
    <w:p>
      <w:pPr>
        <w:spacing w:after="0" w:line="221"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Materials</w:t>
      </w:r>
      <w:r>
        <w:rPr>
          <w:rFonts w:ascii="Arial" w:cs="Arial" w:eastAsia="Arial" w:hAnsi="Arial"/>
          <w:sz w:val="16"/>
          <w:szCs w:val="16"/>
          <w:color w:val="auto"/>
        </w:rPr>
        <w:t>” means any chemical or biological substances including any: organic or inorganic element or compound; nucleotide or nucleotide sequence including DNA and RNA sequences; gene; vector or construct including plasmids, phages, bacterial vectors, bacteriophages and viruses; host organism including bacteria, fungi, algae, protozoa and hybridomas; eukaryotic or prokaryotic cell line or expression system or any development strain or product of that cell line or expression systems; protein including any peptide or amino acid sequence, enzyme, antibody or protein conferring targeting properties and any fragment of a protein or a peptide enzyme or antibody; drug or pro-drug; assay or reagent; any other genetic or biological material or micro-organism or any transgenic animal; and any physical property rights relating to any of the foregoing.</w:t>
      </w:r>
    </w:p>
    <w:p>
      <w:pPr>
        <w:spacing w:after="0" w:line="164" w:lineRule="exact"/>
        <w:rPr>
          <w:sz w:val="20"/>
          <w:szCs w:val="20"/>
          <w:color w:val="auto"/>
        </w:rPr>
      </w:pPr>
    </w:p>
    <w:p>
      <w:pPr>
        <w:ind w:right="20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Non-Compound Intellectual Property</w:t>
      </w:r>
      <w:r>
        <w:rPr>
          <w:rFonts w:ascii="Arial" w:cs="Arial" w:eastAsia="Arial" w:hAnsi="Arial"/>
          <w:sz w:val="17"/>
          <w:szCs w:val="17"/>
          <w:color w:val="auto"/>
        </w:rPr>
        <w:t>” means (a) that part of the CRT/ICR Existing Intellectual Property which is not Compound Intellectual Property, and (b) includes without limitation CRT/ICR Existing Intellectual Property that consists of, contains or relates to [***].</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CRT, the ICR and the Company and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shall mean any of them.</w:t>
      </w:r>
    </w:p>
    <w:p>
      <w:pPr>
        <w:spacing w:after="0" w:line="221" w:lineRule="exact"/>
        <w:rPr>
          <w:sz w:val="20"/>
          <w:szCs w:val="20"/>
          <w:color w:val="auto"/>
        </w:rPr>
      </w:pPr>
    </w:p>
    <w:p>
      <w:pPr>
        <w:ind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means any patent applications, patents, author certificates, inventor certificates, utility’ models, together with any divisionals, renewals, continuations, continuations-in-part, extensions, re-examinations, reissues, substitutions, confirmations, registrations, revalidations, and additions of or to them, as well as any Supplementary Protection Certificate, or any like form of protection, anywhere in the world for each of the foregoing.</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80" w:top="272" w:right="559" w:bottom="1440" w:gutter="0" w:footer="0" w:header="0"/>
        </w:sectPr>
      </w:pPr>
    </w:p>
    <w:bookmarkStart w:id="514" w:name="page515"/>
    <w:bookmarkEnd w:id="514"/>
    <w:p>
      <w:pPr>
        <w:ind w:right="4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Phase I Trial</w:t>
      </w:r>
      <w:r>
        <w:rPr>
          <w:rFonts w:ascii="Arial" w:cs="Arial" w:eastAsia="Arial" w:hAnsi="Arial"/>
          <w:sz w:val="18"/>
          <w:szCs w:val="18"/>
          <w:color w:val="auto"/>
        </w:rPr>
        <w:t>” means a human clinical trial in which a Licensed Product is administered to human subjects at multiple dose levels with the primary purpose of determining safety, metabolism, pharmacokinetic and pharmacodynamic data of the Licensed Product and consistent with 21 CFR § 312.21(a).</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Programme</w:t>
      </w:r>
      <w:r>
        <w:rPr>
          <w:rFonts w:ascii="Arial" w:cs="Arial" w:eastAsia="Arial" w:hAnsi="Arial"/>
          <w:sz w:val="18"/>
          <w:szCs w:val="18"/>
          <w:color w:val="auto"/>
        </w:rPr>
        <w:t>” has the meaning given in the Collaboration and Option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Programme Intellectual Property</w:t>
      </w:r>
      <w:r>
        <w:rPr>
          <w:rFonts w:ascii="Arial" w:cs="Arial" w:eastAsia="Arial" w:hAnsi="Arial"/>
          <w:sz w:val="18"/>
          <w:szCs w:val="18"/>
          <w:color w:val="auto"/>
        </w:rPr>
        <w:t>” has the meaning given in the Collaboration and Option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Protein Degradation Product</w:t>
      </w:r>
      <w:r>
        <w:rPr>
          <w:rFonts w:ascii="Arial" w:cs="Arial" w:eastAsia="Arial" w:hAnsi="Arial"/>
          <w:sz w:val="18"/>
          <w:szCs w:val="18"/>
          <w:color w:val="auto"/>
        </w:rPr>
        <w:t>” has the meaning given in the Collaboration and Option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Executive Team</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Shareholders’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Sub-Licensee</w:t>
      </w:r>
      <w:r>
        <w:rPr>
          <w:rFonts w:ascii="Arial" w:cs="Arial" w:eastAsia="Arial" w:hAnsi="Arial"/>
          <w:sz w:val="18"/>
          <w:szCs w:val="18"/>
          <w:color w:val="auto"/>
        </w:rPr>
        <w:t>” means a person to which a sub-licence is granted in accordance with Clause 2.2 l„ respect of the whole or any part of the rights granted under this Agreement.</w:t>
      </w:r>
    </w:p>
    <w:p>
      <w:pPr>
        <w:spacing w:after="0" w:line="175" w:lineRule="exact"/>
        <w:rPr>
          <w:sz w:val="20"/>
          <w:szCs w:val="20"/>
          <w:color w:val="auto"/>
        </w:rPr>
      </w:pPr>
    </w:p>
    <w:p>
      <w:pPr>
        <w:ind w:right="20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Supplementary Protection Certificate</w:t>
      </w:r>
      <w:r>
        <w:rPr>
          <w:rFonts w:ascii="Arial" w:cs="Arial" w:eastAsia="Arial" w:hAnsi="Arial"/>
          <w:sz w:val="17"/>
          <w:szCs w:val="17"/>
          <w:color w:val="auto"/>
        </w:rPr>
        <w:t>” means a right based on a patent pursuant to which the holder of the right is entitled to exclude third parties from using, making, having made, selling or otherwise disposing or offering to dispose of, importing or keeping the product to which the right relates, such as supplementary protection certificates in Europe, and any similar right anywhere in the world.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Technology Access Fee</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has the meaning set forth in the Collaboration and Option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means worldwide.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 person other than a Party or an Affiliate of a Party.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Service Provider</w:t>
      </w:r>
      <w:r>
        <w:rPr>
          <w:rFonts w:ascii="Arial" w:cs="Arial" w:eastAsia="Arial" w:hAnsi="Arial"/>
          <w:sz w:val="18"/>
          <w:szCs w:val="18"/>
          <w:color w:val="auto"/>
        </w:rPr>
        <w:t>” has the meaning given in the Collaboration and Option Agreement.</w:t>
      </w:r>
    </w:p>
    <w:p>
      <w:pPr>
        <w:spacing w:after="0" w:line="221"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Tobacco Party</w:t>
      </w:r>
      <w:r>
        <w:rPr>
          <w:rFonts w:ascii="Arial" w:cs="Arial" w:eastAsia="Arial" w:hAnsi="Arial"/>
          <w:sz w:val="16"/>
          <w:szCs w:val="16"/>
          <w:color w:val="auto"/>
        </w:rPr>
        <w:t>” means: (i) any person who develops, sells or manufactures tobacco products; and/ or (ii) any person which makes the majority of its profits from the importation, marketing, sale or disposal of tobacco products. Furthermore, Tobacco Party shall include any person that is Controlled by or under common Control with any of the persons referred to in subsections (i) and/or (ii) of the immediately preceding sentence.</w:t>
      </w:r>
    </w:p>
    <w:p>
      <w:pPr>
        <w:spacing w:after="0" w:line="150"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the Formation and Investment Agreement, Shareholders’ Agreement and Collaboration and Option Agreement.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515" w:name="page516"/>
    <w:bookmarkEnd w:id="51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1.2 </w:t>
      </w:r>
      <w:r>
        <w:rPr>
          <w:rFonts w:ascii="Arial" w:cs="Arial" w:eastAsia="Arial" w:hAnsi="Arial"/>
          <w:sz w:val="18"/>
          <w:szCs w:val="18"/>
          <w:color w:val="auto"/>
        </w:rPr>
        <w:t>In this Agreement:</w:t>
      </w:r>
    </w:p>
    <w:p>
      <w:pPr>
        <w:spacing w:after="0" w:line="118" w:lineRule="exact"/>
        <w:rPr>
          <w:sz w:val="20"/>
          <w:szCs w:val="20"/>
          <w:color w:val="auto"/>
        </w:rPr>
      </w:pPr>
    </w:p>
    <w:p>
      <w:pPr>
        <w:ind w:right="260" w:firstLine="990"/>
        <w:spacing w:after="0" w:line="301" w:lineRule="auto"/>
        <w:tabs>
          <w:tab w:leader="none" w:pos="1234" w:val="left"/>
        </w:tabs>
        <w:numPr>
          <w:ilvl w:val="1"/>
          <w:numId w:val="409"/>
        </w:numPr>
        <w:rPr>
          <w:rFonts w:ascii="Arial" w:cs="Arial" w:eastAsia="Arial" w:hAnsi="Arial"/>
          <w:sz w:val="17"/>
          <w:szCs w:val="17"/>
          <w:b w:val="1"/>
          <w:bCs w:val="1"/>
          <w:color w:val="auto"/>
        </w:rPr>
      </w:pPr>
      <w:r>
        <w:rPr>
          <w:rFonts w:ascii="Arial" w:cs="Arial" w:eastAsia="Arial" w:hAnsi="Arial"/>
          <w:sz w:val="17"/>
          <w:szCs w:val="17"/>
          <w:color w:val="auto"/>
        </w:rPr>
        <w:t>unless the context otherwise requires, all references to a particular Clause, paragraph or Schedule shall be a reference to that clause, paragraph or schedule, in or to this Agreement as it may be amended from time to time pursuant to this Agreement;</w:t>
      </w:r>
    </w:p>
    <w:p>
      <w:pPr>
        <w:spacing w:after="0" w:line="151" w:lineRule="exact"/>
        <w:rPr>
          <w:rFonts w:ascii="Arial" w:cs="Arial" w:eastAsia="Arial" w:hAnsi="Arial"/>
          <w:sz w:val="17"/>
          <w:szCs w:val="17"/>
          <w:b w:val="1"/>
          <w:bCs w:val="1"/>
          <w:color w:val="auto"/>
        </w:rPr>
      </w:pPr>
    </w:p>
    <w:p>
      <w:pPr>
        <w:ind w:left="1260" w:hanging="270"/>
        <w:spacing w:after="0"/>
        <w:tabs>
          <w:tab w:leader="none" w:pos="1260" w:val="left"/>
        </w:tabs>
        <w:numPr>
          <w:ilvl w:val="1"/>
          <w:numId w:val="409"/>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are inserted for convenience only and shall be ignored in construing this Agreement;</w:t>
      </w:r>
    </w:p>
    <w:p>
      <w:pPr>
        <w:spacing w:after="0" w:line="220" w:lineRule="exact"/>
        <w:rPr>
          <w:rFonts w:ascii="Arial" w:cs="Arial" w:eastAsia="Arial" w:hAnsi="Arial"/>
          <w:sz w:val="18"/>
          <w:szCs w:val="18"/>
          <w:b w:val="1"/>
          <w:bCs w:val="1"/>
          <w:color w:val="auto"/>
        </w:rPr>
      </w:pPr>
    </w:p>
    <w:p>
      <w:pPr>
        <w:ind w:right="40" w:firstLine="990"/>
        <w:spacing w:after="0" w:line="271" w:lineRule="auto"/>
        <w:tabs>
          <w:tab w:leader="none" w:pos="1224" w:val="left"/>
        </w:tabs>
        <w:numPr>
          <w:ilvl w:val="1"/>
          <w:numId w:val="409"/>
        </w:numPr>
        <w:rPr>
          <w:rFonts w:ascii="Arial" w:cs="Arial" w:eastAsia="Arial" w:hAnsi="Arial"/>
          <w:sz w:val="18"/>
          <w:szCs w:val="18"/>
          <w:b w:val="1"/>
          <w:bCs w:val="1"/>
          <w:color w:val="auto"/>
        </w:rPr>
      </w:pPr>
      <w:r>
        <w:rPr>
          <w:rFonts w:ascii="Arial" w:cs="Arial" w:eastAsia="Arial" w:hAnsi="Arial"/>
          <w:sz w:val="18"/>
          <w:szCs w:val="18"/>
          <w:color w:val="auto"/>
        </w:rPr>
        <w:t>unless the contrary intention appears, words importing the masculine gender shall include the feminine and vice versa and words in the singular include the plural and vice versa;</w:t>
      </w:r>
    </w:p>
    <w:p>
      <w:pPr>
        <w:spacing w:after="0" w:line="174" w:lineRule="exact"/>
        <w:rPr>
          <w:rFonts w:ascii="Arial" w:cs="Arial" w:eastAsia="Arial" w:hAnsi="Arial"/>
          <w:sz w:val="18"/>
          <w:szCs w:val="18"/>
          <w:b w:val="1"/>
          <w:bCs w:val="1"/>
          <w:color w:val="auto"/>
        </w:rPr>
      </w:pPr>
    </w:p>
    <w:p>
      <w:pPr>
        <w:ind w:right="280" w:firstLine="990"/>
        <w:spacing w:after="0" w:line="301" w:lineRule="auto"/>
        <w:tabs>
          <w:tab w:leader="none" w:pos="1245" w:val="left"/>
        </w:tabs>
        <w:numPr>
          <w:ilvl w:val="1"/>
          <w:numId w:val="409"/>
        </w:numPr>
        <w:rPr>
          <w:rFonts w:ascii="Arial" w:cs="Arial" w:eastAsia="Arial" w:hAnsi="Arial"/>
          <w:sz w:val="17"/>
          <w:szCs w:val="17"/>
          <w:b w:val="1"/>
          <w:bCs w:val="1"/>
          <w:color w:val="auto"/>
        </w:rPr>
      </w:pPr>
      <w:r>
        <w:rPr>
          <w:rFonts w:ascii="Arial" w:cs="Arial" w:eastAsia="Arial" w:hAnsi="Arial"/>
          <w:sz w:val="17"/>
          <w:szCs w:val="17"/>
          <w:color w:val="auto"/>
        </w:rPr>
        <w:t>unless the contrary intention appears, words denoting persons shall include any individual, partnership, company, corporation, joint venture, trust association, organisation or other entity, in each case whether or not having separate legal personality;</w:t>
      </w:r>
    </w:p>
    <w:p>
      <w:pPr>
        <w:spacing w:after="0" w:line="151" w:lineRule="exact"/>
        <w:rPr>
          <w:rFonts w:ascii="Arial" w:cs="Arial" w:eastAsia="Arial" w:hAnsi="Arial"/>
          <w:sz w:val="17"/>
          <w:szCs w:val="17"/>
          <w:b w:val="1"/>
          <w:bCs w:val="1"/>
          <w:color w:val="auto"/>
        </w:rPr>
      </w:pPr>
    </w:p>
    <w:p>
      <w:pPr>
        <w:ind w:right="40" w:firstLine="990"/>
        <w:spacing w:after="0" w:line="301" w:lineRule="auto"/>
        <w:tabs>
          <w:tab w:leader="none" w:pos="1224" w:val="left"/>
        </w:tabs>
        <w:numPr>
          <w:ilvl w:val="1"/>
          <w:numId w:val="409"/>
        </w:numPr>
        <w:rPr>
          <w:rFonts w:ascii="Arial" w:cs="Arial" w:eastAsia="Arial" w:hAnsi="Arial"/>
          <w:sz w:val="17"/>
          <w:szCs w:val="17"/>
          <w:b w:val="1"/>
          <w:bCs w:val="1"/>
          <w:color w:val="auto"/>
        </w:rPr>
      </w:pPr>
      <w:r>
        <w:rPr>
          <w:rFonts w:ascii="Arial" w:cs="Arial" w:eastAsia="Arial" w:hAnsi="Arial"/>
          <w:sz w:val="17"/>
          <w:szCs w:val="17"/>
          <w:color w:val="auto"/>
        </w:rPr>
        <w:t>reference to the words “include” or “including” are to be construed without limitation to the generality of the preceding words, and, for clarity, the words “include” or “including” shall be deemed to be followed by the phrase “without limitation” or like expression; and</w:t>
      </w:r>
    </w:p>
    <w:p>
      <w:pPr>
        <w:spacing w:after="0" w:line="151" w:lineRule="exact"/>
        <w:rPr>
          <w:rFonts w:ascii="Arial" w:cs="Arial" w:eastAsia="Arial" w:hAnsi="Arial"/>
          <w:sz w:val="17"/>
          <w:szCs w:val="17"/>
          <w:b w:val="1"/>
          <w:bCs w:val="1"/>
          <w:color w:val="auto"/>
        </w:rPr>
      </w:pPr>
    </w:p>
    <w:p>
      <w:pPr>
        <w:ind w:right="900" w:firstLine="990"/>
        <w:spacing w:after="0" w:line="271" w:lineRule="auto"/>
        <w:tabs>
          <w:tab w:leader="none" w:pos="1205" w:val="left"/>
        </w:tabs>
        <w:numPr>
          <w:ilvl w:val="1"/>
          <w:numId w:val="409"/>
        </w:numPr>
        <w:rPr>
          <w:rFonts w:ascii="Arial" w:cs="Arial" w:eastAsia="Arial" w:hAnsi="Arial"/>
          <w:sz w:val="18"/>
          <w:szCs w:val="18"/>
          <w:b w:val="1"/>
          <w:bCs w:val="1"/>
          <w:color w:val="auto"/>
        </w:rPr>
      </w:pPr>
      <w:r>
        <w:rPr>
          <w:rFonts w:ascii="Arial" w:cs="Arial" w:eastAsia="Arial" w:hAnsi="Arial"/>
          <w:sz w:val="18"/>
          <w:szCs w:val="18"/>
          <w:color w:val="auto"/>
        </w:rPr>
        <w:t>reference to any statute or regulation includes any medication or re-enactment of that statute or regulation provided that the modification or re-enactment does not diminish the rights or extend the obligations of any Party.</w:t>
      </w:r>
    </w:p>
    <w:p>
      <w:pPr>
        <w:spacing w:after="0" w:line="317" w:lineRule="exact"/>
        <w:rPr>
          <w:rFonts w:ascii="Arial" w:cs="Arial" w:eastAsia="Arial" w:hAnsi="Arial"/>
          <w:sz w:val="18"/>
          <w:szCs w:val="18"/>
          <w:b w:val="1"/>
          <w:bCs w:val="1"/>
          <w:color w:val="auto"/>
        </w:rPr>
      </w:pPr>
    </w:p>
    <w:p>
      <w:pPr>
        <w:ind w:left="440" w:hanging="433"/>
        <w:spacing w:after="0"/>
        <w:tabs>
          <w:tab w:leader="none" w:pos="44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LICENCES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Subject to the provisions of this Agreement (including the research rights retained by the ICR and CRT pursuant to Clause 2.5) and Clauses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8.5 and 20.2 of the Collaboration and Option Agreement, each of CRT and the ICR hereby grants to the Company:</w:t>
      </w:r>
    </w:p>
    <w:p>
      <w:pPr>
        <w:spacing w:after="0" w:line="101" w:lineRule="exact"/>
        <w:rPr>
          <w:sz w:val="20"/>
          <w:szCs w:val="20"/>
          <w:color w:val="auto"/>
        </w:rPr>
      </w:pPr>
    </w:p>
    <w:p>
      <w:pPr>
        <w:jc w:val="both"/>
        <w:ind w:right="40" w:firstLine="990"/>
        <w:spacing w:after="0" w:line="307" w:lineRule="auto"/>
        <w:tabs>
          <w:tab w:leader="none" w:pos="1234" w:val="left"/>
        </w:tabs>
        <w:numPr>
          <w:ilvl w:val="0"/>
          <w:numId w:val="411"/>
        </w:numPr>
        <w:rPr>
          <w:rFonts w:ascii="Arial" w:cs="Arial" w:eastAsia="Arial" w:hAnsi="Arial"/>
          <w:sz w:val="16"/>
          <w:szCs w:val="16"/>
          <w:b w:val="1"/>
          <w:bCs w:val="1"/>
          <w:color w:val="auto"/>
        </w:rPr>
      </w:pPr>
      <w:r>
        <w:rPr>
          <w:rFonts w:ascii="Arial" w:cs="Arial" w:eastAsia="Arial" w:hAnsi="Arial"/>
          <w:sz w:val="16"/>
          <w:szCs w:val="16"/>
          <w:color w:val="auto"/>
        </w:rPr>
        <w:t>an exclusive, fully-paid, irrevocable, perpetual licence, with the right to grant sub-licences as provided in Clause 2.2, under all of CRT’s and the ICR’s respective rights in and to the Compound Intellectual Property for all purposes, including to discover, research, develop, have developed, use, keep, make, have made, market, import, offer for sale, sell and otherwise dispose of Licensed Products in the Field in the Territory ; and</w:t>
      </w:r>
    </w:p>
    <w:p>
      <w:pPr>
        <w:spacing w:after="0" w:line="149" w:lineRule="exact"/>
        <w:rPr>
          <w:rFonts w:ascii="Arial" w:cs="Arial" w:eastAsia="Arial" w:hAnsi="Arial"/>
          <w:sz w:val="16"/>
          <w:szCs w:val="16"/>
          <w:b w:val="1"/>
          <w:bCs w:val="1"/>
          <w:color w:val="auto"/>
        </w:rPr>
      </w:pPr>
    </w:p>
    <w:p>
      <w:pPr>
        <w:ind w:firstLine="990"/>
        <w:spacing w:after="0" w:line="275" w:lineRule="auto"/>
        <w:tabs>
          <w:tab w:leader="none" w:pos="1245" w:val="left"/>
        </w:tabs>
        <w:numPr>
          <w:ilvl w:val="0"/>
          <w:numId w:val="411"/>
        </w:numPr>
        <w:rPr>
          <w:rFonts w:ascii="Arial" w:cs="Arial" w:eastAsia="Arial" w:hAnsi="Arial"/>
          <w:sz w:val="17"/>
          <w:szCs w:val="17"/>
          <w:b w:val="1"/>
          <w:bCs w:val="1"/>
          <w:color w:val="auto"/>
        </w:rPr>
      </w:pPr>
      <w:r>
        <w:rPr>
          <w:rFonts w:ascii="Arial" w:cs="Arial" w:eastAsia="Arial" w:hAnsi="Arial"/>
          <w:sz w:val="17"/>
          <w:szCs w:val="17"/>
          <w:color w:val="auto"/>
        </w:rPr>
        <w:t>an exclusive fully-paid, irrevocable, perpetual licence, with the right to grant sub-licences as provided in Clause 2.2, under all of CRT’s and the ICR’s respective rights in and to the Non-Compound Intellectual Property listed in Schedule 1 A(ii) and I B(ii), and the CRT/ICR Background Hit Intellectual Property listed in Schedule 2 Part B, to discover, research, develop, have developed, use, keep, make, have made, market, import, offer for sale, sell and otherwise dispose of Protein Degradation Products in the Field in the Territory;</w:t>
      </w:r>
    </w:p>
    <w:p>
      <w:pPr>
        <w:spacing w:after="0" w:line="173" w:lineRule="exact"/>
        <w:rPr>
          <w:rFonts w:ascii="Arial" w:cs="Arial" w:eastAsia="Arial" w:hAnsi="Arial"/>
          <w:sz w:val="17"/>
          <w:szCs w:val="17"/>
          <w:b w:val="1"/>
          <w:bCs w:val="1"/>
          <w:color w:val="auto"/>
        </w:rPr>
      </w:pPr>
    </w:p>
    <w:p>
      <w:pPr>
        <w:ind w:right="40" w:firstLine="990"/>
        <w:spacing w:after="0" w:line="255" w:lineRule="auto"/>
        <w:tabs>
          <w:tab w:leader="none" w:pos="1224"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a non-exclusive fully-paid irrevocable, perpetual licence, with the right to grant sub-licences as provided in Clause 2.2, under all of CRT’s and the ICR’s respective rights in and to the Non-Compound Intellectual Property to discover, research, develop, have developed, use, keep, make, have made, market, import, offer for sale, sell and otherwise dispose of Licensed Products other than Protein Degradation Products in the Field in the Territory;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7" w:right="519" w:bottom="1440" w:gutter="0" w:footer="0" w:header="0"/>
        </w:sectPr>
      </w:pPr>
    </w:p>
    <w:bookmarkStart w:id="516" w:name="page517"/>
    <w:bookmarkEnd w:id="516"/>
    <w:p>
      <w:pPr>
        <w:ind w:right="140" w:firstLine="990"/>
        <w:spacing w:after="0" w:line="255" w:lineRule="auto"/>
        <w:tabs>
          <w:tab w:leader="none" w:pos="124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 non-exclusive fully-paid, irrevocable, perpetual licence, with the right to grant sub-licences as provided in Clause 2.2, under all of CRT’s and the ICR’s respective rights in and to the CRT/ICR Background Hit Intellectual Property listed in Schedule 2 Part A to discover, research, develop, have developed, use, keep, make, have made, market, import, offer for sale, sell and otherwise dispose of Protein Degradation Products in the Field in the Territory.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The Company and the Sub-Licensees shall be entitled</w:t>
      </w:r>
      <w:r>
        <w:rPr>
          <w:rFonts w:ascii="Arial" w:cs="Arial" w:eastAsia="Arial" w:hAnsi="Arial"/>
          <w:sz w:val="16"/>
          <w:szCs w:val="16"/>
          <w:b w:val="1"/>
          <w:bCs w:val="1"/>
          <w:color w:val="auto"/>
        </w:rPr>
        <w:t xml:space="preserve"> to </w:t>
      </w:r>
      <w:r>
        <w:rPr>
          <w:rFonts w:ascii="Arial" w:cs="Arial" w:eastAsia="Arial" w:hAnsi="Arial"/>
          <w:sz w:val="16"/>
          <w:szCs w:val="16"/>
          <w:color w:val="auto"/>
        </w:rPr>
        <w:t>grant sub-licences</w:t>
      </w:r>
      <w:r>
        <w:rPr>
          <w:rFonts w:ascii="Arial" w:cs="Arial" w:eastAsia="Arial" w:hAnsi="Arial"/>
          <w:sz w:val="16"/>
          <w:szCs w:val="16"/>
          <w:b w:val="1"/>
          <w:bCs w:val="1"/>
          <w:color w:val="auto"/>
        </w:rPr>
        <w:t xml:space="preserve"> in </w:t>
      </w:r>
      <w:r>
        <w:rPr>
          <w:rFonts w:ascii="Arial" w:cs="Arial" w:eastAsia="Arial" w:hAnsi="Arial"/>
          <w:sz w:val="16"/>
          <w:szCs w:val="16"/>
          <w:color w:val="auto"/>
        </w:rPr>
        <w:t>respect of the rights granted under this Agreement, provided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1" w:lineRule="exact"/>
        <w:rPr>
          <w:sz w:val="20"/>
          <w:szCs w:val="20"/>
          <w:color w:val="auto"/>
        </w:rPr>
      </w:pPr>
    </w:p>
    <w:p>
      <w:pPr>
        <w:jc w:val="both"/>
        <w:ind w:right="60" w:firstLine="990"/>
        <w:spacing w:after="0" w:line="255" w:lineRule="auto"/>
        <w:tabs>
          <w:tab w:leader="none" w:pos="1234"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the Company shall ensure that there are included in the terms of any sublicence like obligations and undertakings on the part of the Sub-Licensee as are contained in this Agreement and are applicable to Sub-Licensees, including Clause 10 (confidentiality), Clause 3 (performance). Clause 7 (indemnity’) and Clause 13.1 (CRT’s and the ICR’s rights on termination) and shall further ensure that all Sub-Licensees duly comply with the same;</w:t>
      </w:r>
    </w:p>
    <w:p>
      <w:pPr>
        <w:spacing w:after="0" w:line="19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no sub-licence shall be granted to a Tobacco Party;</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13"/>
        </w:numPr>
        <w:rPr>
          <w:rFonts w:ascii="Arial" w:cs="Arial" w:eastAsia="Arial" w:hAnsi="Arial"/>
          <w:sz w:val="17"/>
          <w:szCs w:val="17"/>
          <w:b w:val="1"/>
          <w:bCs w:val="1"/>
          <w:color w:val="auto"/>
        </w:rPr>
      </w:pPr>
      <w:r>
        <w:rPr>
          <w:rFonts w:ascii="Arial" w:cs="Arial" w:eastAsia="Arial" w:hAnsi="Arial"/>
          <w:sz w:val="17"/>
          <w:szCs w:val="17"/>
          <w:color w:val="auto"/>
        </w:rPr>
        <w:t>within [***] of the grant of any sub-licence, the Company shall provide CRT and the ICR with a summary of the terms of such</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sub-licence at the Company’s expense, and the Company shall have the right to exclude from such summary any terms that are not reasonably necessary for CRT and the ICR to assess the compliance of such sub-license with Clause 2.2(a).</w:t>
      </w:r>
    </w:p>
    <w:p>
      <w:pPr>
        <w:spacing w:after="0" w:line="188"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The foregoing obligations shall not apply in relation to contracts the Company or its Sub-Licensees enters into with Third Party’ Service Providers, provided that such contracts relate to the provision of research, development and/or manufacturing services to the Company in connection with the Company’s Licensed Products, and no sub-license under CRT/ICR Existing Intellectual Property is granted to such Third Party to: (i) research, develop or manufacture its own Licensed Products; or(ii) sell the Company’s or its Sub-Licensees’ Licensed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Any breach of Clause 2.2 shall be deemed to be a material breach.</w:t>
      </w:r>
    </w:p>
    <w:p>
      <w:pPr>
        <w:spacing w:after="0" w:line="221"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The grant of any sub-licence shall be without prejudice to the Company’s obligations under this Agreement. Any act or omission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which, if it were the act or omission of the Company would be a breach of any of the provisions of this Agreement, will be deemed to be a breach of this Agreement by the Company who will be liable to CRT and the ICR accordingly.</w:t>
      </w:r>
    </w:p>
    <w:p>
      <w:pPr>
        <w:spacing w:after="0" w:line="181" w:lineRule="exact"/>
        <w:rPr>
          <w:sz w:val="20"/>
          <w:szCs w:val="20"/>
          <w:color w:val="auto"/>
        </w:rPr>
      </w:pPr>
    </w:p>
    <w:p>
      <w:pPr>
        <w:ind w:right="240" w:firstLine="436"/>
        <w:spacing w:after="0" w:line="284"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color w:val="auto"/>
        </w:rPr>
        <w:t>CRT and the ICR retain rights from the licences under Clause 2.1(a) and (b) under the CRT/ICR Existing Intellectual Property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CRT/ICR Background Hit Intellectual Property listed in Schedule 2 Part B solely to carry out non-commercial academic research and teaching and to conduct any and all activities allocated to CRT and/or the ICR under the Programme (in each case, subject always to [***]).</w:t>
      </w:r>
    </w:p>
    <w:p>
      <w:pPr>
        <w:spacing w:after="0" w:line="162" w:lineRule="exact"/>
        <w:rPr>
          <w:sz w:val="20"/>
          <w:szCs w:val="20"/>
          <w:color w:val="auto"/>
        </w:rPr>
      </w:pPr>
    </w:p>
    <w:p>
      <w:pPr>
        <w:ind w:right="180" w:firstLine="436"/>
        <w:spacing w:after="0" w:line="284"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No Party may use or practice the CRT/ICR. Existing Intellectual Property except as expressly permitted by this Agreement.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explicitly set forth in this Agreement, no Party shall be deemed by estoppel or implication to have granted any other Party any license or other right to any intellectual property of such Party and each Party reserves all rights not otherwise expressly granted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1" w:right="519" w:bottom="1440" w:gutter="0" w:footer="0" w:header="0"/>
        </w:sectPr>
      </w:pPr>
    </w:p>
    <w:bookmarkStart w:id="517" w:name="page518"/>
    <w:bookmarkEnd w:id="517"/>
    <w:p>
      <w:pPr>
        <w:ind w:left="440" w:hanging="433"/>
        <w:spacing w:after="0"/>
        <w:tabs>
          <w:tab w:leader="none" w:pos="44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PERFORMANCE</w:t>
      </w:r>
    </w:p>
    <w:p>
      <w:pPr>
        <w:spacing w:after="0" w:line="118" w:lineRule="exact"/>
        <w:rPr>
          <w:sz w:val="20"/>
          <w:szCs w:val="20"/>
          <w:color w:val="auto"/>
        </w:rPr>
      </w:pPr>
    </w:p>
    <w:p>
      <w:pPr>
        <w:ind w:right="760" w:firstLine="436"/>
        <w:spacing w:after="0" w:line="271" w:lineRule="auto"/>
        <w:rPr>
          <w:sz w:val="20"/>
          <w:szCs w:val="20"/>
          <w:color w:val="auto"/>
        </w:rPr>
      </w:pPr>
      <w:r>
        <w:rPr>
          <w:rFonts w:ascii="Arial" w:cs="Arial" w:eastAsia="Arial" w:hAnsi="Arial"/>
          <w:sz w:val="18"/>
          <w:szCs w:val="18"/>
          <w:color w:val="auto"/>
        </w:rPr>
        <w:t>The Company shall use Commercially Reasonable Efforts to conduct the Programme in accordance with the terms and conditions of the Collaboration and Option Agreement.</w:t>
      </w:r>
    </w:p>
    <w:p>
      <w:pPr>
        <w:spacing w:after="0" w:line="318" w:lineRule="exact"/>
        <w:rPr>
          <w:sz w:val="20"/>
          <w:szCs w:val="20"/>
          <w:color w:val="auto"/>
        </w:rPr>
      </w:pPr>
    </w:p>
    <w:p>
      <w:pPr>
        <w:ind w:left="440" w:hanging="433"/>
        <w:spacing w:after="0"/>
        <w:tabs>
          <w:tab w:leader="none" w:pos="4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In consideration of the rights and licences granted under this Agreement to the Company by each of CRT and the ICR, the Company shall:</w:t>
      </w:r>
    </w:p>
    <w:p>
      <w:pPr>
        <w:spacing w:after="0" w:line="125"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15"/>
        </w:numPr>
        <w:rPr>
          <w:rFonts w:ascii="Arial" w:cs="Arial" w:eastAsia="Arial" w:hAnsi="Arial"/>
          <w:sz w:val="17"/>
          <w:szCs w:val="17"/>
          <w:b w:val="1"/>
          <w:bCs w:val="1"/>
          <w:color w:val="auto"/>
        </w:rPr>
      </w:pPr>
      <w:r>
        <w:rPr>
          <w:rFonts w:ascii="Arial" w:cs="Arial" w:eastAsia="Arial" w:hAnsi="Arial"/>
          <w:sz w:val="17"/>
          <w:szCs w:val="17"/>
          <w:color w:val="auto"/>
        </w:rPr>
        <w:t>issue common shares of the Company to each of CRT and the ICR pursuant to the provisions of the Formation and Investment</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08" w:lineRule="exact"/>
        <w:rPr>
          <w:rFonts w:ascii="Arial" w:cs="Arial" w:eastAsia="Arial" w:hAnsi="Arial"/>
          <w:sz w:val="17"/>
          <w:szCs w:val="17"/>
          <w:b w:val="1"/>
          <w:bCs w:val="1"/>
          <w:color w:val="auto"/>
        </w:rPr>
      </w:pPr>
    </w:p>
    <w:p>
      <w:pPr>
        <w:ind w:right="160" w:firstLine="990"/>
        <w:spacing w:after="0" w:line="271" w:lineRule="auto"/>
        <w:tabs>
          <w:tab w:leader="none" w:pos="1245"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pay to CRT [***] percent ([***]%) of the Technology Access Fee within [***] of the registration of the FORMATION (as defined in the Formation and Investment Agreement) in the appropriate commercial register; and</w:t>
      </w:r>
    </w:p>
    <w:p>
      <w:pPr>
        <w:spacing w:after="0" w:line="174" w:lineRule="exact"/>
        <w:rPr>
          <w:rFonts w:ascii="Arial" w:cs="Arial" w:eastAsia="Arial" w:hAnsi="Arial"/>
          <w:sz w:val="18"/>
          <w:szCs w:val="18"/>
          <w:b w:val="1"/>
          <w:bCs w:val="1"/>
          <w:color w:val="auto"/>
        </w:rPr>
      </w:pPr>
    </w:p>
    <w:p>
      <w:pPr>
        <w:jc w:val="both"/>
        <w:ind w:right="140" w:firstLine="990"/>
        <w:spacing w:after="0" w:line="259" w:lineRule="auto"/>
        <w:tabs>
          <w:tab w:leader="none" w:pos="1224"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pay to the ICR [***] percent ([***]%) of the Technology Access Fee within [***] of the registration of the FORMATION (as defined in the Formation and Investment Agreement) in the appropriate commercial register. Such payment shall be made directly to the ICR and sent to [***]; Account name: [***]; Account number: [***]; Sort code: [***].</w:t>
      </w:r>
    </w:p>
    <w:p>
      <w:pPr>
        <w:spacing w:after="0" w:line="186" w:lineRule="exact"/>
        <w:rPr>
          <w:sz w:val="20"/>
          <w:szCs w:val="20"/>
          <w:color w:val="auto"/>
        </w:rPr>
      </w:pPr>
    </w:p>
    <w:p>
      <w:pPr>
        <w:ind w:right="260" w:firstLine="436"/>
        <w:spacing w:after="0" w:line="281" w:lineRule="auto"/>
        <w:rPr>
          <w:sz w:val="20"/>
          <w:szCs w:val="20"/>
          <w:color w:val="auto"/>
        </w:rPr>
      </w:pPr>
      <w:r>
        <w:rPr>
          <w:rFonts w:ascii="Arial" w:cs="Arial" w:eastAsia="Arial" w:hAnsi="Arial"/>
          <w:sz w:val="17"/>
          <w:szCs w:val="17"/>
          <w:color w:val="auto"/>
        </w:rPr>
        <w:t>Payment of the Technology Access Fee in accordance with Clauses 4(b) and 4(c) shall be subject to the payment terms set out in clauses 10.1, 10.3, 10.4, 10.5 and 10.6 of the Collaboration and Option Agreement, provided that such payment shall be made in [***] and clauses 10.3, 10.4, 10.5 and 10.6 of the Collaboration and Option Agreement shall apply to payments to both CRT and the ICR.</w:t>
      </w:r>
    </w:p>
    <w:p>
      <w:pPr>
        <w:spacing w:after="0" w:line="312" w:lineRule="exact"/>
        <w:rPr>
          <w:sz w:val="20"/>
          <w:szCs w:val="20"/>
          <w:color w:val="auto"/>
        </w:rPr>
      </w:pPr>
    </w:p>
    <w:p>
      <w:pPr>
        <w:ind w:left="440" w:hanging="433"/>
        <w:spacing w:after="0"/>
        <w:tabs>
          <w:tab w:leader="none" w:pos="44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PROTECTION, PROCEEDINGS AND COSTS</w:t>
      </w:r>
    </w:p>
    <w:p>
      <w:pPr>
        <w:spacing w:after="0" w:line="11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Subject to Clauses 5.2, 5.3 and 5.4, the Company shall have the first right, but not the obligation, for preparing, filing, prosecuting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maintaining (including any patent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reissue, revocation, opposition and appeal proceedings) any CRT/ICR Existing Patents in the joint names of CRT and ICR, and in the name of the Company to the extent such CRT/ICR Existing Patent includes claims for inventions that are not within the CRT/ICR Existing Intellectual Property, at Company’s own cost and expense with the aim of maximizing duration and scope thereof, which, during the Term, will be in accordance with the strategy agreed by the JSC. CRT and the ICR shall provide the Company all reasonable assistance and cooperation requested in the CRT/ICR Existing Patent preparation, filing, prosecution and maintenance efforts provided in this Clause 5.1, including providing any reasonably necessary’ and suitably limited powers of attorney and assignments and executing any other required documents or instruments for such filing, prosecution and maintenance.</w:t>
      </w:r>
    </w:p>
    <w:p>
      <w:pPr>
        <w:spacing w:after="0" w:line="180" w:lineRule="exact"/>
        <w:rPr>
          <w:sz w:val="20"/>
          <w:szCs w:val="20"/>
          <w:color w:val="auto"/>
        </w:rPr>
      </w:pPr>
    </w:p>
    <w:p>
      <w:pPr>
        <w:ind w:right="180" w:firstLine="436"/>
        <w:spacing w:after="0" w:line="291"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The Company shall keep CRT and the ICR reasonably informed as to the prosecution and maintenance status of any such CRT/ICR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and shall at CRT’s request promptly provide CRT and ICR with a copy of all material submissions made to or responses received from the relevant patent offices and all material correspondence to and responses received from the relevant patent agent in relation to the CRT/ICR Existing Patents in each applicable country of the Territory. Company shall notify CRT and ICR at least [***] prior to any restriction of scope of any of the CRT/ICR Existing Patents. At Company’s sole discretion, Company shall be at liberty to instruct its patent agent to copy CRT and the ICR into correspondence sent by the patent agent in which case Company shall be deemed to have complied with this Clause 5.2.</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518" w:name="page519"/>
    <w:bookmarkEnd w:id="518"/>
    <w:p>
      <w:pPr>
        <w:ind w:firstLine="43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5.3 </w:t>
      </w:r>
      <w:r>
        <w:rPr>
          <w:rFonts w:ascii="Arial" w:cs="Arial" w:eastAsia="Arial" w:hAnsi="Arial"/>
          <w:sz w:val="17"/>
          <w:szCs w:val="17"/>
          <w:color w:val="auto"/>
        </w:rPr>
        <w:t>If Company is aware of and elects not to file a patent application claiming a patentable invention that is not commercially sensitive to</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(as valuable CRT/ICR Existing Know How which the Company believes reasonable is best protected through remaining confidential prior to any first publication by the ICR), Company shall promptly notify’ CRT and the ICR of such decision and CRT (and if CRT declines, the ICR) shall have the right (but not the obligation) to file such an application. If CRT (or if CRT declines, the ICR) elects to exercise such right by notice in writing to the Company, CRT (or if CRT declines, the ICR) shall thereafter be solely responsible for the (expense of filing, prosecuting and maintaining the corresponding Patent, which shall be excluded from the licence granted under Clause 2.1.</w:t>
      </w:r>
    </w:p>
    <w:p>
      <w:pPr>
        <w:spacing w:after="0" w:line="174"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If Company elects to stop the prosecution or maintenance of any part of the CRT/ICR Existing Patents, Company shall notify CRT and ICR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of such decision, but no later than [***] prior to the expiration of any applicable time bars. During the aforementioned [***] notice period. Company shall retain the responsibility for the prosecution and maintenance of the CRT/ICR Existing Patent in question. On expiry of such notice period, unless Company demonstrates [***] (the “</w:t>
      </w:r>
      <w:r>
        <w:rPr>
          <w:rFonts w:ascii="Arial" w:cs="Arial" w:eastAsia="Arial" w:hAnsi="Arial"/>
          <w:sz w:val="18"/>
          <w:szCs w:val="18"/>
          <w:i w:val="1"/>
          <w:iCs w:val="1"/>
          <w:color w:val="auto"/>
        </w:rPr>
        <w:t>Commercial Delay Rationale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80" w:lineRule="exact"/>
        <w:rPr>
          <w:sz w:val="20"/>
          <w:szCs w:val="20"/>
          <w:color w:val="auto"/>
        </w:rPr>
      </w:pPr>
    </w:p>
    <w:p>
      <w:pPr>
        <w:ind w:left="1240" w:hanging="250"/>
        <w:spacing w:after="0"/>
        <w:tabs>
          <w:tab w:leader="none" w:pos="1240" w:val="left"/>
        </w:tabs>
        <w:numPr>
          <w:ilvl w:val="0"/>
          <w:numId w:val="417"/>
        </w:numPr>
        <w:rPr>
          <w:rFonts w:ascii="Arial" w:cs="Arial" w:eastAsia="Arial" w:hAnsi="Arial"/>
          <w:sz w:val="17"/>
          <w:szCs w:val="17"/>
          <w:b w:val="1"/>
          <w:bCs w:val="1"/>
          <w:color w:val="auto"/>
        </w:rPr>
      </w:pPr>
      <w:r>
        <w:rPr>
          <w:rFonts w:ascii="Arial" w:cs="Arial" w:eastAsia="Arial" w:hAnsi="Arial"/>
          <w:sz w:val="17"/>
          <w:szCs w:val="17"/>
          <w:color w:val="auto"/>
        </w:rPr>
        <w:t>the licence granted pursuant to Clause 2.1 shall terminate in respect of the CRT/ICR Existing Patents identified in such notice;</w:t>
      </w:r>
    </w:p>
    <w:p>
      <w:pPr>
        <w:spacing w:after="0" w:line="232" w:lineRule="exact"/>
        <w:rPr>
          <w:rFonts w:ascii="Arial" w:cs="Arial" w:eastAsia="Arial" w:hAnsi="Arial"/>
          <w:sz w:val="17"/>
          <w:szCs w:val="17"/>
          <w:b w:val="1"/>
          <w:bCs w:val="1"/>
          <w:color w:val="auto"/>
        </w:rPr>
      </w:pPr>
    </w:p>
    <w:p>
      <w:pPr>
        <w:ind w:right="160" w:firstLine="990"/>
        <w:spacing w:after="0" w:line="301" w:lineRule="auto"/>
        <w:tabs>
          <w:tab w:leader="none" w:pos="1245" w:val="left"/>
        </w:tabs>
        <w:numPr>
          <w:ilvl w:val="0"/>
          <w:numId w:val="417"/>
        </w:numPr>
        <w:rPr>
          <w:rFonts w:ascii="Arial" w:cs="Arial" w:eastAsia="Arial" w:hAnsi="Arial"/>
          <w:sz w:val="17"/>
          <w:szCs w:val="17"/>
          <w:b w:val="1"/>
          <w:bCs w:val="1"/>
          <w:color w:val="auto"/>
        </w:rPr>
      </w:pPr>
      <w:r>
        <w:rPr>
          <w:rFonts w:ascii="Arial" w:cs="Arial" w:eastAsia="Arial" w:hAnsi="Arial"/>
          <w:sz w:val="17"/>
          <w:szCs w:val="17"/>
          <w:color w:val="auto"/>
        </w:rPr>
        <w:t>Company shall, at CRT’s (of if CRT declines, ICR’s) request, promptly transfer to CRT (or any person nominated by CRT, or if CRT declines, ICR) any and all documents and information in Company’s control relating to such CRT/ICR Existing Patents; and</w:t>
      </w:r>
    </w:p>
    <w:p>
      <w:pPr>
        <w:spacing w:after="0" w:line="151" w:lineRule="exact"/>
        <w:rPr>
          <w:rFonts w:ascii="Arial" w:cs="Arial" w:eastAsia="Arial" w:hAnsi="Arial"/>
          <w:sz w:val="17"/>
          <w:szCs w:val="17"/>
          <w:b w:val="1"/>
          <w:bCs w:val="1"/>
          <w:color w:val="auto"/>
        </w:rPr>
      </w:pPr>
    </w:p>
    <w:p>
      <w:pPr>
        <w:ind w:right="120" w:firstLine="990"/>
        <w:spacing w:after="0" w:line="271" w:lineRule="auto"/>
        <w:tabs>
          <w:tab w:leader="none" w:pos="1224"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CRT (or if CRT declines, ICR) shall be free to prosecute or abandon such CRT/ICR Existing Patents at its sole discretion and to grant rights thereunder to any person without further reference to Company.</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Should CRT and/or ICR dispute the Commercial Delay Rationale set out in the notice, the matter may be referred for determination in accordance with Clause 25.</w:t>
      </w:r>
    </w:p>
    <w:p>
      <w:pPr>
        <w:spacing w:after="0" w:line="171"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Each Party will notify the other, in writing as soon as reasonably practicable after it becomes aware that any claim is made or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CRT, the ICR, the Company or a Sub-Licensee (in the case of the latter, where this is made known to the Company) by any Third Party that the exercise by CRT, the ICR, the Company or a Sub-Licensee of the rights granted pursuant to this Agreement infringes any Patent or other rights of any Third Party.</w:t>
      </w:r>
    </w:p>
    <w:p>
      <w:pPr>
        <w:spacing w:after="0" w:line="183" w:lineRule="exact"/>
        <w:rPr>
          <w:sz w:val="20"/>
          <w:szCs w:val="20"/>
          <w:color w:val="auto"/>
        </w:rPr>
      </w:pPr>
    </w:p>
    <w:p>
      <w:pPr>
        <w:jc w:val="both"/>
        <w:ind w:right="20" w:firstLine="436"/>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In the event of the circumstances described in Clause 5.5 arising, the Company shall use Commercially Reasonable Efforts to take such steps</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necessary in order to address as appropriate any such alleged infringement by the Company or a Sub-Licensee, and CRT and the ICR shall, at the Company’s cost, give it all reasonable co-operation in this regard.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80" w:top="268" w:right="539" w:bottom="1440" w:gutter="0" w:footer="0" w:header="0"/>
        </w:sectPr>
      </w:pPr>
    </w:p>
    <w:bookmarkStart w:id="519" w:name="page520"/>
    <w:bookmarkEnd w:id="519"/>
    <w:p>
      <w:pPr>
        <w:ind w:right="6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5.7 </w:t>
      </w:r>
      <w:r>
        <w:rPr>
          <w:rFonts w:ascii="Arial" w:cs="Arial" w:eastAsia="Arial" w:hAnsi="Arial"/>
          <w:sz w:val="18"/>
          <w:szCs w:val="18"/>
          <w:color w:val="auto"/>
        </w:rPr>
        <w:t>Each Party will notify the other in writing as soon as it becomes aware of unauthorised use of the CRT/ICR Existing Intellectual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sole right, but not the obligation to:</w:t>
      </w:r>
    </w:p>
    <w:p>
      <w:pPr>
        <w:spacing w:after="0" w:line="65" w:lineRule="exact"/>
        <w:rPr>
          <w:sz w:val="20"/>
          <w:szCs w:val="20"/>
          <w:color w:val="auto"/>
        </w:rPr>
      </w:pPr>
    </w:p>
    <w:p>
      <w:pPr>
        <w:ind w:right="220" w:firstLine="990"/>
        <w:spacing w:after="0" w:line="271" w:lineRule="auto"/>
        <w:tabs>
          <w:tab w:leader="none" w:pos="1234"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at its own cost and subject to Clause 5.8, bring proceedings in its own name or, if required by law, jointly with CRT and the ICR, for misappropriation of and/or unauthorized used the CRT/ICR Existing Intellectual Property; and</w:t>
      </w:r>
    </w:p>
    <w:p>
      <w:pPr>
        <w:spacing w:after="0" w:line="174" w:lineRule="exact"/>
        <w:rPr>
          <w:rFonts w:ascii="Arial" w:cs="Arial" w:eastAsia="Arial" w:hAnsi="Arial"/>
          <w:sz w:val="18"/>
          <w:szCs w:val="18"/>
          <w:b w:val="1"/>
          <w:bCs w:val="1"/>
          <w:color w:val="auto"/>
        </w:rPr>
      </w:pPr>
    </w:p>
    <w:p>
      <w:pPr>
        <w:ind w:right="180" w:firstLine="990"/>
        <w:spacing w:after="0" w:line="271" w:lineRule="auto"/>
        <w:tabs>
          <w:tab w:leader="none" w:pos="1245"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in any such proceedings settle any such claim, subject to the consent of CRT and the ICR, which shall not be unreasonably withheld, conditioned or delayed.</w:t>
      </w:r>
    </w:p>
    <w:p>
      <w:pPr>
        <w:spacing w:after="0" w:line="171" w:lineRule="exact"/>
        <w:rPr>
          <w:sz w:val="20"/>
          <w:szCs w:val="20"/>
          <w:color w:val="auto"/>
        </w:rPr>
      </w:pPr>
    </w:p>
    <w:p>
      <w:pPr>
        <w:ind w:right="40" w:firstLine="436"/>
        <w:spacing w:after="0" w:line="271"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color w:val="auto"/>
        </w:rPr>
        <w:t>In any such proceedings, CRT and the ICR shall, at the Company’s cost, promptly provide the Company with all documents and assistance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reasonably require, including joining in any such proceeding and/or providing any reasonably necessary’ and suitably limited powers of attorney. The Company shall promptly provide CRT and the ICR with notice of such proceedings, keep CRT and the ICR regularly informed of progress and promptly provide CRT and the ICR with such information as CRT and/or ICR may reasonably require, including copies of all documents filed at court or other tribunal in such proceedings. Subject to Clause 12.6 of the Collaboration and Option Agreement, the Company shall be entitled to keep all monies recovered in such proceedings.</w:t>
      </w:r>
    </w:p>
    <w:p>
      <w:pPr>
        <w:spacing w:after="0" w:line="174"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7"/>
          <w:szCs w:val="17"/>
          <w:color w:val="auto"/>
        </w:rPr>
        <w:t>If the Company does not exercise its right to bring proceedings pursuant to Clause 5.7(a) within [***] of the written notification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Clause 5.7 then CRT (and if CRT declines, the ICR) may, but shall not be obliged, to bring such proceedings at its own cost. If necessary (including to recover damages), the Company shall join in such proceedings. After reimbursement of the Company’s costs and expenses incurred in such proceedings, CRT or the ICR (as the case may be) shall be entitled to all monies recovered in such proceedings. In any such proceedings the Company, and the ICR or CRT (as the case may be), shall, at the CRT’s or the ICR’s costs (as the case may be) promptly provide CRT or the ICR (as the case may be) with all documents and assistance as CRT or the ICR (as the case may be) may reasonably require. CRT and/or the ICR (as the case may be) shall promptly provide the Company and CRT or the ICR (as the case may be) with notice of such proceedings, keep the Company and CRT or the ICR (as the case may be) regularly informed of progress and promptly provide the Company and CRT or the ICR (as the case may be) with such information as the Company and CRT or the ICR (as the case may be) may reasonably require, including copies of all documents filed at court or other tribunal in such proceedings.</w:t>
      </w:r>
    </w:p>
    <w:p>
      <w:pPr>
        <w:spacing w:after="0" w:line="326" w:lineRule="exact"/>
        <w:rPr>
          <w:sz w:val="20"/>
          <w:szCs w:val="20"/>
          <w:color w:val="auto"/>
        </w:rPr>
      </w:pPr>
    </w:p>
    <w:p>
      <w:pPr>
        <w:ind w:left="440" w:hanging="433"/>
        <w:spacing w:after="0"/>
        <w:tabs>
          <w:tab w:leader="none" w:pos="44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Each Party represents and warrants to the other Parties that:</w:t>
      </w:r>
    </w:p>
    <w:p>
      <w:pPr>
        <w:spacing w:after="0" w:line="117"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such Party has the full power and authority to enter into this Agreement and to carry out the provisions hereof; and</w:t>
      </w:r>
    </w:p>
    <w:p>
      <w:pPr>
        <w:spacing w:after="0" w:line="220" w:lineRule="exact"/>
        <w:rPr>
          <w:rFonts w:ascii="Arial" w:cs="Arial" w:eastAsia="Arial" w:hAnsi="Arial"/>
          <w:sz w:val="18"/>
          <w:szCs w:val="18"/>
          <w:b w:val="1"/>
          <w:bCs w:val="1"/>
          <w:color w:val="auto"/>
        </w:rPr>
      </w:pPr>
    </w:p>
    <w:p>
      <w:pPr>
        <w:ind w:right="80" w:firstLine="990"/>
        <w:spacing w:after="0" w:line="271" w:lineRule="auto"/>
        <w:tabs>
          <w:tab w:leader="none" w:pos="1245"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such Party has taken all necessary’ action on its part to authorize the execution and delivery of this Agreement and the performance of its obligations hereunder;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68" w:right="519" w:bottom="1440" w:gutter="0" w:footer="0" w:header="0"/>
        </w:sectPr>
      </w:pPr>
    </w:p>
    <w:bookmarkStart w:id="520" w:name="page521"/>
    <w:bookmarkEnd w:id="520"/>
    <w:p>
      <w:pPr>
        <w:ind w:right="600" w:firstLine="990"/>
        <w:spacing w:after="0" w:line="271" w:lineRule="auto"/>
        <w:tabs>
          <w:tab w:leader="none" w:pos="1224"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Agreement has been duly executed and delivered on behalf of such Party, and constitutes a legal, valid, binding obligation, enforceable against it in accordance with the terms hereof;</w:t>
      </w:r>
    </w:p>
    <w:p>
      <w:pPr>
        <w:spacing w:after="0" w:line="174" w:lineRule="exact"/>
        <w:rPr>
          <w:rFonts w:ascii="Arial" w:cs="Arial" w:eastAsia="Arial" w:hAnsi="Arial"/>
          <w:sz w:val="18"/>
          <w:szCs w:val="18"/>
          <w:b w:val="1"/>
          <w:bCs w:val="1"/>
          <w:color w:val="auto"/>
        </w:rPr>
      </w:pPr>
    </w:p>
    <w:p>
      <w:pPr>
        <w:ind w:right="20" w:firstLine="990"/>
        <w:spacing w:after="0" w:line="259" w:lineRule="auto"/>
        <w:tabs>
          <w:tab w:leader="none" w:pos="1245"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by such Party does not conflict in a material manner with any agreement or any provision thereof, or any instrument or written understanding to which it is a party or by which it is bound, nor violate any law or regulation of any court, governmental body or administrative or other agency having jurisdiction over such Party; and ‘</w:t>
      </w:r>
    </w:p>
    <w:p>
      <w:pPr>
        <w:spacing w:after="0" w:line="185" w:lineRule="exact"/>
        <w:rPr>
          <w:rFonts w:ascii="Arial" w:cs="Arial" w:eastAsia="Arial" w:hAnsi="Arial"/>
          <w:sz w:val="18"/>
          <w:szCs w:val="18"/>
          <w:b w:val="1"/>
          <w:bCs w:val="1"/>
          <w:color w:val="auto"/>
        </w:rPr>
      </w:pPr>
    </w:p>
    <w:p>
      <w:pPr>
        <w:ind w:right="380" w:firstLine="990"/>
        <w:spacing w:after="0" w:line="259" w:lineRule="auto"/>
        <w:tabs>
          <w:tab w:leader="none" w:pos="1224"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department, commission, board, bureau, agency or instrumentality, domestic or foreign, under any applicable laws, rules or regulations currently in effect, is or will be necessary’ for the execution and delivery of this Agreement;</w:t>
      </w:r>
    </w:p>
    <w:p>
      <w:pPr>
        <w:spacing w:after="0" w:line="185" w:lineRule="exact"/>
        <w:rPr>
          <w:rFonts w:ascii="Arial" w:cs="Arial" w:eastAsia="Arial" w:hAnsi="Arial"/>
          <w:sz w:val="18"/>
          <w:szCs w:val="18"/>
          <w:b w:val="1"/>
          <w:bCs w:val="1"/>
          <w:color w:val="auto"/>
        </w:rPr>
      </w:pPr>
    </w:p>
    <w:p>
      <w:pPr>
        <w:ind w:right="260" w:firstLine="990"/>
        <w:spacing w:after="0" w:line="253" w:lineRule="auto"/>
        <w:tabs>
          <w:tab w:leader="none" w:pos="1205"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in respect of the subject-matter of this Agreement, it has not employed any individual or entity debarred by the FDA (or subject to a similar sanction of any equivalent Competent Authority outside the United States of America) or, to its knowledge, that is the subject of any FDA debarment investigation or proceeding (or similar proceeding of any equivalent Competent Authority outside the United States of America), it being understood that details of the subjects of FDA debarment investigations are not published and a Party would not make any particular enquiries of relevant individuals outside such Party’s standard policies and procedures.</w:t>
      </w:r>
    </w:p>
    <w:p>
      <w:pPr>
        <w:spacing w:after="0" w:line="189" w:lineRule="exact"/>
        <w:rPr>
          <w:sz w:val="20"/>
          <w:szCs w:val="20"/>
          <w:color w:val="auto"/>
        </w:rPr>
      </w:pPr>
    </w:p>
    <w:p>
      <w:pPr>
        <w:ind w:right="540" w:firstLine="43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Each of CRT and the ICR represents and warrants to the Company that to the actual knowledge of its Senior Executive Team and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involved in the negotiation of this Agreement that, as of the Effective Date:</w:t>
      </w:r>
    </w:p>
    <w:p>
      <w:pPr>
        <w:spacing w:after="0" w:line="65" w:lineRule="exact"/>
        <w:rPr>
          <w:sz w:val="20"/>
          <w:szCs w:val="20"/>
          <w:color w:val="auto"/>
        </w:rPr>
      </w:pPr>
    </w:p>
    <w:p>
      <w:pPr>
        <w:ind w:left="1240" w:hanging="250"/>
        <w:spacing w:after="0"/>
        <w:tabs>
          <w:tab w:leader="none" w:pos="1240" w:val="left"/>
        </w:tabs>
        <w:numPr>
          <w:ilvl w:val="0"/>
          <w:numId w:val="421"/>
        </w:numPr>
        <w:rPr>
          <w:rFonts w:ascii="Arial" w:cs="Arial" w:eastAsia="Arial" w:hAnsi="Arial"/>
          <w:sz w:val="16"/>
          <w:szCs w:val="16"/>
          <w:b w:val="1"/>
          <w:bCs w:val="1"/>
          <w:color w:val="auto"/>
        </w:rPr>
      </w:pPr>
      <w:r>
        <w:rPr>
          <w:rFonts w:ascii="Arial" w:cs="Arial" w:eastAsia="Arial" w:hAnsi="Arial"/>
          <w:sz w:val="16"/>
          <w:szCs w:val="16"/>
          <w:color w:val="auto"/>
        </w:rPr>
        <w:t>such Party has sufficient legal title to grant the licences as purported to be granted pursuant to this Agreement as at the Effective Date;</w:t>
      </w:r>
    </w:p>
    <w:p>
      <w:pPr>
        <w:spacing w:after="0" w:line="243" w:lineRule="exact"/>
        <w:rPr>
          <w:rFonts w:ascii="Arial" w:cs="Arial" w:eastAsia="Arial" w:hAnsi="Arial"/>
          <w:sz w:val="16"/>
          <w:szCs w:val="16"/>
          <w:b w:val="1"/>
          <w:bCs w:val="1"/>
          <w:color w:val="auto"/>
        </w:rPr>
      </w:pPr>
    </w:p>
    <w:p>
      <w:pPr>
        <w:ind w:left="1260" w:hanging="270"/>
        <w:spacing w:after="0"/>
        <w:tabs>
          <w:tab w:leader="none" w:pos="126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0" w:lineRule="exact"/>
        <w:rPr>
          <w:rFonts w:ascii="Arial" w:cs="Arial" w:eastAsia="Arial" w:hAnsi="Arial"/>
          <w:sz w:val="18"/>
          <w:szCs w:val="18"/>
          <w:b w:val="1"/>
          <w:bCs w:val="1"/>
          <w:color w:val="auto"/>
        </w:rPr>
      </w:pPr>
    </w:p>
    <w:p>
      <w:pPr>
        <w:ind w:left="1220" w:hanging="230"/>
        <w:spacing w:after="0"/>
        <w:tabs>
          <w:tab w:leader="none" w:pos="122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Solely for the purposes of this Clause 6.2,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means, with respect to any intellectual property , possession of the ability (whether through ownership or license) to grant the licenses or sublicenses as provided herein without violating the terms of any agreement or other arrangement with any third party.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80" w:top="272" w:right="539" w:bottom="1440" w:gutter="0" w:footer="0" w:header="0"/>
        </w:sectPr>
      </w:pPr>
    </w:p>
    <w:bookmarkStart w:id="521" w:name="page522"/>
    <w:bookmarkEnd w:id="521"/>
    <w:p>
      <w:pPr>
        <w:ind w:right="40" w:firstLine="436"/>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6.3 </w:t>
      </w:r>
      <w:r>
        <w:rPr>
          <w:rFonts w:ascii="Arial" w:cs="Arial" w:eastAsia="Arial" w:hAnsi="Arial"/>
          <w:sz w:val="17"/>
          <w:szCs w:val="17"/>
          <w:color w:val="auto"/>
        </w:rPr>
        <w:t>Except as otherwise expressly set forth in this Agreement. NO PARTY MAKES ANY REPRESENTATION OR EXTENDS ANY</w:t>
      </w:r>
      <w:r>
        <w:rPr>
          <w:rFonts w:ascii="Arial" w:cs="Arial" w:eastAsia="Arial" w:hAnsi="Arial"/>
          <w:sz w:val="17"/>
          <w:szCs w:val="17"/>
          <w:b w:val="1"/>
          <w:bCs w:val="1"/>
          <w:color w:val="auto"/>
        </w:rPr>
        <w:t xml:space="preserve"> </w:t>
      </w:r>
      <w:r>
        <w:rPr>
          <w:rFonts w:ascii="Arial" w:cs="Arial" w:eastAsia="Arial" w:hAnsi="Arial"/>
          <w:sz w:val="17"/>
          <w:szCs w:val="17"/>
          <w:color w:val="auto"/>
        </w:rPr>
        <w:t>WARRANTY OF ANY KIND, EITHER EXPRESS OR IMPLIED, INCLUDING ANY WARRANTY THAT EXERCISE OF ANY INTELLECTUAL PROPERTY RIGHT UNDER THIS AGREEMENT DOES NOT INFRINGE ANY INTELLECTUAL PROPERTY RIGHTS OF THIRD PARTIES, AND EXPRESSLY DISCLAIMS ALL WARRANTIES OF MERCHANTABILITY AND FITNESS FOR A PARTICULAR PURPOSE.</w:t>
      </w:r>
    </w:p>
    <w:p>
      <w:pPr>
        <w:spacing w:after="0" w:line="167"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No claim for breach of any of the representations or warranties in Clause 6 may be brought against CRT, the ICR or the Company after [***]</w:t>
      </w:r>
      <w:r>
        <w:rPr>
          <w:rFonts w:ascii="Arial" w:cs="Arial" w:eastAsia="Arial" w:hAnsi="Arial"/>
          <w:sz w:val="18"/>
          <w:szCs w:val="18"/>
          <w:b w:val="1"/>
          <w:bCs w:val="1"/>
          <w:color w:val="auto"/>
        </w:rPr>
        <w:t xml:space="preserve"> </w:t>
      </w:r>
      <w:r>
        <w:rPr>
          <w:rFonts w:ascii="Arial" w:cs="Arial" w:eastAsia="Arial" w:hAnsi="Arial"/>
          <w:sz w:val="18"/>
          <w:szCs w:val="18"/>
          <w:color w:val="auto"/>
        </w:rPr>
        <w:t>has elapsed from the Services Expiry Date (as defined in the Collaboration and Option Agreement), after which date each Party shall be fully and completely discharged from any liability for breach of any of the representations and warranties in Clause 6. The Company’s aggregate liability, and CRT’s and the ICR’s combined aggregate liability, for breach of one or more of the representations or warranties in this Clause 6 shall be subject to clause 13.4 of the Collaboration and Option Agreement.</w:t>
      </w:r>
    </w:p>
    <w:p>
      <w:pPr>
        <w:spacing w:after="0" w:line="331" w:lineRule="exact"/>
        <w:rPr>
          <w:sz w:val="20"/>
          <w:szCs w:val="20"/>
          <w:color w:val="auto"/>
        </w:rPr>
      </w:pPr>
    </w:p>
    <w:p>
      <w:pPr>
        <w:ind w:left="440" w:hanging="433"/>
        <w:spacing w:after="0"/>
        <w:tabs>
          <w:tab w:leader="none" w:pos="44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14" w:lineRule="exact"/>
        <w:rPr>
          <w:sz w:val="20"/>
          <w:szCs w:val="20"/>
          <w:color w:val="auto"/>
        </w:rPr>
      </w:pPr>
    </w:p>
    <w:p>
      <w:pPr>
        <w:ind w:right="100" w:firstLine="436"/>
        <w:spacing w:after="0" w:line="25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Company shall indemnify and hold harmless the Indemnified Parties from and against any and all liabilities, losses, damages,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without limitation, reasonable legal fees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arising out of or resulting from any and all Third Party suits, claims, actions, proceedings, investigations or demands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arising from or in connection with the exercise by the Company or a Sub-Licensee of the rights granted in Clause 2.1, or based upon or in connection with the development, manufacture or commercialization of any and all Licensed Products by or on behalf of the Company or any of its Sub-Licensees, except, in each case to the extent such Losses arise from (a) the gross negligence or willful misconduct of such Indemnitee: or (b) a material breach of any representation, warranty, covenant or obligations under this Agreement by CRT or the ICR.</w:t>
      </w:r>
    </w:p>
    <w:p>
      <w:pPr>
        <w:spacing w:after="0" w:line="191" w:lineRule="exact"/>
        <w:rPr>
          <w:sz w:val="20"/>
          <w:szCs w:val="20"/>
          <w:color w:val="auto"/>
        </w:rPr>
      </w:pPr>
    </w:p>
    <w:p>
      <w:pPr>
        <w:ind w:right="40" w:firstLine="436"/>
        <w:spacing w:after="0" w:line="286"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Promptly after receipt by the Company of any claim or alleged claim or notice of the commencement of any action, administrative or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investigation to which the indemnity provided for in this Clause 7 may apply, the Company shall give written notice to CRT and the ICR of such fact. In the event that any Indemnitee entitled to indemnification under Clause 7.1 is seeking such indemnification, such Indemnitee shall</w:t>
      </w:r>
    </w:p>
    <w:p>
      <w:pPr>
        <w:spacing w:after="0" w:line="1" w:lineRule="exact"/>
        <w:rPr>
          <w:sz w:val="20"/>
          <w:szCs w:val="20"/>
          <w:color w:val="auto"/>
        </w:rPr>
      </w:pPr>
    </w:p>
    <w:p>
      <w:pPr>
        <w:ind w:firstLine="7"/>
        <w:spacing w:after="0" w:line="283" w:lineRule="auto"/>
        <w:tabs>
          <w:tab w:leader="none" w:pos="24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give written notice to the Company of the Claim as soon as reasonably practicable after such Indemnitee receives notice of such Claim, (b) permit the Company to assume the direction and control of the defence of such Claim (including the sole right to settle it at the sole discretion of the Company, taking into consideration in good faith any reasonable concerns or objections raised by the Indemnitee;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settlement does not impose any obligation on, or otherwise adversely affect, the Indemnitee or other Party), (c) cooperate as reasonably requested (at the expense of the Company) in the defence of such Claim, and (d) undertake all reasonable steps to mitigate any loss, damage or expense with respect to such Claim. If the Company fails to assume the defence thereof by providing the relevant Indemnitee notice of such election in writing within [***] after receipt by the Company of notice of such Claim, the Indemnitee may assume such defence and for the avoidance of doubt the indemnity in Clause 7.1 shall extend to the reasonable legal and other expenses consequently incurred in connection with such defence to the extent such Indemnitee is entitled to indemnification under Clause 7.1. The Company and the relevant Indemnitee will co-operate in good faith in the conduct of any defence, provide such reasonable assistance as may be required to enable any claim properly to be defended and the Party with conduct of the action shall provide promptly to the other Party copies of all correspondence and documents and notice in writing of the substance of all oral communications relating to such action.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68" w:right="539" w:bottom="1440" w:gutter="0" w:footer="0" w:header="0"/>
        </w:sectPr>
      </w:pPr>
    </w:p>
    <w:bookmarkStart w:id="522" w:name="page523"/>
    <w:bookmarkEnd w:id="522"/>
    <w:p>
      <w:pPr>
        <w:ind w:right="120" w:firstLine="43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7.3 </w:t>
      </w:r>
      <w:r>
        <w:rPr>
          <w:rFonts w:ascii="Arial" w:cs="Arial" w:eastAsia="Arial" w:hAnsi="Arial"/>
          <w:sz w:val="18"/>
          <w:szCs w:val="18"/>
          <w:color w:val="auto"/>
        </w:rPr>
        <w:t>Should the Company assume conduct of the defence, the Indemnitee may retain separate legal advisers, at its sole cost and expense, save that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wrongly denies the applicability of the indemnity or reserves its position in relation to the same, the indemnity in this Clause 7 shall extend to the Indemnified Party’s reasonable costs and expenses so incurred:</w:t>
      </w:r>
    </w:p>
    <w:p>
      <w:pPr>
        <w:spacing w:after="0" w:line="328" w:lineRule="exact"/>
        <w:rPr>
          <w:sz w:val="20"/>
          <w:szCs w:val="20"/>
          <w:color w:val="auto"/>
        </w:rPr>
      </w:pPr>
    </w:p>
    <w:p>
      <w:pPr>
        <w:ind w:left="440" w:hanging="433"/>
        <w:spacing w:after="0"/>
        <w:tabs>
          <w:tab w:leader="none" w:pos="4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Reasonably prior to Commencement of a Phase 1 Trial, the Company shall put in place and thereafter maintain in accordance with the terms of this Clause 8, at its own cost, comprehensive product liability insurance and general commercial liability insurance. The Company shall ensure at CRT’s and/or the ICR’s request, that CRT and/or the ICR interest as co-assured be noted on the policy or policies. Within [***] of the Effective Date and of the beginning of each policy period, the Company shall, upon the reasonable request of CRT and/or the ICR, provide CRT and/or the ICR with a certificate evidencing the coverage required hereby, and the amount hereof and the noting of CRT and/or the ICR’s interest. Such insurance shall be with a reputable insurance company and shall be maintained for not less than [***] following the expiration/termination of this Agreement for any reason or, if such coverage is of the “claims made” type, for [***] following the expiration or termination of this Agreement for any reason.</w:t>
      </w:r>
    </w:p>
    <w:p>
      <w:pPr>
        <w:spacing w:after="0" w:line="309" w:lineRule="exact"/>
        <w:rPr>
          <w:sz w:val="20"/>
          <w:szCs w:val="20"/>
          <w:color w:val="auto"/>
        </w:rPr>
      </w:pPr>
    </w:p>
    <w:p>
      <w:pPr>
        <w:ind w:left="440" w:hanging="433"/>
        <w:spacing w:after="0"/>
        <w:tabs>
          <w:tab w:leader="none" w:pos="44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14" w:lineRule="exact"/>
        <w:rPr>
          <w:sz w:val="20"/>
          <w:szCs w:val="20"/>
          <w:color w:val="auto"/>
        </w:rPr>
      </w:pPr>
    </w:p>
    <w:p>
      <w:pPr>
        <w:ind w:firstLine="436"/>
        <w:spacing w:after="0" w:line="250"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EXCEPT AS SET FORTH IN CLAUSE 9.2, NO PARTY, NOR CRUK, NOR THEIR RESPECTIVE OFFICERS.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SHALL HAVE LIABILITY WHETHER UNDER STATUTE OR IN TORT (INCLUDING BUT NOT LIMITED TO NEGLIGENCE), CONTRACT OR OTHERWISE TO ANY OTHER PARTY AND/OR CRUK IN RESPECT OF ANY CONSEQUENTIAL, INDIRECT OR PUNITIVE DAMAGES IN CONNECTION WITH THIS AGREEMENT. INCLUDING, WITHOUT LIMITATION, LOSS OF GOODWILL, OPPORTUNITY, PROFIT OR CONTRACT; PROVIDED THAT, BECAUSE MONETARY DAMAGES MAY NOT ADEQUATELY COMPENSATE A PARTY FOR A BREACH OF THE CONFIDENTIALITY PROVISIONS OF CLAUSE 10 BY ANY OTHER PARTY AND REMEDIES UNDER CLAUSE 10.2 MAY BE INADEQUATE OR UNAVAILABLE WITH RESPECT TO SUCH A BREACH, THE FOREGOING LIMITATION ON LIABILITY WILL NOT LIMIT A PARTY’S RIGHT TO RECOVER FROM ANY OTHER PARTY CONSEQUENTIAL OR INDIRECT DAMAGES (BUT NOT PUNITIVE DAMAGES) SUSTAINED AS A RESULT OF BREACH BY SUCH OTHER PARTY OF THE CONFIDENTIALITY PROVISIONS OF CLAUSE 10, BUT TO THE EXTENT ANY SUCH DAMAGES ARISE AS A RESULT OF A BREACH OF CLAUSE 10, THE BREACHING PARTY’S LIABILITY FOR ANY SUCH DAMAGES SHALL BE LIMITED TO [***] AND CRT’S AND THE ICR’S LIABILITY FOR ANY SUCH DAMAGES SHALL BE SEVERAL AND NOT JOINT.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68" w:right="519" w:bottom="1440" w:gutter="0" w:footer="0" w:header="0"/>
        </w:sectPr>
      </w:pPr>
    </w:p>
    <w:bookmarkStart w:id="523" w:name="page524"/>
    <w:bookmarkEnd w:id="523"/>
    <w:p>
      <w:pPr>
        <w:ind w:right="120" w:firstLine="436"/>
        <w:spacing w:after="0" w:line="34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9.2 </w:t>
      </w:r>
      <w:r>
        <w:rPr>
          <w:rFonts w:ascii="Arial" w:cs="Arial" w:eastAsia="Arial" w:hAnsi="Arial"/>
          <w:sz w:val="16"/>
          <w:szCs w:val="16"/>
          <w:color w:val="auto"/>
        </w:rPr>
        <w:t>Nothing in this Agreement shall be construed as excluding or limiting the liability of any Party or CRUK or any of their respective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agents to the other Party for death or personal injury of any person resulting from the negligence or willful misconduct of such persons.</w:t>
      </w:r>
    </w:p>
    <w:p>
      <w:pPr>
        <w:spacing w:after="0" w:line="268" w:lineRule="exact"/>
        <w:rPr>
          <w:sz w:val="20"/>
          <w:szCs w:val="20"/>
          <w:color w:val="auto"/>
        </w:rPr>
      </w:pPr>
    </w:p>
    <w:p>
      <w:pPr>
        <w:ind w:left="440" w:hanging="433"/>
        <w:spacing w:after="0"/>
        <w:tabs>
          <w:tab w:leader="none" w:pos="44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4"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Parties acknowledge and agree that any information furnished by or on behalf of a Party to the other Parties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collectively constitute “Confidential Information” of such Party for purposes of the Collaboration and Option Agreement, including Clause 17 thereof, and the provisions of Clause 17 of the Collaboration and Option Agreement are hereby incorporated by reference in this Agreement,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p>
    <w:p>
      <w:pPr>
        <w:spacing w:after="0" w:line="183" w:lineRule="exact"/>
        <w:rPr>
          <w:sz w:val="20"/>
          <w:szCs w:val="20"/>
          <w:color w:val="auto"/>
        </w:rPr>
      </w:pPr>
    </w:p>
    <w:p>
      <w:pPr>
        <w:jc w:val="both"/>
        <w:ind w:right="20" w:firstLine="436"/>
        <w:spacing w:after="0" w:line="257"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Given the nature of the Confidential Information and the competitive damage that a Party’ would suffer upon unauthorized disclosure,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its Confidential Information to any Third Party, the Parties agree that monetary damages would not necessarily be a sufficient remedy for any breach of this Clause 10. In addition to all other remedies, a Party shall be entitled to specific performance and injunctive and other equitable relief as a remedy for any breach or threatened breach of this Clause 10.</w:t>
      </w:r>
    </w:p>
    <w:p>
      <w:pPr>
        <w:spacing w:after="0" w:line="330" w:lineRule="exact"/>
        <w:rPr>
          <w:sz w:val="20"/>
          <w:szCs w:val="20"/>
          <w:color w:val="auto"/>
        </w:rPr>
      </w:pPr>
    </w:p>
    <w:p>
      <w:pPr>
        <w:ind w:left="440" w:hanging="433"/>
        <w:spacing w:after="0"/>
        <w:tabs>
          <w:tab w:leader="none" w:pos="44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PUBLICATIONS</w:t>
      </w:r>
    </w:p>
    <w:p>
      <w:pPr>
        <w:spacing w:after="0" w:line="118"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 xml:space="preserve">The Parties acknowledge and agree that any proposed publications of scientific papers containing Programme Intellectual Property shall be governed by, Clause 18 of the Collaboration and Option Agreement, and the provisions of Clause 18 of the Collaboration and Option Agreement are hereby incorporated by reference in this Agreement, </w:t>
      </w:r>
      <w:r>
        <w:rPr>
          <w:rFonts w:ascii="Arial" w:cs="Arial" w:eastAsia="Arial" w:hAnsi="Arial"/>
          <w:sz w:val="18"/>
          <w:szCs w:val="18"/>
          <w:i w:val="1"/>
          <w:iCs w:val="1"/>
          <w:color w:val="auto"/>
        </w:rPr>
        <w:t>mutatis mutandis.</w:t>
      </w:r>
    </w:p>
    <w:p>
      <w:pPr>
        <w:spacing w:after="0" w:line="329" w:lineRule="exact"/>
        <w:rPr>
          <w:sz w:val="20"/>
          <w:szCs w:val="20"/>
          <w:color w:val="auto"/>
        </w:rPr>
      </w:pPr>
    </w:p>
    <w:p>
      <w:pPr>
        <w:ind w:left="440" w:hanging="433"/>
        <w:spacing w:after="0"/>
        <w:tabs>
          <w:tab w:leader="none" w:pos="44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4" w:lineRule="exact"/>
        <w:rPr>
          <w:sz w:val="20"/>
          <w:szCs w:val="20"/>
          <w:color w:val="auto"/>
        </w:rPr>
      </w:pPr>
    </w:p>
    <w:p>
      <w:pPr>
        <w:ind w:firstLine="436"/>
        <w:spacing w:after="0" w:line="273"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This Agreement is binding upon the Parties as of the Execution Date, and Clauses 9-27 are effective as of the Execution Date, but no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shall be effective as of the Execution Date or ever become effective except as expressly provided in this Clause 12.1. The remainder of this Agreement (i.e., those provisions in addition to those that are effective as of the Execution Date) shall become effective on the date of both CRT’s and ICR’s receipt of payment of the Technology Access Fee pursuant to Clauses 4(b) and 4(c)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and shall remain in full force and effect until terminated in accordance with the provisions of this Clause 12.</w:t>
      </w:r>
    </w:p>
    <w:p>
      <w:pPr>
        <w:spacing w:after="0" w:line="172" w:lineRule="exact"/>
        <w:rPr>
          <w:sz w:val="20"/>
          <w:szCs w:val="20"/>
          <w:color w:val="auto"/>
        </w:rPr>
      </w:pPr>
    </w:p>
    <w:p>
      <w:pPr>
        <w:ind w:right="40" w:firstLine="436"/>
        <w:spacing w:after="0" w:line="275"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This Agreement may be terminated by written agreement of the Parties, with the effects of any such termination as set forth Clause 13 and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agreed to in writing by the Parties.</w:t>
      </w:r>
    </w:p>
    <w:p>
      <w:pPr>
        <w:spacing w:after="0" w:line="168" w:lineRule="exact"/>
        <w:rPr>
          <w:sz w:val="20"/>
          <w:szCs w:val="20"/>
          <w:color w:val="auto"/>
        </w:rPr>
      </w:pPr>
    </w:p>
    <w:p>
      <w:pPr>
        <w:jc w:val="both"/>
        <w:ind w:right="120" w:firstLine="436"/>
        <w:spacing w:after="0" w:line="309"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If the Effective Date has not occurred within [***] of the Execution Date, then, effective as of 11:59 p.m., London time, on such [***]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Execution Date, this Agreement shall automatically become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In the event that CRT’s and the ICR’s subscription amounts are to be returned in accordance with section 2.9 of the Formation and Investment Agreement, [***] and this Agreement shall automatically terminate.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68" w:right="519" w:bottom="1440" w:gutter="0" w:footer="0" w:header="0"/>
        </w:sectPr>
      </w:pPr>
    </w:p>
    <w:bookmarkStart w:id="524" w:name="page525"/>
    <w:bookmarkEnd w:id="524"/>
    <w:p>
      <w:pPr>
        <w:ind w:left="440" w:hanging="433"/>
        <w:spacing w:after="0"/>
        <w:tabs>
          <w:tab w:leader="none" w:pos="44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EFFECTS OF TERMINATION</w:t>
      </w:r>
    </w:p>
    <w:p>
      <w:pPr>
        <w:spacing w:after="0" w:line="114" w:lineRule="exact"/>
        <w:rPr>
          <w:sz w:val="20"/>
          <w:szCs w:val="20"/>
          <w:color w:val="auto"/>
        </w:rPr>
      </w:pPr>
    </w:p>
    <w:p>
      <w:pPr>
        <w:ind w:right="240" w:firstLine="436"/>
        <w:spacing w:after="0" w:line="340"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The termination of this Agreement howsoever arising, will be without prejudice to the rights, obligations and duties of any Party accrued</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termination. The following Clauses will continue to be enforceable notwithstanding termination: Clauses 2, 6.3, 7, 8, 9, 10, and 13-27.</w:t>
      </w:r>
    </w:p>
    <w:p>
      <w:pPr>
        <w:spacing w:after="0" w:line="268" w:lineRule="exact"/>
        <w:rPr>
          <w:sz w:val="20"/>
          <w:szCs w:val="20"/>
          <w:color w:val="auto"/>
        </w:rPr>
      </w:pPr>
    </w:p>
    <w:p>
      <w:pPr>
        <w:ind w:left="440" w:hanging="433"/>
        <w:spacing w:after="0"/>
        <w:tabs>
          <w:tab w:leader="none" w:pos="44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14"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No Party shall be liable for any delay or failure in performance if such delays are caused by strike, riot, civil commotion, fire, acts of God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circumstances beyond its reasonable control which circumstance that Party could not reasonably have been expected to take into account at the Effective Date and provided that:</w:t>
      </w:r>
    </w:p>
    <w:p>
      <w:pPr>
        <w:spacing w:after="0" w:line="78" w:lineRule="exact"/>
        <w:rPr>
          <w:sz w:val="20"/>
          <w:szCs w:val="20"/>
          <w:color w:val="auto"/>
        </w:rPr>
      </w:pPr>
    </w:p>
    <w:p>
      <w:pPr>
        <w:ind w:left="1240" w:hanging="250"/>
        <w:spacing w:after="0"/>
        <w:tabs>
          <w:tab w:leader="none" w:pos="1240" w:val="left"/>
        </w:tabs>
        <w:numPr>
          <w:ilvl w:val="0"/>
          <w:numId w:val="431"/>
        </w:numPr>
        <w:rPr>
          <w:rFonts w:ascii="Arial" w:cs="Arial" w:eastAsia="Arial" w:hAnsi="Arial"/>
          <w:sz w:val="18"/>
          <w:szCs w:val="18"/>
          <w:b w:val="1"/>
          <w:bCs w:val="1"/>
          <w:color w:val="auto"/>
        </w:rPr>
      </w:pPr>
      <w:r>
        <w:rPr>
          <w:rFonts w:ascii="Arial" w:cs="Arial" w:eastAsia="Arial" w:hAnsi="Arial"/>
          <w:sz w:val="18"/>
          <w:szCs w:val="18"/>
          <w:color w:val="auto"/>
        </w:rPr>
        <w:t>the Party so affected shall give prompt notice thereof to the other Parties;</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31"/>
        </w:numPr>
        <w:rPr>
          <w:rFonts w:ascii="Arial" w:cs="Arial" w:eastAsia="Arial" w:hAnsi="Arial"/>
          <w:sz w:val="18"/>
          <w:szCs w:val="18"/>
          <w:b w:val="1"/>
          <w:bCs w:val="1"/>
          <w:color w:val="auto"/>
        </w:rPr>
      </w:pPr>
      <w:r>
        <w:rPr>
          <w:rFonts w:ascii="Arial" w:cs="Arial" w:eastAsia="Arial" w:hAnsi="Arial"/>
          <w:sz w:val="18"/>
          <w:szCs w:val="18"/>
          <w:color w:val="auto"/>
        </w:rPr>
        <w:t>the suspension of performance is no greater scope than is required by the Force Majeure: and</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31"/>
        </w:numPr>
        <w:rPr>
          <w:rFonts w:ascii="Arial" w:cs="Arial" w:eastAsia="Arial" w:hAnsi="Arial"/>
          <w:sz w:val="18"/>
          <w:szCs w:val="18"/>
          <w:b w:val="1"/>
          <w:bCs w:val="1"/>
          <w:color w:val="auto"/>
        </w:rPr>
      </w:pPr>
      <w:r>
        <w:rPr>
          <w:rFonts w:ascii="Arial" w:cs="Arial" w:eastAsia="Arial" w:hAnsi="Arial"/>
          <w:sz w:val="18"/>
          <w:szCs w:val="18"/>
          <w:color w:val="auto"/>
        </w:rPr>
        <w:t>lack of funds shall not be interpreted as an event or circumstance beyond the reasonable control of a Party.</w:t>
      </w:r>
    </w:p>
    <w:p>
      <w:pPr>
        <w:spacing w:after="0" w:line="217" w:lineRule="exact"/>
        <w:rPr>
          <w:sz w:val="20"/>
          <w:szCs w:val="20"/>
          <w:color w:val="auto"/>
        </w:rPr>
      </w:pPr>
    </w:p>
    <w:p>
      <w:pPr>
        <w:ind w:firstLine="436"/>
        <w:spacing w:after="0" w:line="306"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Subject to Clause 14.3 below, the Party giving such notice shall be excused from such of its obligations hereunder for as long as it continues</w:t>
      </w:r>
      <w:r>
        <w:rPr>
          <w:rFonts w:ascii="Arial" w:cs="Arial" w:eastAsia="Arial" w:hAnsi="Arial"/>
          <w:sz w:val="17"/>
          <w:szCs w:val="17"/>
          <w:b w:val="1"/>
          <w:bCs w:val="1"/>
          <w:color w:val="auto"/>
        </w:rPr>
        <w:t xml:space="preserve"> </w:t>
      </w:r>
      <w:r>
        <w:rPr>
          <w:rFonts w:ascii="Arial" w:cs="Arial" w:eastAsia="Arial" w:hAnsi="Arial"/>
          <w:sz w:val="17"/>
          <w:szCs w:val="17"/>
          <w:color w:val="auto"/>
        </w:rPr>
        <w:t>to be so affected and shall perform its obligations as soon as such circumstances shall cease to affect its operations.</w:t>
      </w:r>
    </w:p>
    <w:p>
      <w:pPr>
        <w:spacing w:after="0" w:line="143" w:lineRule="exact"/>
        <w:rPr>
          <w:sz w:val="20"/>
          <w:szCs w:val="20"/>
          <w:color w:val="auto"/>
        </w:rPr>
      </w:pPr>
    </w:p>
    <w:p>
      <w:pPr>
        <w:ind w:right="120" w:firstLine="436"/>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If such force majeure continues unabated for a period of at least [***], the Parties will meet to discuss in good faith what actions to take or</w:t>
      </w:r>
      <w:r>
        <w:rPr>
          <w:rFonts w:ascii="Arial" w:cs="Arial" w:eastAsia="Arial" w:hAnsi="Arial"/>
          <w:sz w:val="18"/>
          <w:szCs w:val="18"/>
          <w:b w:val="1"/>
          <w:bCs w:val="1"/>
          <w:color w:val="auto"/>
        </w:rPr>
        <w:t xml:space="preserve"> </w:t>
      </w:r>
      <w:r>
        <w:rPr>
          <w:rFonts w:ascii="Arial" w:cs="Arial" w:eastAsia="Arial" w:hAnsi="Arial"/>
          <w:sz w:val="18"/>
          <w:szCs w:val="18"/>
          <w:color w:val="auto"/>
        </w:rPr>
        <w:t>what modifications should be made to this Agreement as a consequence of such force majeure in order to alleviate its consequences on the affected Parties.</w:t>
      </w:r>
    </w:p>
    <w:p>
      <w:pPr>
        <w:spacing w:after="0" w:line="328" w:lineRule="exact"/>
        <w:rPr>
          <w:sz w:val="20"/>
          <w:szCs w:val="20"/>
          <w:color w:val="auto"/>
        </w:rPr>
      </w:pPr>
    </w:p>
    <w:p>
      <w:pPr>
        <w:ind w:left="440" w:hanging="433"/>
        <w:spacing w:after="0"/>
        <w:tabs>
          <w:tab w:leader="none" w:pos="4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4"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This Agreement shall be binding upon and inure to the benefit of the Parties, their permitted successors and assigns.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only be assignable:</w:t>
      </w:r>
    </w:p>
    <w:p>
      <w:pPr>
        <w:spacing w:after="0" w:line="65" w:lineRule="exact"/>
        <w:rPr>
          <w:sz w:val="20"/>
          <w:szCs w:val="20"/>
          <w:color w:val="auto"/>
        </w:rPr>
      </w:pPr>
    </w:p>
    <w:p>
      <w:pPr>
        <w:ind w:left="1240" w:hanging="250"/>
        <w:spacing w:after="0"/>
        <w:tabs>
          <w:tab w:leader="none" w:pos="1240" w:val="left"/>
        </w:tabs>
        <w:numPr>
          <w:ilvl w:val="0"/>
          <w:numId w:val="433"/>
        </w:numPr>
        <w:rPr>
          <w:rFonts w:ascii="Arial" w:cs="Arial" w:eastAsia="Arial" w:hAnsi="Arial"/>
          <w:sz w:val="16"/>
          <w:szCs w:val="16"/>
          <w:b w:val="1"/>
          <w:bCs w:val="1"/>
          <w:color w:val="auto"/>
        </w:rPr>
      </w:pPr>
      <w:r>
        <w:rPr>
          <w:rFonts w:ascii="Arial" w:cs="Arial" w:eastAsia="Arial" w:hAnsi="Arial"/>
          <w:sz w:val="16"/>
          <w:szCs w:val="16"/>
          <w:color w:val="auto"/>
        </w:rPr>
        <w:t>by any Party to any of Affiliate of such Party without the consent of the other Parties provided that such Affiliate is not a Tobacco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8" w:lineRule="exact"/>
        <w:rPr>
          <w:sz w:val="20"/>
          <w:szCs w:val="20"/>
          <w:color w:val="auto"/>
        </w:rPr>
      </w:pPr>
    </w:p>
    <w:p>
      <w:pPr>
        <w:ind w:left="1260" w:hanging="270"/>
        <w:spacing w:after="0"/>
        <w:tabs>
          <w:tab w:leader="none" w:pos="1260" w:val="left"/>
        </w:tabs>
        <w:numPr>
          <w:ilvl w:val="0"/>
          <w:numId w:val="434"/>
        </w:numPr>
        <w:rPr>
          <w:rFonts w:ascii="Arial" w:cs="Arial" w:eastAsia="Arial" w:hAnsi="Arial"/>
          <w:sz w:val="18"/>
          <w:szCs w:val="18"/>
          <w:b w:val="1"/>
          <w:bCs w:val="1"/>
          <w:color w:val="auto"/>
        </w:rPr>
      </w:pPr>
      <w:r>
        <w:rPr>
          <w:rFonts w:ascii="Arial" w:cs="Arial" w:eastAsia="Arial" w:hAnsi="Arial"/>
          <w:sz w:val="18"/>
          <w:szCs w:val="18"/>
          <w:color w:val="auto"/>
        </w:rPr>
        <w:t>by any Party’ with the written consent of the others; or</w:t>
      </w:r>
    </w:p>
    <w:p>
      <w:pPr>
        <w:spacing w:after="0" w:line="220" w:lineRule="exact"/>
        <w:rPr>
          <w:rFonts w:ascii="Arial" w:cs="Arial" w:eastAsia="Arial" w:hAnsi="Arial"/>
          <w:sz w:val="18"/>
          <w:szCs w:val="18"/>
          <w:b w:val="1"/>
          <w:bCs w:val="1"/>
          <w:color w:val="auto"/>
        </w:rPr>
      </w:pPr>
    </w:p>
    <w:p>
      <w:pPr>
        <w:ind w:right="60" w:firstLine="990"/>
        <w:spacing w:after="0" w:line="271" w:lineRule="auto"/>
        <w:tabs>
          <w:tab w:leader="none" w:pos="1224" w:val="left"/>
        </w:tabs>
        <w:numPr>
          <w:ilvl w:val="0"/>
          <w:numId w:val="434"/>
        </w:numPr>
        <w:rPr>
          <w:rFonts w:ascii="Arial" w:cs="Arial" w:eastAsia="Arial" w:hAnsi="Arial"/>
          <w:sz w:val="18"/>
          <w:szCs w:val="18"/>
          <w:b w:val="1"/>
          <w:bCs w:val="1"/>
          <w:color w:val="auto"/>
        </w:rPr>
      </w:pPr>
      <w:r>
        <w:rPr>
          <w:rFonts w:ascii="Arial" w:cs="Arial" w:eastAsia="Arial" w:hAnsi="Arial"/>
          <w:sz w:val="18"/>
          <w:szCs w:val="18"/>
          <w:color w:val="auto"/>
        </w:rPr>
        <w:t>by any Party without the consent of the other Parties, to any successor to all or substantially all the assets of its business to which this Agreement relates provided that it is not a Tobacco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Any purported assignment in violation of this Clause 15.1 shall be null and void.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00"/>
          </w:cols>
          <w:pgMar w:left="480" w:top="268" w:right="619" w:bottom="1440" w:gutter="0" w:footer="0" w:header="0"/>
        </w:sectPr>
      </w:pPr>
    </w:p>
    <w:bookmarkStart w:id="525" w:name="page526"/>
    <w:bookmarkEnd w:id="525"/>
    <w:p>
      <w:pPr>
        <w:ind w:left="440" w:hanging="433"/>
        <w:spacing w:after="0"/>
        <w:tabs>
          <w:tab w:leader="none" w:pos="4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NOTICES</w:t>
      </w:r>
    </w:p>
    <w:p>
      <w:pPr>
        <w:spacing w:after="0" w:line="118"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All notices shall be in writing and sent by hand, facsimile, or post and shall be deemed to be properly served (i) if sent by hand on [***], when delivered at the relevant address and if delivered at any other time, on [***]; (ii) if sent by post, [***] after posting; (iii) if sent by facsimile on [***], when transmitted and if sent at any other time, on [***], provided a confirmatory copy is sent by post within [***] of transmission, and shall be sent to the following addresses or facsimile numbers as may be amended by the relevant Party in writing:</w:t>
      </w:r>
    </w:p>
    <w:p>
      <w:pPr>
        <w:sectPr>
          <w:pgSz w:w="11900" w:h="16838" w:orient="portrait"/>
          <w:cols w:equalWidth="0" w:num="1">
            <w:col w:w="10760"/>
          </w:cols>
          <w:pgMar w:left="480" w:top="268" w:right="659" w:bottom="1440" w:gutter="0" w:footer="0" w:header="0"/>
        </w:sect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Aeschevnorstadt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Chief Executive Officer</w:t>
      </w:r>
    </w:p>
    <w:p>
      <w:pPr>
        <w:spacing w:after="0" w:line="200" w:lineRule="exact"/>
        <w:rPr>
          <w:sz w:val="20"/>
          <w:szCs w:val="20"/>
          <w:color w:val="auto"/>
        </w:rPr>
      </w:pPr>
    </w:p>
    <w:p>
      <w:pPr>
        <w:sectPr>
          <w:pgSz w:w="11900" w:h="16838" w:orient="portrait"/>
          <w:cols w:equalWidth="0" w:num="2">
            <w:col w:w="4980" w:space="720"/>
            <w:col w:w="5060"/>
          </w:cols>
          <w:pgMar w:left="480" w:top="268" w:right="659" w:bottom="144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Angel Building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407 St John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EC IV 4AD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The Chief Executive Officer</w:t>
      </w:r>
    </w:p>
    <w:p>
      <w:pPr>
        <w:spacing w:after="0" w:line="200" w:lineRule="exact"/>
        <w:rPr>
          <w:sz w:val="20"/>
          <w:szCs w:val="20"/>
          <w:color w:val="auto"/>
        </w:rPr>
      </w:pPr>
    </w:p>
    <w:p>
      <w:pPr>
        <w:sectPr>
          <w:pgSz w:w="11900" w:h="16838" w:orient="portrait"/>
          <w:cols w:equalWidth="0" w:num="2">
            <w:col w:w="4980" w:space="720"/>
            <w:col w:w="5060"/>
          </w:cols>
          <w:pgMar w:left="480" w:top="268" w:right="659" w:bottom="144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ICR: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Institute of Cancer Research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15 Cotswold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Belmont, Sutton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Surrey SM2 5NG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Director of Enterprise</w:t>
      </w:r>
    </w:p>
    <w:p>
      <w:pPr>
        <w:spacing w:after="0" w:line="200" w:lineRule="exact"/>
        <w:rPr>
          <w:sz w:val="20"/>
          <w:szCs w:val="20"/>
          <w:color w:val="auto"/>
        </w:rPr>
      </w:pPr>
    </w:p>
    <w:p>
      <w:pPr>
        <w:sectPr>
          <w:pgSz w:w="11900" w:h="16838" w:orient="portrait"/>
          <w:cols w:equalWidth="0" w:num="2">
            <w:col w:w="4980" w:space="720"/>
            <w:col w:w="5060"/>
          </w:cols>
          <w:pgMar w:left="480" w:top="268" w:right="659" w:bottom="1440" w:gutter="0" w:footer="0" w:header="0"/>
          <w:type w:val="continuous"/>
        </w:sectPr>
      </w:pPr>
    </w:p>
    <w:p>
      <w:pPr>
        <w:spacing w:after="0" w:line="174" w:lineRule="exact"/>
        <w:rPr>
          <w:sz w:val="20"/>
          <w:szCs w:val="20"/>
          <w:color w:val="auto"/>
        </w:rPr>
      </w:pPr>
    </w:p>
    <w:p>
      <w:pPr>
        <w:ind w:left="440" w:hanging="433"/>
        <w:spacing w:after="0"/>
        <w:tabs>
          <w:tab w:leader="none" w:pos="44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18"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No variation, modification, amendment, extension, or release of any provision hereof shall be effective unless it is in writing, signed by the Parties.</w:t>
      </w:r>
    </w:p>
    <w:p>
      <w:pPr>
        <w:spacing w:after="0" w:line="318" w:lineRule="exact"/>
        <w:rPr>
          <w:sz w:val="20"/>
          <w:szCs w:val="20"/>
          <w:color w:val="auto"/>
        </w:rPr>
      </w:pPr>
    </w:p>
    <w:p>
      <w:pPr>
        <w:ind w:left="440" w:hanging="433"/>
        <w:spacing w:after="0"/>
        <w:tabs>
          <w:tab w:leader="none" w:pos="44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14" w:lineRule="exact"/>
        <w:rPr>
          <w:sz w:val="20"/>
          <w:szCs w:val="20"/>
          <w:color w:val="auto"/>
        </w:rPr>
      </w:pPr>
    </w:p>
    <w:p>
      <w:pPr>
        <w:ind w:right="60" w:firstLine="436"/>
        <w:spacing w:after="0" w:line="273"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Each of the Parties confirms that the Agreement (including all Schedules hereto), together with the Transaction Documents, represents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understanding, and constitutes the whole agreement, in relation to its subject matter and supersedes any previous agreement between the Parties with respect thereto. In the event of any conflict or discrepancies between the provisions of this Agreement (on the one hand) and the Articles (as defined in the Transaction Documents) or any description of the terms of this Agreement included in any statutory’ report that may be required under Swiss law (on the other hand), the provisions of this Agreement shall prevail.</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480" w:top="268" w:right="659" w:bottom="1440" w:gutter="0" w:footer="0" w:header="0"/>
          <w:type w:val="continuous"/>
        </w:sectPr>
      </w:pPr>
    </w:p>
    <w:bookmarkStart w:id="526" w:name="page527"/>
    <w:bookmarkEnd w:id="52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18.2 </w:t>
      </w:r>
      <w:r>
        <w:rPr>
          <w:rFonts w:ascii="Arial" w:cs="Arial" w:eastAsia="Arial" w:hAnsi="Arial"/>
          <w:sz w:val="18"/>
          <w:szCs w:val="18"/>
          <w:color w:val="auto"/>
        </w:rPr>
        <w:t>Each Party confirms that:</w:t>
      </w:r>
    </w:p>
    <w:p>
      <w:pPr>
        <w:spacing w:after="0" w:line="118" w:lineRule="exact"/>
        <w:rPr>
          <w:sz w:val="20"/>
          <w:szCs w:val="20"/>
          <w:color w:val="auto"/>
        </w:rPr>
      </w:pPr>
    </w:p>
    <w:p>
      <w:pPr>
        <w:ind w:left="1240" w:hanging="250"/>
        <w:spacing w:after="0"/>
        <w:tabs>
          <w:tab w:leader="none" w:pos="1240" w:val="left"/>
        </w:tabs>
        <w:numPr>
          <w:ilvl w:val="1"/>
          <w:numId w:val="438"/>
        </w:numPr>
        <w:rPr>
          <w:rFonts w:ascii="Arial" w:cs="Arial" w:eastAsia="Arial" w:hAnsi="Arial"/>
          <w:sz w:val="17"/>
          <w:szCs w:val="17"/>
          <w:b w:val="1"/>
          <w:bCs w:val="1"/>
          <w:color w:val="auto"/>
        </w:rPr>
      </w:pPr>
      <w:r>
        <w:rPr>
          <w:rFonts w:ascii="Arial" w:cs="Arial" w:eastAsia="Arial" w:hAnsi="Arial"/>
          <w:sz w:val="17"/>
          <w:szCs w:val="17"/>
          <w:color w:val="auto"/>
        </w:rPr>
        <w:t>in entering into this Agreement it has not relied on any representation or warranty’ or undertaking which is not contained in this</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 and</w:t>
      </w:r>
    </w:p>
    <w:p>
      <w:pPr>
        <w:spacing w:after="0" w:line="208" w:lineRule="exact"/>
        <w:rPr>
          <w:rFonts w:ascii="Arial" w:cs="Arial" w:eastAsia="Arial" w:hAnsi="Arial"/>
          <w:sz w:val="17"/>
          <w:szCs w:val="17"/>
          <w:b w:val="1"/>
          <w:bCs w:val="1"/>
          <w:color w:val="auto"/>
        </w:rPr>
      </w:pPr>
    </w:p>
    <w:p>
      <w:pPr>
        <w:ind w:firstLine="990"/>
        <w:spacing w:after="0" w:line="259" w:lineRule="auto"/>
        <w:tabs>
          <w:tab w:leader="none" w:pos="1245"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in any event, without prejudice to any liability for fraudulent misrepresentation or fraudulent misstatement, no Party shall be under any liability or shall have any remedy in respect of misrepresentation or untrue statement unless and to the extent that a claim lies under this Agreement or any Transaction Document.</w:t>
      </w:r>
    </w:p>
    <w:p>
      <w:pPr>
        <w:spacing w:after="0" w:line="328" w:lineRule="exact"/>
        <w:rPr>
          <w:rFonts w:ascii="Arial" w:cs="Arial" w:eastAsia="Arial" w:hAnsi="Arial"/>
          <w:sz w:val="18"/>
          <w:szCs w:val="18"/>
          <w:b w:val="1"/>
          <w:bCs w:val="1"/>
          <w:color w:val="auto"/>
        </w:rPr>
      </w:pPr>
    </w:p>
    <w:p>
      <w:pPr>
        <w:ind w:left="440" w:hanging="433"/>
        <w:spacing w:after="0"/>
        <w:tabs>
          <w:tab w:leader="none" w:pos="4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The Parties hereby undertake to do all such other acts and things, and execute and provide all such documents at the requesting Party ‘s cost 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may be necessary or desirable to give effect to the purposes of this Agreement.</w:t>
      </w:r>
    </w:p>
    <w:p>
      <w:pPr>
        <w:spacing w:after="0" w:line="351" w:lineRule="exact"/>
        <w:rPr>
          <w:sz w:val="20"/>
          <w:szCs w:val="20"/>
          <w:color w:val="auto"/>
        </w:rPr>
      </w:pPr>
    </w:p>
    <w:p>
      <w:pPr>
        <w:ind w:left="440" w:hanging="433"/>
        <w:spacing w:after="0"/>
        <w:tabs>
          <w:tab w:leader="none" w:pos="4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18"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No waiver, release, relaxation, forbearance or indulgence by any Party’ in enforcing any of the terms or conditions of this Agreement or the granting of time by any Party to any other shall prejudice, affect or restrict the rights and powers of such Party. The waiver of any breach of any term or any condition of this Agreement shall not be construed as a waiver of any subsequent breach of a term or condition of the same or of a different nature. Any waiver by a Party of a particular provision or right shall be in writing, shall be as to a particular matter and, if applicable, for a particular period of time and shall be signed by such Party.</w:t>
      </w:r>
    </w:p>
    <w:p>
      <w:pPr>
        <w:spacing w:after="0" w:line="336" w:lineRule="exact"/>
        <w:rPr>
          <w:sz w:val="20"/>
          <w:szCs w:val="20"/>
          <w:color w:val="auto"/>
        </w:rPr>
      </w:pPr>
    </w:p>
    <w:p>
      <w:pPr>
        <w:ind w:left="440" w:hanging="433"/>
        <w:spacing w:after="0"/>
        <w:tabs>
          <w:tab w:leader="none" w:pos="44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14" w:lineRule="exact"/>
        <w:rPr>
          <w:sz w:val="20"/>
          <w:szCs w:val="20"/>
          <w:color w:val="auto"/>
        </w:rPr>
      </w:pPr>
    </w:p>
    <w:p>
      <w:pPr>
        <w:ind w:right="320" w:firstLine="436"/>
        <w:spacing w:after="0" w:line="275"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If the whole or any part of this Agreement is or becomes or is declared illegal, invalid or unenforceable in any jurisdiction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by reason of the provisions of any legislation and/or by reason of any court of competent jurisdiction):</w:t>
      </w:r>
    </w:p>
    <w:p>
      <w:pPr>
        <w:spacing w:after="0" w:line="65" w:lineRule="exact"/>
        <w:rPr>
          <w:sz w:val="20"/>
          <w:szCs w:val="20"/>
          <w:color w:val="auto"/>
        </w:rPr>
      </w:pPr>
    </w:p>
    <w:p>
      <w:pPr>
        <w:ind w:right="500" w:firstLine="990"/>
        <w:spacing w:after="0" w:line="271" w:lineRule="auto"/>
        <w:tabs>
          <w:tab w:leader="none" w:pos="1234"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in the case of the illegality, invalidity or unenforceability of the whole of this Agreement it shall terminate only in relation to the jurisdiction in question; or</w:t>
      </w:r>
    </w:p>
    <w:p>
      <w:pPr>
        <w:spacing w:after="0" w:line="174" w:lineRule="exact"/>
        <w:rPr>
          <w:rFonts w:ascii="Arial" w:cs="Arial" w:eastAsia="Arial" w:hAnsi="Arial"/>
          <w:sz w:val="18"/>
          <w:szCs w:val="18"/>
          <w:b w:val="1"/>
          <w:bCs w:val="1"/>
          <w:color w:val="auto"/>
        </w:rPr>
      </w:pPr>
    </w:p>
    <w:p>
      <w:pPr>
        <w:ind w:firstLine="990"/>
        <w:spacing w:after="0" w:line="255" w:lineRule="auto"/>
        <w:tabs>
          <w:tab w:leader="none" w:pos="1245"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in the case of the illegality’, invalidity or unenforceability of a part of this Agreement that part shall be severed from this Agreement in the jurisdiction in question and that illegality, invalidity or unenforceability shall not in any way whatsoever prejudice or affect the remaining parts of this Agreement which shall continue in full force and effect and in no circumstances shall sums paid by the Company to CRT or the ICR under this Agreement, if any, be repayable.</w:t>
      </w:r>
    </w:p>
    <w:p>
      <w:pPr>
        <w:spacing w:after="0" w:line="186" w:lineRule="exact"/>
        <w:rPr>
          <w:sz w:val="20"/>
          <w:szCs w:val="20"/>
          <w:color w:val="auto"/>
        </w:rPr>
      </w:pPr>
    </w:p>
    <w:p>
      <w:pPr>
        <w:ind w:right="180" w:firstLine="436"/>
        <w:spacing w:after="0" w:line="275"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If in the reasonable opinion of any Party any severance under this Clause 21 materially affects the commercial basis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discuss, in good faith, ways to eliminate the material effect.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68" w:right="539" w:bottom="1440" w:gutter="0" w:footer="0" w:header="0"/>
        </w:sectPr>
      </w:pPr>
    </w:p>
    <w:bookmarkStart w:id="527" w:name="page528"/>
    <w:bookmarkEnd w:id="527"/>
    <w:p>
      <w:pPr>
        <w:ind w:left="440" w:hanging="433"/>
        <w:spacing w:after="0"/>
        <w:tabs>
          <w:tab w:leader="none" w:pos="44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LAW AND JURISDICTION</w:t>
      </w:r>
    </w:p>
    <w:p>
      <w:pPr>
        <w:spacing w:after="0" w:line="118"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England and Wales, and the Parties agree, subject to Clause 25 below, to submit to the exclusive jurisdiction of the English courts in respect of any dispute arising out of or in connection with this Agreement (except in respect of disputes under Clause 10 where jurisdiction is nonexclusive).</w:t>
      </w:r>
    </w:p>
    <w:p>
      <w:pPr>
        <w:spacing w:after="0" w:line="329" w:lineRule="exact"/>
        <w:rPr>
          <w:sz w:val="20"/>
          <w:szCs w:val="20"/>
          <w:color w:val="auto"/>
        </w:rPr>
      </w:pPr>
    </w:p>
    <w:p>
      <w:pPr>
        <w:ind w:left="440" w:hanging="433"/>
        <w:spacing w:after="0"/>
        <w:tabs>
          <w:tab w:leader="none" w:pos="44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118" w:lineRule="exact"/>
        <w:rPr>
          <w:sz w:val="20"/>
          <w:szCs w:val="20"/>
          <w:color w:val="auto"/>
        </w:rPr>
      </w:pPr>
    </w:p>
    <w:p>
      <w:pPr>
        <w:ind w:right="160" w:firstLine="436"/>
        <w:spacing w:after="0" w:line="335" w:lineRule="auto"/>
        <w:rPr>
          <w:sz w:val="20"/>
          <w:szCs w:val="20"/>
          <w:color w:val="auto"/>
        </w:rPr>
      </w:pPr>
      <w:r>
        <w:rPr>
          <w:rFonts w:ascii="Arial" w:cs="Arial" w:eastAsia="Arial" w:hAnsi="Arial"/>
          <w:sz w:val="16"/>
          <w:szCs w:val="16"/>
          <w:color w:val="auto"/>
        </w:rPr>
        <w:t>This Agreement may be executed in any one or more number of counterpart agreements each of which, when executed, shall be deemed to form part of and together constitute this Agreement. Facsimile signatures and signatures transmitted via PDF shall be treated as original signatures.</w:t>
      </w:r>
    </w:p>
    <w:p>
      <w:pPr>
        <w:spacing w:after="0" w:line="271" w:lineRule="exact"/>
        <w:rPr>
          <w:sz w:val="20"/>
          <w:szCs w:val="20"/>
          <w:color w:val="auto"/>
        </w:rPr>
      </w:pPr>
    </w:p>
    <w:p>
      <w:pPr>
        <w:ind w:left="440" w:hanging="433"/>
        <w:spacing w:after="0"/>
        <w:tabs>
          <w:tab w:leader="none" w:pos="44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USE OF NAMES</w:t>
      </w:r>
    </w:p>
    <w:p>
      <w:pPr>
        <w:spacing w:after="0" w:line="114" w:lineRule="exact"/>
        <w:rPr>
          <w:sz w:val="20"/>
          <w:szCs w:val="20"/>
          <w:color w:val="auto"/>
        </w:rPr>
      </w:pPr>
    </w:p>
    <w:p>
      <w:pPr>
        <w:ind w:right="140" w:firstLine="436"/>
        <w:spacing w:after="0" w:line="261"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Save as provided in Clause 24.2 no Party shall make, or procure or permit the making of, any press release or other public announcement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this Agreement without first obtaining the written approval of the other Parties to any such release or announcement, which shall not unreasonably be withheld, conditioned or delayed.</w:t>
      </w:r>
    </w:p>
    <w:p>
      <w:pPr>
        <w:spacing w:after="0" w:line="181"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Each Party agrees that it may make any announcement with respect to this Agreement or any ancillary matter as shall be required by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regulations of any stock exchange to which it is subject, without the other Parties’ consent (which shall not unreasonably be withheld, conditioned or delayed) provided it has used reasonable endeavours in the time available to consult with the other Parties on the terms of any such announcement beforehand.</w:t>
      </w:r>
    </w:p>
    <w:p>
      <w:pPr>
        <w:spacing w:after="0" w:line="183" w:lineRule="exact"/>
        <w:rPr>
          <w:sz w:val="20"/>
          <w:szCs w:val="20"/>
          <w:color w:val="auto"/>
        </w:rPr>
      </w:pPr>
    </w:p>
    <w:p>
      <w:pPr>
        <w:ind w:right="140" w:firstLine="436"/>
        <w:spacing w:after="0" w:line="291" w:lineRule="auto"/>
        <w:rPr>
          <w:sz w:val="20"/>
          <w:szCs w:val="20"/>
          <w:color w:val="auto"/>
        </w:rPr>
      </w:pPr>
      <w:r>
        <w:rPr>
          <w:rFonts w:ascii="Arial" w:cs="Arial" w:eastAsia="Arial" w:hAnsi="Arial"/>
          <w:sz w:val="16"/>
          <w:szCs w:val="16"/>
          <w:b w:val="1"/>
          <w:bCs w:val="1"/>
          <w:color w:val="auto"/>
        </w:rPr>
        <w:t xml:space="preserve">24.3 </w:t>
      </w:r>
      <w:r>
        <w:rPr>
          <w:rFonts w:ascii="Arial" w:cs="Arial" w:eastAsia="Arial" w:hAnsi="Arial"/>
          <w:sz w:val="16"/>
          <w:szCs w:val="16"/>
          <w:color w:val="auto"/>
        </w:rPr>
        <w:t>No Party shall use the name of the other (including in the case where the other is CRT, that of CRUK (or its successor)) other than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Clause 24.1 and 24.2 without the prior written consent of such Party, which shall be at such Party’s sole discretion. Notwithstanding the foregoing, (a) to the extent information regarding this Agreement has already been publicly disclosed in accordance with Clause 24.1 and 24.2, a Party may subsequently disclose the same information to the public without the consent of the other Parties, and (b) the Company shall also be permitted to disclose the terms of this Agreement, in each case under appropriate confidentiality provisions substantially equivalent to those of this Agreement, to any actual or potential acquirers, investors. Sub-Licensees, collaborators, and/or professional advisors.</w:t>
      </w:r>
    </w:p>
    <w:p>
      <w:pPr>
        <w:spacing w:after="0" w:line="306" w:lineRule="exact"/>
        <w:rPr>
          <w:sz w:val="20"/>
          <w:szCs w:val="20"/>
          <w:color w:val="auto"/>
        </w:rPr>
      </w:pPr>
    </w:p>
    <w:p>
      <w:pPr>
        <w:ind w:left="440" w:hanging="433"/>
        <w:spacing w:after="0"/>
        <w:tabs>
          <w:tab w:leader="none" w:pos="44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18"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It shall be a condition precedent to the commencement of any action in court or other tribunal (save an action for specific performance, injunctive or other equitable relief in accordance with Clause 10.2) in respect of any dispute relating to this Agreement that the Parties have sought to resolve the dispute by one or more Parties notifying it in writing for resolution to the Executive Officers of the Parties who shall meet (whether in person or via teleconference) within [***] of such notice to seek resolution in good faith.</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68" w:right="519" w:bottom="1440" w:gutter="0" w:footer="0" w:header="0"/>
        </w:sectPr>
      </w:pPr>
    </w:p>
    <w:bookmarkStart w:id="528" w:name="page529"/>
    <w:bookmarkEnd w:id="528"/>
    <w:p>
      <w:pPr>
        <w:ind w:left="440" w:hanging="433"/>
        <w:spacing w:after="0"/>
        <w:tabs>
          <w:tab w:leader="none" w:pos="44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NO THIRD PARTY BENEFICIARIES</w:t>
      </w:r>
    </w:p>
    <w:p>
      <w:pPr>
        <w:spacing w:after="0" w:line="118" w:lineRule="exact"/>
        <w:rPr>
          <w:sz w:val="20"/>
          <w:szCs w:val="20"/>
          <w:color w:val="auto"/>
        </w:rPr>
      </w:pPr>
    </w:p>
    <w:p>
      <w:pPr>
        <w:ind w:firstLine="436"/>
        <w:spacing w:after="0" w:line="297" w:lineRule="auto"/>
        <w:rPr>
          <w:sz w:val="20"/>
          <w:szCs w:val="20"/>
          <w:color w:val="auto"/>
        </w:rPr>
      </w:pPr>
      <w:r>
        <w:rPr>
          <w:rFonts w:ascii="Arial" w:cs="Arial" w:eastAsia="Arial" w:hAnsi="Arial"/>
          <w:sz w:val="16"/>
          <w:szCs w:val="16"/>
          <w:color w:val="auto"/>
        </w:rPr>
        <w:t>Except for the Third Parties and the respective rights referred to in Clause 7 (Indemnity) and Clause 9 (Limitation of Liability) this Agreement is neither expressly nor impliedly made for the benefit of any party other than those executing it whether pursuant to the Contract (Rights of Third Parties) Act 1999 or otherwise. Notwithstanding the provisions of this Clause 26, the Parties shall be entitled to amend, suspend, cancel or terminate this Agreement or any part of it in accordance with Clause 17, without the consent of any Third Party including those referred to in this Clause 26.</w:t>
      </w:r>
    </w:p>
    <w:p>
      <w:pPr>
        <w:spacing w:after="0" w:line="302" w:lineRule="exact"/>
        <w:rPr>
          <w:sz w:val="20"/>
          <w:szCs w:val="20"/>
          <w:color w:val="auto"/>
        </w:rPr>
      </w:pPr>
    </w:p>
    <w:p>
      <w:pPr>
        <w:ind w:left="440" w:hanging="433"/>
        <w:spacing w:after="0"/>
        <w:tabs>
          <w:tab w:leader="none" w:pos="44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LANGUAGE; AUTHORSHIP</w:t>
      </w:r>
    </w:p>
    <w:p>
      <w:pPr>
        <w:spacing w:after="0" w:line="118"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This Agreement has been prepared in the English language, and the English language shall control its interpretation. In addition, all notices required or permitted to be given hereunder, and all written, electronic, oral of other communications among the Parties regarding this Agreement, shall be in the English language.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or disfavoring any Party by virtue of the authorship of any provisions of this Agreement.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480" w:top="268" w:right="559" w:bottom="1440" w:gutter="0" w:footer="0" w:header="0"/>
        </w:sectPr>
      </w:pPr>
    </w:p>
    <w:bookmarkStart w:id="529" w:name="page530"/>
    <w:bookmarkEnd w:id="52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caused this Agreement to be executed by their duly authorized representatives as of the Effective Date.</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5" w:lineRule="exact"/>
        <w:rPr>
          <w:sz w:val="20"/>
          <w:szCs w:val="20"/>
          <w:color w:val="auto"/>
        </w:rPr>
      </w:pPr>
    </w:p>
    <w:tbl>
      <w:tblPr>
        <w:tblLayout w:type="fixed"/>
        <w:tblInd w:w="612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Illegible</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Illegible</w:t>
            </w: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April 19, 2018</w:t>
            </w:r>
          </w:p>
        </w:tc>
      </w:tr>
    </w:tbl>
    <w:p>
      <w:pPr>
        <w:spacing w:after="0" w:line="22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NSTITUTE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R</w:t>
      </w:r>
      <w:r>
        <w:rPr>
          <w:rFonts w:ascii="Arial" w:cs="Arial" w:eastAsia="Arial" w:hAnsi="Arial"/>
          <w:sz w:val="14"/>
          <w:szCs w:val="14"/>
          <w:b w:val="1"/>
          <w:bCs w:val="1"/>
          <w:color w:val="auto"/>
        </w:rPr>
        <w:t>OYAL</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OSPITAL</w:t>
      </w:r>
    </w:p>
    <w:p>
      <w:pPr>
        <w:spacing w:after="0" w:line="208" w:lineRule="exact"/>
        <w:rPr>
          <w:sz w:val="20"/>
          <w:szCs w:val="20"/>
          <w:color w:val="auto"/>
        </w:rPr>
      </w:pPr>
    </w:p>
    <w:p>
      <w:pPr>
        <w:ind w:left="6120"/>
        <w:spacing w:after="0"/>
        <w:tabs>
          <w:tab w:leader="none" w:pos="79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i w:val="1"/>
          <w:iCs w:val="1"/>
          <w:color w:val="auto"/>
        </w:rPr>
        <w:t>/s/ Illegible</w:t>
      </w:r>
    </w:p>
    <w:p>
      <w:pPr>
        <w:spacing w:after="0" w:line="20" w:lineRule="exact"/>
        <w:rPr>
          <w:sz w:val="20"/>
          <w:szCs w:val="20"/>
          <w:color w:val="auto"/>
        </w:rPr>
      </w:pPr>
    </w:p>
    <w:tbl>
      <w:tblPr>
        <w:tblLayout w:type="fixed"/>
        <w:tblInd w:w="6120" w:type="dxa"/>
        <w:tblCellMar>
          <w:top w:w="0" w:type="dxa"/>
          <w:left w:w="0" w:type="dxa"/>
          <w:bottom w:w="0" w:type="dxa"/>
          <w:right w:w="0" w:type="dxa"/>
        </w:tblCellMar>
      </w:tblP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Illegible</w:t>
            </w:r>
          </w:p>
        </w:tc>
        <w:tc>
          <w:tcPr>
            <w:tcW w:w="2580" w:type="dxa"/>
            <w:vAlign w:val="bottom"/>
            <w:tcBorders>
              <w:top w:val="single" w:sz="8" w:color="auto"/>
              <w:bottom w:val="single" w:sz="8" w:color="auto"/>
            </w:tcBorders>
          </w:tcPr>
          <w:p>
            <w:pPr>
              <w:spacing w:after="0"/>
              <w:rPr>
                <w:sz w:val="18"/>
                <w:szCs w:val="18"/>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April 19, 2018</w:t>
            </w:r>
          </w:p>
        </w:tc>
      </w:tr>
      <w:tr>
        <w:trPr>
          <w:trHeight w:val="44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AG</w:t>
            </w:r>
          </w:p>
        </w:tc>
      </w:tr>
      <w:tr>
        <w:trPr>
          <w:trHeight w:val="428"/>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/s/ Bradley Bolzon</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President of Board</w:t>
            </w: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Bradley Bolzon</w:t>
            </w: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April 26, 2018</w:t>
            </w:r>
          </w:p>
        </w:tc>
      </w:tr>
    </w:tbl>
    <w:p>
      <w:pPr>
        <w:spacing w:after="0" w:line="13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License Agreement]</w:t>
      </w:r>
    </w:p>
    <w:p>
      <w:pPr>
        <w:sectPr>
          <w:pgSz w:w="11900" w:h="16838" w:orient="portrait"/>
          <w:cols w:equalWidth="0" w:num="1">
            <w:col w:w="10480"/>
          </w:cols>
          <w:pgMar w:left="920" w:top="268" w:right="499" w:bottom="1440" w:gutter="0" w:footer="0" w:header="0"/>
        </w:sectPr>
      </w:pPr>
    </w:p>
    <w:bookmarkStart w:id="530" w:name="page531"/>
    <w:bookmarkEnd w:id="5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 CRT/ICR EXISTING KNOW HOW</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9019"/>
          </w:cols>
          <w:pgMar w:left="1440" w:top="268" w:right="1440" w:bottom="1440" w:gutter="0" w:footer="0" w:header="0"/>
        </w:sectPr>
      </w:pPr>
    </w:p>
    <w:bookmarkStart w:id="531" w:name="page532"/>
    <w:bookmarkEnd w:id="5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 - CRT/ICR EXISTING MATERIALS</w:t>
      </w:r>
    </w:p>
    <w:p>
      <w:pPr>
        <w:sectPr>
          <w:pgSz w:w="11900" w:h="16838" w:orient="portrait"/>
          <w:cols w:equalWidth="0" w:num="1">
            <w:col w:w="9019"/>
          </w:cols>
          <w:pgMar w:left="1440" w:top="267" w:right="1440"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1-1</w:t>
      </w:r>
    </w:p>
    <w:p>
      <w:pPr>
        <w:sectPr>
          <w:pgSz w:w="11900" w:h="16838" w:orient="portrait"/>
          <w:cols w:equalWidth="0" w:num="1">
            <w:col w:w="9019"/>
          </w:cols>
          <w:pgMar w:left="1440" w:top="267" w:right="1440" w:bottom="1440" w:gutter="0" w:footer="0" w:header="0"/>
          <w:type w:val="continuous"/>
        </w:sectPr>
      </w:pPr>
    </w:p>
    <w:bookmarkStart w:id="532" w:name="page533"/>
    <w:bookmarkEnd w:id="53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 – CRT/ICR EXISTING COMPOUNDS</w:t>
      </w:r>
    </w:p>
    <w:p>
      <w:pPr>
        <w:sectPr>
          <w:pgSz w:w="11900" w:h="16838" w:orient="portrait"/>
          <w:cols w:equalWidth="0" w:num="1">
            <w:col w:w="9019"/>
          </w:cols>
          <w:pgMar w:left="1440" w:top="268" w:right="1440"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1-1</w:t>
      </w:r>
    </w:p>
    <w:p>
      <w:pPr>
        <w:sectPr>
          <w:pgSz w:w="11900" w:h="16838" w:orient="portrait"/>
          <w:cols w:equalWidth="0" w:num="1">
            <w:col w:w="9019"/>
          </w:cols>
          <w:pgMar w:left="1440" w:top="268" w:right="1440" w:bottom="1440" w:gutter="0" w:footer="0" w:header="0"/>
          <w:type w:val="continuous"/>
        </w:sectPr>
      </w:pPr>
    </w:p>
    <w:bookmarkStart w:id="533" w:name="page534"/>
    <w:bookmarkEnd w:id="5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CRT/ICR Background Hits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9019"/>
          </w:cols>
          <w:pgMar w:left="1440" w:top="268" w:right="1440" w:bottom="1440" w:gutter="0" w:footer="0" w:header="0"/>
        </w:sectPr>
      </w:pPr>
    </w:p>
    <w:bookmarkStart w:id="534" w:name="page535"/>
    <w:bookmarkEnd w:id="534"/>
    <w:p>
      <w:pPr>
        <w:ind w:left="9840"/>
        <w:spacing w:after="0"/>
        <w:rPr>
          <w:sz w:val="20"/>
          <w:szCs w:val="20"/>
          <w:color w:val="auto"/>
        </w:rPr>
      </w:pPr>
      <w:r>
        <w:rPr>
          <w:rFonts w:ascii="Arial" w:cs="Arial" w:eastAsia="Arial" w:hAnsi="Arial"/>
          <w:sz w:val="16"/>
          <w:szCs w:val="16"/>
          <w:b w:val="1"/>
          <w:bCs w:val="1"/>
          <w:color w:val="auto"/>
        </w:rPr>
        <w:t>Exhibit 10.18</w:t>
      </w:r>
    </w:p>
    <w:p>
      <w:pPr>
        <w:spacing w:after="0" w:line="248" w:lineRule="exact"/>
        <w:rPr>
          <w:sz w:val="20"/>
          <w:szCs w:val="20"/>
          <w:color w:val="auto"/>
        </w:rPr>
      </w:pPr>
    </w:p>
    <w:p>
      <w:pPr>
        <w:jc w:val="center"/>
        <w:ind w:right="60"/>
        <w:spacing w:after="0" w:line="335" w:lineRule="auto"/>
        <w:rPr>
          <w:sz w:val="20"/>
          <w:szCs w:val="20"/>
          <w:color w:val="auto"/>
        </w:rPr>
      </w:pPr>
      <w:r>
        <w:rPr>
          <w:rFonts w:ascii="Arial" w:cs="Arial" w:eastAsia="Arial" w:hAnsi="Arial"/>
          <w:sz w:val="16"/>
          <w:szCs w:val="16"/>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COLLABORATION AND OPTION AGREEMENT</w:t>
      </w:r>
    </w:p>
    <w:p>
      <w:pPr>
        <w:spacing w:after="0" w:line="221" w:lineRule="exact"/>
        <w:rPr>
          <w:sz w:val="20"/>
          <w:szCs w:val="20"/>
          <w:color w:val="auto"/>
        </w:rPr>
      </w:pPr>
    </w:p>
    <w:p>
      <w:pPr>
        <w:ind w:left="5200" w:right="3340" w:hanging="1931"/>
        <w:spacing w:after="0" w:line="496" w:lineRule="auto"/>
        <w:tabs>
          <w:tab w:leader="none" w:pos="3531"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CANCER RESEARCH TECHNOLOGY LIMITED AND</w:t>
      </w:r>
    </w:p>
    <w:p>
      <w:pPr>
        <w:ind w:left="5200" w:right="3560" w:hanging="1705"/>
        <w:spacing w:after="0" w:line="496" w:lineRule="auto"/>
        <w:tabs>
          <w:tab w:leader="none" w:pos="3756" w:val="left"/>
        </w:tabs>
        <w:numPr>
          <w:ilvl w:val="1"/>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THE INSTITUTE OF CANCER RESEARCH AND</w:t>
      </w:r>
    </w:p>
    <w:p>
      <w:pPr>
        <w:ind w:left="4020" w:hanging="250"/>
        <w:spacing w:after="0"/>
        <w:tabs>
          <w:tab w:leader="none" w:pos="4020" w:val="left"/>
        </w:tabs>
        <w:numPr>
          <w:ilvl w:val="2"/>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MONTE ROSA THERAPEUTICS AG</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April 10, 2018</w:t>
      </w:r>
    </w:p>
    <w:p>
      <w:pPr>
        <w:sectPr>
          <w:pgSz w:w="11900" w:h="16838" w:orient="portrait"/>
          <w:cols w:equalWidth="0" w:num="1">
            <w:col w:w="10840"/>
          </w:cols>
          <w:pgMar w:left="560" w:top="121" w:right="499" w:bottom="1440"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231"/>
        </w:trPr>
        <w:tc>
          <w:tcPr>
            <w:tcW w:w="280" w:type="dxa"/>
            <w:vAlign w:val="bottom"/>
          </w:tcPr>
          <w:p>
            <w:pPr>
              <w:spacing w:after="0"/>
              <w:rPr>
                <w:sz w:val="20"/>
                <w:szCs w:val="20"/>
                <w:color w:val="auto"/>
              </w:rPr>
            </w:pPr>
          </w:p>
        </w:tc>
        <w:tc>
          <w:tcPr>
            <w:tcW w:w="822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20"/>
                <w:szCs w:val="20"/>
                <w:color w:val="auto"/>
              </w:rPr>
            </w:pPr>
          </w:p>
        </w:tc>
      </w:tr>
      <w:tr>
        <w:trPr>
          <w:trHeight w:val="402"/>
        </w:trPr>
        <w:tc>
          <w:tcPr>
            <w:tcW w:w="2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7"/>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22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220" w:type="dxa"/>
            <w:vAlign w:val="bottom"/>
          </w:tcPr>
          <w:p>
            <w:pPr>
              <w:ind w:left="40"/>
              <w:spacing w:after="0"/>
              <w:rPr>
                <w:sz w:val="20"/>
                <w:szCs w:val="20"/>
                <w:color w:val="auto"/>
              </w:rPr>
            </w:pPr>
            <w:r>
              <w:rPr>
                <w:rFonts w:ascii="Arial" w:cs="Arial" w:eastAsia="Arial" w:hAnsi="Arial"/>
                <w:sz w:val="18"/>
                <w:szCs w:val="18"/>
                <w:color w:val="auto"/>
              </w:rPr>
              <w:t>JSC</w:t>
            </w: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220" w:type="dxa"/>
            <w:vAlign w:val="bottom"/>
          </w:tcPr>
          <w:p>
            <w:pPr>
              <w:ind w:left="40"/>
              <w:spacing w:after="0"/>
              <w:rPr>
                <w:sz w:val="20"/>
                <w:szCs w:val="20"/>
                <w:color w:val="auto"/>
              </w:rPr>
            </w:pPr>
            <w:r>
              <w:rPr>
                <w:rFonts w:ascii="Arial" w:cs="Arial" w:eastAsia="Arial" w:hAnsi="Arial"/>
                <w:sz w:val="18"/>
                <w:szCs w:val="18"/>
                <w:color w:val="auto"/>
              </w:rPr>
              <w:t>PROGRAMME</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220" w:type="dxa"/>
            <w:vAlign w:val="bottom"/>
          </w:tcPr>
          <w:p>
            <w:pPr>
              <w:ind w:left="40"/>
              <w:spacing w:after="0"/>
              <w:rPr>
                <w:sz w:val="20"/>
                <w:szCs w:val="20"/>
                <w:color w:val="auto"/>
              </w:rPr>
            </w:pPr>
            <w:r>
              <w:rPr>
                <w:rFonts w:ascii="Arial" w:cs="Arial" w:eastAsia="Arial" w:hAnsi="Arial"/>
                <w:sz w:val="18"/>
                <w:szCs w:val="18"/>
                <w:color w:val="auto"/>
              </w:rPr>
              <w:t>RESEARCH FUNDING</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220" w:type="dxa"/>
            <w:vAlign w:val="bottom"/>
          </w:tcPr>
          <w:p>
            <w:pPr>
              <w:ind w:left="40"/>
              <w:spacing w:after="0"/>
              <w:rPr>
                <w:sz w:val="20"/>
                <w:szCs w:val="20"/>
                <w:color w:val="auto"/>
              </w:rPr>
            </w:pPr>
            <w:r>
              <w:rPr>
                <w:rFonts w:ascii="Arial" w:cs="Arial" w:eastAsia="Arial" w:hAnsi="Arial"/>
                <w:sz w:val="18"/>
                <w:szCs w:val="18"/>
                <w:color w:val="auto"/>
              </w:rPr>
              <w:t>ICR INTERNAL RESEARCH</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220" w:type="dxa"/>
            <w:vAlign w:val="bottom"/>
          </w:tcPr>
          <w:p>
            <w:pPr>
              <w:ind w:left="40"/>
              <w:spacing w:after="0"/>
              <w:rPr>
                <w:sz w:val="20"/>
                <w:szCs w:val="20"/>
                <w:color w:val="auto"/>
              </w:rPr>
            </w:pPr>
            <w:r>
              <w:rPr>
                <w:rFonts w:ascii="Arial" w:cs="Arial" w:eastAsia="Arial" w:hAnsi="Arial"/>
                <w:sz w:val="18"/>
                <w:szCs w:val="18"/>
                <w:color w:val="auto"/>
              </w:rPr>
              <w:t>OWNERSHIP OF INTELLECTUAL PROPERTY</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220" w:type="dxa"/>
            <w:vAlign w:val="bottom"/>
          </w:tcPr>
          <w:p>
            <w:pPr>
              <w:ind w:left="40"/>
              <w:spacing w:after="0"/>
              <w:rPr>
                <w:sz w:val="20"/>
                <w:szCs w:val="20"/>
                <w:color w:val="auto"/>
              </w:rPr>
            </w:pPr>
            <w:r>
              <w:rPr>
                <w:rFonts w:ascii="Arial" w:cs="Arial" w:eastAsia="Arial" w:hAnsi="Arial"/>
                <w:sz w:val="18"/>
                <w:szCs w:val="18"/>
                <w:color w:val="auto"/>
              </w:rPr>
              <w:t>LICENCES</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22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22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220" w:type="dxa"/>
            <w:vAlign w:val="bottom"/>
          </w:tcPr>
          <w:p>
            <w:pPr>
              <w:ind w:left="40"/>
              <w:spacing w:after="0"/>
              <w:rPr>
                <w:sz w:val="20"/>
                <w:szCs w:val="20"/>
                <w:color w:val="auto"/>
              </w:rPr>
            </w:pPr>
            <w:r>
              <w:rPr>
                <w:rFonts w:ascii="Arial" w:cs="Arial" w:eastAsia="Arial" w:hAnsi="Arial"/>
                <w:sz w:val="18"/>
                <w:szCs w:val="18"/>
                <w:color w:val="auto"/>
              </w:rPr>
              <w:t>PAYMENT AND 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220" w:type="dxa"/>
            <w:vAlign w:val="bottom"/>
          </w:tcPr>
          <w:p>
            <w:pPr>
              <w:ind w:left="40"/>
              <w:spacing w:after="0"/>
              <w:rPr>
                <w:sz w:val="20"/>
                <w:szCs w:val="20"/>
                <w:color w:val="auto"/>
              </w:rPr>
            </w:pPr>
            <w:r>
              <w:rPr>
                <w:rFonts w:ascii="Arial" w:cs="Arial" w:eastAsia="Arial" w:hAnsi="Arial"/>
                <w:sz w:val="18"/>
                <w:szCs w:val="18"/>
                <w:color w:val="auto"/>
              </w:rPr>
              <w:t>ACCOUNTS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220" w:type="dxa"/>
            <w:vAlign w:val="bottom"/>
          </w:tcPr>
          <w:p>
            <w:pPr>
              <w:ind w:left="40"/>
              <w:spacing w:after="0"/>
              <w:rPr>
                <w:sz w:val="20"/>
                <w:szCs w:val="20"/>
                <w:color w:val="auto"/>
              </w:rPr>
            </w:pPr>
            <w:r>
              <w:rPr>
                <w:rFonts w:ascii="Arial" w:cs="Arial" w:eastAsia="Arial" w:hAnsi="Arial"/>
                <w:sz w:val="18"/>
                <w:szCs w:val="18"/>
                <w:color w:val="auto"/>
              </w:rPr>
              <w:t>INTELLECTUAL PROPERTY PROTECTION, PROCEEDINGS AND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220" w:type="dxa"/>
            <w:vAlign w:val="bottom"/>
          </w:tcPr>
          <w:p>
            <w:pPr>
              <w:ind w:left="40"/>
              <w:spacing w:after="0"/>
              <w:rPr>
                <w:sz w:val="20"/>
                <w:szCs w:val="20"/>
                <w:color w:val="auto"/>
              </w:rPr>
            </w:pPr>
            <w:r>
              <w:rPr>
                <w:rFonts w:ascii="Arial" w:cs="Arial" w:eastAsia="Arial" w:hAnsi="Arial"/>
                <w:sz w:val="18"/>
                <w:szCs w:val="18"/>
                <w:color w:val="auto"/>
              </w:rPr>
              <w:t>REPRESENTATIONS, WARRANTIES AND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220" w:type="dxa"/>
            <w:vAlign w:val="bottom"/>
          </w:tcPr>
          <w:p>
            <w:pPr>
              <w:ind w:left="40"/>
              <w:spacing w:after="0"/>
              <w:rPr>
                <w:sz w:val="20"/>
                <w:szCs w:val="20"/>
                <w:color w:val="auto"/>
              </w:rPr>
            </w:pPr>
            <w:r>
              <w:rPr>
                <w:rFonts w:ascii="Arial" w:cs="Arial" w:eastAsia="Arial" w:hAnsi="Arial"/>
                <w:sz w:val="18"/>
                <w:szCs w:val="18"/>
                <w:color w:val="auto"/>
              </w:rPr>
              <w:t>INDEMNITY ·</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2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220" w:type="dxa"/>
            <w:vAlign w:val="bottom"/>
          </w:tcPr>
          <w:p>
            <w:pPr>
              <w:ind w:left="40"/>
              <w:spacing w:after="0"/>
              <w:rPr>
                <w:sz w:val="20"/>
                <w:szCs w:val="20"/>
                <w:color w:val="auto"/>
              </w:rPr>
            </w:pPr>
            <w:r>
              <w:rPr>
                <w:rFonts w:ascii="Arial" w:cs="Arial" w:eastAsia="Arial" w:hAnsi="Arial"/>
                <w:sz w:val="18"/>
                <w:szCs w:val="18"/>
                <w:color w:val="auto"/>
              </w:rPr>
              <w:t>LIMITATION OFLIABILITY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22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220" w:type="dxa"/>
            <w:vAlign w:val="bottom"/>
          </w:tcPr>
          <w:p>
            <w:pPr>
              <w:ind w:left="40"/>
              <w:spacing w:after="0"/>
              <w:rPr>
                <w:sz w:val="20"/>
                <w:szCs w:val="20"/>
                <w:color w:val="auto"/>
              </w:rPr>
            </w:pPr>
            <w:r>
              <w:rPr>
                <w:rFonts w:ascii="Arial" w:cs="Arial" w:eastAsia="Arial" w:hAnsi="Arial"/>
                <w:sz w:val="18"/>
                <w:szCs w:val="18"/>
                <w:color w:val="auto"/>
              </w:rPr>
              <w:t>PUBLICATIONS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220" w:type="dxa"/>
            <w:vAlign w:val="bottom"/>
          </w:tcPr>
          <w:p>
            <w:pPr>
              <w:ind w:left="40"/>
              <w:spacing w:after="0"/>
              <w:rPr>
                <w:sz w:val="20"/>
                <w:szCs w:val="20"/>
                <w:color w:val="auto"/>
              </w:rPr>
            </w:pPr>
            <w:r>
              <w:rPr>
                <w:rFonts w:ascii="Arial" w:cs="Arial" w:eastAsia="Arial" w:hAnsi="Arial"/>
                <w:sz w:val="18"/>
                <w:szCs w:val="18"/>
                <w:color w:val="auto"/>
              </w:rPr>
              <w:t>TERM AND 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8220" w:type="dxa"/>
            <w:vAlign w:val="bottom"/>
          </w:tcPr>
          <w:p>
            <w:pPr>
              <w:ind w:left="40"/>
              <w:spacing w:after="0"/>
              <w:rPr>
                <w:sz w:val="20"/>
                <w:szCs w:val="20"/>
                <w:color w:val="auto"/>
              </w:rPr>
            </w:pPr>
            <w:r>
              <w:rPr>
                <w:rFonts w:ascii="Arial" w:cs="Arial" w:eastAsia="Arial" w:hAnsi="Arial"/>
                <w:sz w:val="18"/>
                <w:szCs w:val="18"/>
                <w:color w:val="auto"/>
              </w:rPr>
              <w:t>EFFECTS OF 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822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8220" w:type="dxa"/>
            <w:vAlign w:val="bottom"/>
          </w:tcPr>
          <w:p>
            <w:pPr>
              <w:ind w:left="40"/>
              <w:spacing w:after="0"/>
              <w:rPr>
                <w:sz w:val="20"/>
                <w:szCs w:val="20"/>
                <w:color w:val="auto"/>
              </w:rPr>
            </w:pPr>
            <w:r>
              <w:rPr>
                <w:rFonts w:ascii="Arial" w:cs="Arial" w:eastAsia="Arial" w:hAnsi="Arial"/>
                <w:sz w:val="18"/>
                <w:szCs w:val="18"/>
                <w:color w:val="auto"/>
              </w:rPr>
              <w:t>ASSIGNMENT AND SUB-CONTRACTING</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8220" w:type="dxa"/>
            <w:vAlign w:val="bottom"/>
          </w:tcPr>
          <w:p>
            <w:pPr>
              <w:ind w:left="40"/>
              <w:spacing w:after="0"/>
              <w:rPr>
                <w:sz w:val="20"/>
                <w:szCs w:val="20"/>
                <w:color w:val="auto"/>
              </w:rPr>
            </w:pPr>
            <w:r>
              <w:rPr>
                <w:rFonts w:ascii="Arial" w:cs="Arial" w:eastAsia="Arial" w:hAnsi="Arial"/>
                <w:sz w:val="18"/>
                <w:szCs w:val="18"/>
                <w:color w:val="auto"/>
              </w:rPr>
              <w:t>NOTICES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8220" w:type="dxa"/>
            <w:vAlign w:val="bottom"/>
          </w:tcPr>
          <w:p>
            <w:pPr>
              <w:ind w:left="40"/>
              <w:spacing w:after="0"/>
              <w:rPr>
                <w:sz w:val="20"/>
                <w:szCs w:val="20"/>
                <w:color w:val="auto"/>
              </w:rPr>
            </w:pPr>
            <w:r>
              <w:rPr>
                <w:rFonts w:ascii="Arial" w:cs="Arial" w:eastAsia="Arial" w:hAnsi="Arial"/>
                <w:sz w:val="18"/>
                <w:szCs w:val="18"/>
                <w:color w:val="auto"/>
              </w:rPr>
              <w:t>VARIATION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822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8220" w:type="dxa"/>
            <w:vAlign w:val="bottom"/>
          </w:tcPr>
          <w:p>
            <w:pPr>
              <w:ind w:left="40"/>
              <w:spacing w:after="0"/>
              <w:rPr>
                <w:sz w:val="20"/>
                <w:szCs w:val="20"/>
                <w:color w:val="auto"/>
              </w:rPr>
            </w:pPr>
            <w:r>
              <w:rPr>
                <w:rFonts w:ascii="Arial" w:cs="Arial" w:eastAsia="Arial" w:hAnsi="Arial"/>
                <w:sz w:val="18"/>
                <w:szCs w:val="18"/>
                <w:color w:val="auto"/>
              </w:rPr>
              <w:t>FURTHER ASSURANCE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8220" w:type="dxa"/>
            <w:vAlign w:val="bottom"/>
          </w:tcPr>
          <w:p>
            <w:pPr>
              <w:ind w:left="40"/>
              <w:spacing w:after="0"/>
              <w:rPr>
                <w:sz w:val="20"/>
                <w:szCs w:val="20"/>
                <w:color w:val="auto"/>
              </w:rPr>
            </w:pPr>
            <w:r>
              <w:rPr>
                <w:rFonts w:ascii="Arial" w:cs="Arial" w:eastAsia="Arial" w:hAnsi="Arial"/>
                <w:sz w:val="18"/>
                <w:szCs w:val="18"/>
                <w:color w:val="auto"/>
              </w:rPr>
              <w:t>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28.</w:t>
            </w:r>
          </w:p>
        </w:tc>
        <w:tc>
          <w:tcPr>
            <w:tcW w:w="82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29.</w:t>
            </w:r>
          </w:p>
        </w:tc>
        <w:tc>
          <w:tcPr>
            <w:tcW w:w="8220" w:type="dxa"/>
            <w:vAlign w:val="bottom"/>
          </w:tcPr>
          <w:p>
            <w:pPr>
              <w:ind w:left="40"/>
              <w:spacing w:after="0"/>
              <w:rPr>
                <w:sz w:val="20"/>
                <w:szCs w:val="20"/>
                <w:color w:val="auto"/>
              </w:rPr>
            </w:pPr>
            <w:r>
              <w:rPr>
                <w:rFonts w:ascii="Arial" w:cs="Arial" w:eastAsia="Arial" w:hAnsi="Arial"/>
                <w:sz w:val="18"/>
                <w:szCs w:val="18"/>
                <w:color w:val="auto"/>
              </w:rPr>
              <w:t>LAW AND JURISDICTION</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1"/>
        </w:trPr>
        <w:tc>
          <w:tcPr>
            <w:tcW w:w="280" w:type="dxa"/>
            <w:vAlign w:val="bottom"/>
          </w:tcPr>
          <w:p>
            <w:pPr>
              <w:spacing w:after="0"/>
              <w:rPr>
                <w:sz w:val="20"/>
                <w:szCs w:val="20"/>
                <w:color w:val="auto"/>
              </w:rPr>
            </w:pPr>
            <w:r>
              <w:rPr>
                <w:rFonts w:ascii="Arial" w:cs="Arial" w:eastAsia="Arial" w:hAnsi="Arial"/>
                <w:sz w:val="18"/>
                <w:szCs w:val="18"/>
                <w:color w:val="auto"/>
              </w:rPr>
              <w:t>30.</w:t>
            </w:r>
          </w:p>
        </w:tc>
        <w:tc>
          <w:tcPr>
            <w:tcW w:w="8220" w:type="dxa"/>
            <w:vAlign w:val="bottom"/>
          </w:tcPr>
          <w:p>
            <w:pPr>
              <w:ind w:left="40"/>
              <w:spacing w:after="0"/>
              <w:rPr>
                <w:sz w:val="20"/>
                <w:szCs w:val="20"/>
                <w:color w:val="auto"/>
              </w:rPr>
            </w:pPr>
            <w:r>
              <w:rPr>
                <w:rFonts w:ascii="Arial" w:cs="Arial" w:eastAsia="Arial" w:hAnsi="Arial"/>
                <w:sz w:val="18"/>
                <w:szCs w:val="18"/>
                <w:color w:val="auto"/>
              </w:rPr>
              <w:t>EXECUTION</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60"/>
          </w:cols>
          <w:pgMar w:left="480" w:top="268" w:right="559" w:bottom="1440" w:gutter="0" w:footer="0" w:header="0"/>
        </w:sectPr>
      </w:pPr>
    </w:p>
    <w:bookmarkStart w:id="536" w:name="page537"/>
    <w:bookmarkEnd w:id="536"/>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760" w:type="dxa"/>
            <w:vAlign w:val="bottom"/>
          </w:tcPr>
          <w:p>
            <w:pPr>
              <w:jc w:val="right"/>
              <w:ind w:right="4353"/>
              <w:spacing w:after="0"/>
              <w:rPr>
                <w:sz w:val="20"/>
                <w:szCs w:val="20"/>
                <w:color w:val="auto"/>
              </w:rPr>
            </w:pPr>
            <w:r>
              <w:rPr>
                <w:rFonts w:ascii="Arial" w:cs="Arial" w:eastAsia="Arial" w:hAnsi="Arial"/>
                <w:sz w:val="18"/>
                <w:szCs w:val="18"/>
                <w:b w:val="1"/>
                <w:bCs w:val="1"/>
                <w:color w:val="auto"/>
              </w:rPr>
              <w:t>TABLE OF CONTENTS</w:t>
            </w:r>
          </w:p>
        </w:tc>
      </w:tr>
      <w:tr>
        <w:trPr>
          <w:trHeight w:val="231"/>
        </w:trPr>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760" w:type="dxa"/>
            <w:vAlign w:val="bottom"/>
          </w:tcPr>
          <w:p>
            <w:pPr>
              <w:jc w:val="right"/>
              <w:ind w:right="4873"/>
              <w:spacing w:after="0"/>
              <w:rPr>
                <w:sz w:val="20"/>
                <w:szCs w:val="20"/>
                <w:color w:val="auto"/>
              </w:rPr>
            </w:pPr>
            <w:r>
              <w:rPr>
                <w:rFonts w:ascii="Arial" w:cs="Arial" w:eastAsia="Arial" w:hAnsi="Arial"/>
                <w:sz w:val="18"/>
                <w:szCs w:val="18"/>
                <w:b w:val="1"/>
                <w:bCs w:val="1"/>
                <w:color w:val="auto"/>
              </w:rPr>
              <w:t>(continued)</w:t>
            </w:r>
          </w:p>
        </w:tc>
      </w:tr>
      <w:tr>
        <w:trPr>
          <w:trHeight w:val="308"/>
        </w:trPr>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7"/>
        </w:trPr>
        <w:tc>
          <w:tcPr>
            <w:tcW w:w="280" w:type="dxa"/>
            <w:vAlign w:val="bottom"/>
          </w:tcPr>
          <w:p>
            <w:pPr>
              <w:jc w:val="right"/>
              <w:spacing w:after="0"/>
              <w:rPr>
                <w:sz w:val="20"/>
                <w:szCs w:val="20"/>
                <w:color w:val="auto"/>
              </w:rPr>
            </w:pPr>
            <w:r>
              <w:rPr>
                <w:rFonts w:ascii="Arial" w:cs="Arial" w:eastAsia="Arial" w:hAnsi="Arial"/>
                <w:sz w:val="18"/>
                <w:szCs w:val="18"/>
                <w:color w:val="auto"/>
                <w:w w:val="87"/>
              </w:rPr>
              <w:t>31.</w:t>
            </w:r>
          </w:p>
        </w:tc>
        <w:tc>
          <w:tcPr>
            <w:tcW w:w="3820" w:type="dxa"/>
            <w:vAlign w:val="bottom"/>
          </w:tcPr>
          <w:p>
            <w:pPr>
              <w:ind w:left="40"/>
              <w:spacing w:after="0"/>
              <w:rPr>
                <w:sz w:val="20"/>
                <w:szCs w:val="20"/>
                <w:color w:val="auto"/>
              </w:rPr>
            </w:pPr>
            <w:r>
              <w:rPr>
                <w:rFonts w:ascii="Arial" w:cs="Arial" w:eastAsia="Arial" w:hAnsi="Arial"/>
                <w:sz w:val="18"/>
                <w:szCs w:val="18"/>
                <w:color w:val="auto"/>
              </w:rPr>
              <w:t>ANNOUNCEMENTS AND USE OF NAMES</w:t>
            </w:r>
          </w:p>
        </w:tc>
        <w:tc>
          <w:tcPr>
            <w:tcW w:w="6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1"/>
        </w:trPr>
        <w:tc>
          <w:tcPr>
            <w:tcW w:w="280" w:type="dxa"/>
            <w:vAlign w:val="bottom"/>
          </w:tcPr>
          <w:p>
            <w:pPr>
              <w:jc w:val="right"/>
              <w:spacing w:after="0"/>
              <w:rPr>
                <w:sz w:val="20"/>
                <w:szCs w:val="20"/>
                <w:color w:val="auto"/>
              </w:rPr>
            </w:pPr>
            <w:r>
              <w:rPr>
                <w:rFonts w:ascii="Arial" w:cs="Arial" w:eastAsia="Arial" w:hAnsi="Arial"/>
                <w:sz w:val="18"/>
                <w:szCs w:val="18"/>
                <w:color w:val="auto"/>
                <w:w w:val="87"/>
              </w:rPr>
              <w:t>32.</w:t>
            </w:r>
          </w:p>
        </w:tc>
        <w:tc>
          <w:tcPr>
            <w:tcW w:w="3820" w:type="dxa"/>
            <w:vAlign w:val="bottom"/>
          </w:tcPr>
          <w:p>
            <w:pPr>
              <w:ind w:left="40"/>
              <w:spacing w:after="0"/>
              <w:rPr>
                <w:sz w:val="20"/>
                <w:szCs w:val="20"/>
                <w:color w:val="auto"/>
              </w:rPr>
            </w:pPr>
            <w:r>
              <w:rPr>
                <w:rFonts w:ascii="Arial" w:cs="Arial" w:eastAsia="Arial" w:hAnsi="Arial"/>
                <w:sz w:val="18"/>
                <w:szCs w:val="18"/>
                <w:color w:val="auto"/>
              </w:rPr>
              <w:t>DISPUTE RESOLUTION</w:t>
            </w:r>
          </w:p>
        </w:tc>
        <w:tc>
          <w:tcPr>
            <w:tcW w:w="6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1"/>
        </w:trPr>
        <w:tc>
          <w:tcPr>
            <w:tcW w:w="280" w:type="dxa"/>
            <w:vAlign w:val="bottom"/>
          </w:tcPr>
          <w:p>
            <w:pPr>
              <w:jc w:val="right"/>
              <w:spacing w:after="0"/>
              <w:rPr>
                <w:sz w:val="20"/>
                <w:szCs w:val="20"/>
                <w:color w:val="auto"/>
              </w:rPr>
            </w:pPr>
            <w:r>
              <w:rPr>
                <w:rFonts w:ascii="Arial" w:cs="Arial" w:eastAsia="Arial" w:hAnsi="Arial"/>
                <w:sz w:val="18"/>
                <w:szCs w:val="18"/>
                <w:color w:val="auto"/>
                <w:w w:val="87"/>
              </w:rPr>
              <w:t>33.</w:t>
            </w:r>
          </w:p>
        </w:tc>
        <w:tc>
          <w:tcPr>
            <w:tcW w:w="3820" w:type="dxa"/>
            <w:vAlign w:val="bottom"/>
          </w:tcPr>
          <w:p>
            <w:pPr>
              <w:ind w:left="40"/>
              <w:spacing w:after="0"/>
              <w:rPr>
                <w:sz w:val="20"/>
                <w:szCs w:val="20"/>
                <w:color w:val="auto"/>
              </w:rPr>
            </w:pPr>
            <w:r>
              <w:rPr>
                <w:rFonts w:ascii="Arial" w:cs="Arial" w:eastAsia="Arial" w:hAnsi="Arial"/>
                <w:sz w:val="18"/>
                <w:szCs w:val="18"/>
                <w:color w:val="auto"/>
              </w:rPr>
              <w:t>NO THIRD PARTY BENEFICIARIES</w:t>
            </w:r>
          </w:p>
        </w:tc>
        <w:tc>
          <w:tcPr>
            <w:tcW w:w="6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1"/>
        </w:trPr>
        <w:tc>
          <w:tcPr>
            <w:tcW w:w="28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3820" w:type="dxa"/>
            <w:vAlign w:val="bottom"/>
          </w:tcPr>
          <w:p>
            <w:pPr>
              <w:ind w:left="40"/>
              <w:spacing w:after="0"/>
              <w:rPr>
                <w:sz w:val="20"/>
                <w:szCs w:val="20"/>
                <w:color w:val="auto"/>
              </w:rPr>
            </w:pPr>
            <w:r>
              <w:rPr>
                <w:rFonts w:ascii="Arial" w:cs="Arial" w:eastAsia="Arial" w:hAnsi="Arial"/>
                <w:sz w:val="18"/>
                <w:szCs w:val="18"/>
                <w:color w:val="auto"/>
              </w:rPr>
              <w:t>LANGUAGE; AUTHORSHIP</w:t>
            </w:r>
          </w:p>
        </w:tc>
        <w:tc>
          <w:tcPr>
            <w:tcW w:w="67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60"/>
          </w:cols>
          <w:pgMar w:left="480" w:top="268" w:right="559" w:bottom="1440" w:gutter="0" w:footer="0" w:header="0"/>
        </w:sectPr>
      </w:pPr>
    </w:p>
    <w:bookmarkStart w:id="537" w:name="page538"/>
    <w:bookmarkEnd w:id="5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COLLABORATION AND OPTION AGREEMENT</w:t>
      </w:r>
    </w:p>
    <w:p>
      <w:pPr>
        <w:spacing w:after="0" w:line="221"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OLLABORATION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entered into and made effective as of the 10th day of April,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and among:</w:t>
      </w:r>
    </w:p>
    <w:p>
      <w:pPr>
        <w:spacing w:after="0" w:line="61" w:lineRule="exact"/>
        <w:rPr>
          <w:sz w:val="20"/>
          <w:szCs w:val="20"/>
          <w:color w:val="auto"/>
        </w:rPr>
      </w:pPr>
    </w:p>
    <w:p>
      <w:pPr>
        <w:ind w:right="120" w:firstLine="444"/>
        <w:spacing w:after="0" w:line="275" w:lineRule="auto"/>
        <w:tabs>
          <w:tab w:leader="none" w:pos="689"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r>
        <w:rPr>
          <w:rFonts w:ascii="Arial" w:cs="Arial" w:eastAsia="Arial" w:hAnsi="Arial"/>
          <w:sz w:val="18"/>
          <w:szCs w:val="18"/>
          <w:color w:val="auto"/>
        </w:rPr>
        <w:t>, a company registered in England and Wales under number 1626049 with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Angel Building, 407 St John Street, London, ECIV 4AD, England (“</w:t>
      </w:r>
      <w:r>
        <w:rPr>
          <w:rFonts w:ascii="Arial" w:cs="Arial" w:eastAsia="Arial" w:hAnsi="Arial"/>
          <w:sz w:val="18"/>
          <w:szCs w:val="18"/>
          <w:b w:val="1"/>
          <w:bCs w:val="1"/>
          <w:i w:val="1"/>
          <w:iCs w:val="1"/>
          <w:color w:val="auto"/>
        </w:rPr>
        <w:t>CRT</w:t>
      </w:r>
      <w:r>
        <w:rPr>
          <w:rFonts w:ascii="Arial" w:cs="Arial" w:eastAsia="Arial" w:hAnsi="Arial"/>
          <w:sz w:val="18"/>
          <w:szCs w:val="18"/>
          <w:color w:val="auto"/>
        </w:rPr>
        <w:t>”);</w:t>
      </w:r>
    </w:p>
    <w:p>
      <w:pPr>
        <w:spacing w:after="0" w:line="167" w:lineRule="exact"/>
        <w:rPr>
          <w:rFonts w:ascii="Arial" w:cs="Arial" w:eastAsia="Arial" w:hAnsi="Arial"/>
          <w:sz w:val="18"/>
          <w:szCs w:val="18"/>
          <w:b w:val="1"/>
          <w:bCs w:val="1"/>
          <w:color w:val="auto"/>
        </w:rPr>
      </w:pPr>
    </w:p>
    <w:p>
      <w:pPr>
        <w:ind w:right="740" w:firstLine="444"/>
        <w:spacing w:after="0" w:line="340" w:lineRule="auto"/>
        <w:tabs>
          <w:tab w:leader="none" w:pos="689" w:val="left"/>
        </w:tabs>
        <w:numPr>
          <w:ilvl w:val="0"/>
          <w:numId w:val="450"/>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HE</w:t>
      </w:r>
      <w:r>
        <w:rPr>
          <w:rFonts w:ascii="Arial" w:cs="Arial" w:eastAsia="Arial" w:hAnsi="Arial"/>
          <w:sz w:val="16"/>
          <w:szCs w:val="16"/>
          <w:b w:val="1"/>
          <w:bCs w:val="1"/>
          <w:color w:val="auto"/>
        </w:rPr>
        <w:t xml:space="preserve"> I</w:t>
      </w:r>
      <w:r>
        <w:rPr>
          <w:rFonts w:ascii="Arial" w:cs="Arial" w:eastAsia="Arial" w:hAnsi="Arial"/>
          <w:sz w:val="12"/>
          <w:szCs w:val="12"/>
          <w:b w:val="1"/>
          <w:bCs w:val="1"/>
          <w:color w:val="auto"/>
        </w:rPr>
        <w:t>NSTITUTE OF</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ANCER</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ESEARCH</w:t>
      </w:r>
      <w:r>
        <w:rPr>
          <w:rFonts w:ascii="Arial" w:cs="Arial" w:eastAsia="Arial" w:hAnsi="Arial"/>
          <w:sz w:val="16"/>
          <w:szCs w:val="16"/>
          <w:b w:val="1"/>
          <w:bCs w:val="1"/>
          <w:color w:val="auto"/>
        </w:rPr>
        <w:t>: R</w:t>
      </w:r>
      <w:r>
        <w:rPr>
          <w:rFonts w:ascii="Arial" w:cs="Arial" w:eastAsia="Arial" w:hAnsi="Arial"/>
          <w:sz w:val="12"/>
          <w:szCs w:val="12"/>
          <w:b w:val="1"/>
          <w:bCs w:val="1"/>
          <w:color w:val="auto"/>
        </w:rPr>
        <w:t>OYAL</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ANCER</w:t>
      </w:r>
      <w:r>
        <w:rPr>
          <w:rFonts w:ascii="Arial" w:cs="Arial" w:eastAsia="Arial" w:hAnsi="Arial"/>
          <w:sz w:val="16"/>
          <w:szCs w:val="16"/>
          <w:b w:val="1"/>
          <w:bCs w:val="1"/>
          <w:color w:val="auto"/>
        </w:rPr>
        <w:t xml:space="preserve"> H</w:t>
      </w:r>
      <w:r>
        <w:rPr>
          <w:rFonts w:ascii="Arial" w:cs="Arial" w:eastAsia="Arial" w:hAnsi="Arial"/>
          <w:sz w:val="12"/>
          <w:szCs w:val="12"/>
          <w:b w:val="1"/>
          <w:bCs w:val="1"/>
          <w:color w:val="auto"/>
        </w:rPr>
        <w:t>OSPITAL</w:t>
      </w:r>
      <w:r>
        <w:rPr>
          <w:rFonts w:ascii="Arial" w:cs="Arial" w:eastAsia="Arial" w:hAnsi="Arial"/>
          <w:sz w:val="16"/>
          <w:szCs w:val="16"/>
          <w:color w:val="auto"/>
        </w:rPr>
        <w:t>, a company limited by guarantee and registered in England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number 00534147) and registered charity whose office is at 123 Old Brompton Road, London, SW17 9LN, England (“</w:t>
      </w:r>
      <w:r>
        <w:rPr>
          <w:rFonts w:ascii="Arial" w:cs="Arial" w:eastAsia="Arial" w:hAnsi="Arial"/>
          <w:sz w:val="16"/>
          <w:szCs w:val="16"/>
          <w:b w:val="1"/>
          <w:bCs w:val="1"/>
          <w:i w:val="1"/>
          <w:iCs w:val="1"/>
          <w:color w:val="auto"/>
        </w:rPr>
        <w:t>ICR</w:t>
      </w:r>
      <w:r>
        <w:rPr>
          <w:rFonts w:ascii="Arial" w:cs="Arial" w:eastAsia="Arial" w:hAnsi="Arial"/>
          <w:sz w:val="16"/>
          <w:szCs w:val="16"/>
          <w:color w:val="auto"/>
        </w:rPr>
        <w:t>”); and</w:t>
      </w:r>
    </w:p>
    <w:p>
      <w:pPr>
        <w:spacing w:after="0" w:line="120" w:lineRule="exact"/>
        <w:rPr>
          <w:rFonts w:ascii="Arial" w:cs="Arial" w:eastAsia="Arial" w:hAnsi="Arial"/>
          <w:sz w:val="16"/>
          <w:szCs w:val="16"/>
          <w:b w:val="1"/>
          <w:bCs w:val="1"/>
          <w:color w:val="auto"/>
        </w:rPr>
      </w:pPr>
    </w:p>
    <w:p>
      <w:pPr>
        <w:ind w:right="360" w:firstLine="444"/>
        <w:spacing w:after="0" w:line="261" w:lineRule="auto"/>
        <w:tabs>
          <w:tab w:leader="none" w:pos="689"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AG </w:t>
      </w:r>
      <w:r>
        <w:rPr>
          <w:rFonts w:ascii="Arial" w:cs="Arial" w:eastAsia="Arial" w:hAnsi="Arial"/>
          <w:sz w:val="18"/>
          <w:szCs w:val="18"/>
          <w:color w:val="auto"/>
        </w:rPr>
        <w:t>(in formation), a company to be organized under the laws of Switzerland, with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Aeschenvorstadt 36, 4051 Basel, Switzerland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CRT, the ICR and the Company are each referred to herein by name or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w:t>
      </w:r>
    </w:p>
    <w:p>
      <w:pPr>
        <w:spacing w:after="0" w:line="118" w:lineRule="exact"/>
        <w:rPr>
          <w:sz w:val="20"/>
          <w:szCs w:val="20"/>
          <w:color w:val="auto"/>
        </w:rPr>
      </w:pPr>
    </w:p>
    <w:p>
      <w:pPr>
        <w:ind w:right="220" w:firstLine="444"/>
        <w:spacing w:after="0" w:line="281" w:lineRule="auto"/>
        <w:tabs>
          <w:tab w:leader="none" w:pos="728" w:val="left"/>
        </w:tabs>
        <w:numPr>
          <w:ilvl w:val="0"/>
          <w:numId w:val="451"/>
        </w:numPr>
        <w:rPr>
          <w:rFonts w:ascii="Arial" w:cs="Arial" w:eastAsia="Arial" w:hAnsi="Arial"/>
          <w:sz w:val="17"/>
          <w:szCs w:val="17"/>
          <w:b w:val="1"/>
          <w:bCs w:val="1"/>
          <w:color w:val="auto"/>
        </w:rPr>
      </w:pPr>
      <w:r>
        <w:rPr>
          <w:rFonts w:ascii="Arial" w:cs="Arial" w:eastAsia="Arial" w:hAnsi="Arial"/>
          <w:sz w:val="17"/>
          <w:szCs w:val="17"/>
          <w:color w:val="auto"/>
        </w:rPr>
        <w:t>CRT is an oncology focused technology transfer and development company, wholly owned by Cancer Research UK (“</w:t>
      </w:r>
      <w:r>
        <w:rPr>
          <w:rFonts w:ascii="Arial" w:cs="Arial" w:eastAsia="Arial" w:hAnsi="Arial"/>
          <w:sz w:val="17"/>
          <w:szCs w:val="17"/>
          <w:b w:val="1"/>
          <w:bCs w:val="1"/>
          <w:i w:val="1"/>
          <w:iCs w:val="1"/>
          <w:color w:val="auto"/>
        </w:rPr>
        <w:t>CRUK</w:t>
      </w:r>
      <w:r>
        <w:rPr>
          <w:rFonts w:ascii="Arial" w:cs="Arial" w:eastAsia="Arial" w:hAnsi="Arial"/>
          <w:sz w:val="17"/>
          <w:szCs w:val="17"/>
          <w:color w:val="auto"/>
        </w:rPr>
        <w:t>”), a company limited by guarantee (registered in England and Wales under number 4325234) and a charity (registered in England under number 1089464 and registered in Scotland under number SC041666) of Angel Building, 407 St John Street, London, EC1V 4AD, United Kingdom;</w:t>
      </w:r>
    </w:p>
    <w:p>
      <w:pPr>
        <w:spacing w:after="0" w:line="169" w:lineRule="exact"/>
        <w:rPr>
          <w:rFonts w:ascii="Arial" w:cs="Arial" w:eastAsia="Arial" w:hAnsi="Arial"/>
          <w:sz w:val="17"/>
          <w:szCs w:val="17"/>
          <w:b w:val="1"/>
          <w:bCs w:val="1"/>
          <w:color w:val="auto"/>
        </w:rPr>
      </w:pPr>
    </w:p>
    <w:p>
      <w:pPr>
        <w:ind w:firstLine="444"/>
        <w:spacing w:after="0" w:line="271" w:lineRule="auto"/>
        <w:tabs>
          <w:tab w:leader="none" w:pos="719"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The ICR is a registered charity and a college of the University of London, and is dedicated to the pursuit of scientific and clinical research into the understanding, diagnosis and treatment of cancer;.</w:t>
      </w:r>
    </w:p>
    <w:p>
      <w:pPr>
        <w:spacing w:after="0" w:line="174" w:lineRule="exact"/>
        <w:rPr>
          <w:rFonts w:ascii="Arial" w:cs="Arial" w:eastAsia="Arial" w:hAnsi="Arial"/>
          <w:sz w:val="18"/>
          <w:szCs w:val="18"/>
          <w:b w:val="1"/>
          <w:bCs w:val="1"/>
          <w:color w:val="auto"/>
        </w:rPr>
      </w:pPr>
    </w:p>
    <w:p>
      <w:pPr>
        <w:ind w:left="740" w:hanging="296"/>
        <w:spacing w:after="0"/>
        <w:tabs>
          <w:tab w:leader="none" w:pos="740"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The Company is engaged in the research and development of protein degradation-based therapeutics;</w:t>
      </w:r>
    </w:p>
    <w:p>
      <w:pPr>
        <w:spacing w:after="0" w:line="220" w:lineRule="exact"/>
        <w:rPr>
          <w:rFonts w:ascii="Arial" w:cs="Arial" w:eastAsia="Arial" w:hAnsi="Arial"/>
          <w:sz w:val="18"/>
          <w:szCs w:val="18"/>
          <w:b w:val="1"/>
          <w:bCs w:val="1"/>
          <w:color w:val="auto"/>
        </w:rPr>
      </w:pPr>
    </w:p>
    <w:p>
      <w:pPr>
        <w:ind w:right="480" w:firstLine="444"/>
        <w:spacing w:after="0" w:line="290" w:lineRule="auto"/>
        <w:tabs>
          <w:tab w:leader="none" w:pos="728" w:val="left"/>
        </w:tabs>
        <w:numPr>
          <w:ilvl w:val="0"/>
          <w:numId w:val="451"/>
        </w:numPr>
        <w:rPr>
          <w:rFonts w:ascii="Arial" w:cs="Arial" w:eastAsia="Arial" w:hAnsi="Arial"/>
          <w:sz w:val="16"/>
          <w:szCs w:val="16"/>
          <w:b w:val="1"/>
          <w:bCs w:val="1"/>
          <w:color w:val="auto"/>
        </w:rPr>
      </w:pPr>
      <w:r>
        <w:rPr>
          <w:rFonts w:ascii="Arial" w:cs="Arial" w:eastAsia="Arial" w:hAnsi="Arial"/>
          <w:sz w:val="16"/>
          <w:szCs w:val="16"/>
          <w:color w:val="auto"/>
        </w:rPr>
        <w:t>As a condition to and concurrent with the execution and delivery of this Agreement, the Parties are entering into that certain (a) License Agreement (as may be amended, the “</w:t>
      </w: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pursuant to which CRT and the ICR grant the Company certain rights under their intellectual property rights existing as of the Effective Date in the field of cereblon (CRBN)-mediated protein degradation, and (b) Formation and Investment Agreement (as may be amended, the “</w:t>
      </w:r>
      <w:r>
        <w:rPr>
          <w:rFonts w:ascii="Arial" w:cs="Arial" w:eastAsia="Arial" w:hAnsi="Arial"/>
          <w:sz w:val="16"/>
          <w:szCs w:val="16"/>
          <w:b w:val="1"/>
          <w:bCs w:val="1"/>
          <w:i w:val="1"/>
          <w:iCs w:val="1"/>
          <w:color w:val="auto"/>
        </w:rPr>
        <w:t>Formation and Investment Agreement</w:t>
      </w:r>
      <w:r>
        <w:rPr>
          <w:rFonts w:ascii="Arial" w:cs="Arial" w:eastAsia="Arial" w:hAnsi="Arial"/>
          <w:sz w:val="16"/>
          <w:szCs w:val="16"/>
          <w:color w:val="auto"/>
        </w:rPr>
        <w:t>”), and the related Shareholders’ Agreement (as may be amended, the “</w:t>
      </w:r>
      <w:r>
        <w:rPr>
          <w:rFonts w:ascii="Arial" w:cs="Arial" w:eastAsia="Arial" w:hAnsi="Arial"/>
          <w:sz w:val="16"/>
          <w:szCs w:val="16"/>
          <w:b w:val="1"/>
          <w:bCs w:val="1"/>
          <w:i w:val="1"/>
          <w:iCs w:val="1"/>
          <w:color w:val="auto"/>
        </w:rPr>
        <w:t>Shareholders’ Agreement</w:t>
      </w:r>
      <w:r>
        <w:rPr>
          <w:rFonts w:ascii="Arial" w:cs="Arial" w:eastAsia="Arial" w:hAnsi="Arial"/>
          <w:sz w:val="16"/>
          <w:szCs w:val="16"/>
          <w:color w:val="auto"/>
        </w:rPr>
        <w:t>”), by and among the Company and its shareholders, including CRT and the ICR, pursuant to which the Company issues common shares of the Company as consideration for the rights granted to it under the License Agreement; and</w:t>
      </w:r>
    </w:p>
    <w:p>
      <w:pPr>
        <w:spacing w:after="0" w:line="163" w:lineRule="exact"/>
        <w:rPr>
          <w:rFonts w:ascii="Arial" w:cs="Arial" w:eastAsia="Arial" w:hAnsi="Arial"/>
          <w:sz w:val="16"/>
          <w:szCs w:val="16"/>
          <w:b w:val="1"/>
          <w:bCs w:val="1"/>
          <w:color w:val="auto"/>
        </w:rPr>
      </w:pPr>
    </w:p>
    <w:p>
      <w:pPr>
        <w:ind w:right="720" w:firstLine="444"/>
        <w:spacing w:after="0" w:line="281" w:lineRule="auto"/>
        <w:tabs>
          <w:tab w:leader="none" w:pos="719" w:val="left"/>
        </w:tabs>
        <w:numPr>
          <w:ilvl w:val="0"/>
          <w:numId w:val="451"/>
        </w:numPr>
        <w:rPr>
          <w:rFonts w:ascii="Arial" w:cs="Arial" w:eastAsia="Arial" w:hAnsi="Arial"/>
          <w:sz w:val="17"/>
          <w:szCs w:val="17"/>
          <w:b w:val="1"/>
          <w:bCs w:val="1"/>
          <w:color w:val="auto"/>
        </w:rPr>
      </w:pPr>
      <w:r>
        <w:rPr>
          <w:rFonts w:ascii="Arial" w:cs="Arial" w:eastAsia="Arial" w:hAnsi="Arial"/>
          <w:sz w:val="17"/>
          <w:szCs w:val="17"/>
          <w:color w:val="auto"/>
        </w:rPr>
        <w:t>As a condition to the execution and delivery of the Formation and Investment Agreement, Shareholders’ Agreement and the License Agreement, the Company wishes to collaborate with CRT and the ICR, and CRT and the ICR are willing to collaborate, on the research and development in the field of CRBN-mediated protein degradation on terms and conditions set forth herein.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80" w:top="268" w:right="519" w:bottom="1440" w:gutter="0" w:footer="0" w:header="0"/>
        </w:sectPr>
      </w:pPr>
    </w:p>
    <w:bookmarkStart w:id="538" w:name="page539"/>
    <w:bookmarkEnd w:id="538"/>
    <w:p>
      <w:pPr>
        <w:ind w:right="26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the covenants and premises contained in this Agreement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hereby agree as follows:</w:t>
      </w:r>
    </w:p>
    <w:p>
      <w:pPr>
        <w:spacing w:after="0" w:line="315" w:lineRule="exact"/>
        <w:rPr>
          <w:sz w:val="20"/>
          <w:szCs w:val="20"/>
          <w:color w:val="auto"/>
        </w:rPr>
      </w:pPr>
    </w:p>
    <w:p>
      <w:pPr>
        <w:ind w:left="440" w:hanging="433"/>
        <w:spacing w:after="0"/>
        <w:tabs>
          <w:tab w:leader="none" w:pos="44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In this Agreement the following words and expressions shall have the following meanings:</w:t>
      </w:r>
    </w:p>
    <w:p>
      <w:pPr>
        <w:spacing w:after="0" w:line="225"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Party, any person that, whether now or in the future, Controls, is Controlled by or is under common Control with a Party. For the avoidance of doubt, Versant Ventures shall not be deemed an Affiliate of Company.</w:t>
      </w:r>
    </w:p>
    <w:p>
      <w:pPr>
        <w:spacing w:after="0" w:line="175"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Affordable Price</w:t>
      </w:r>
      <w:r>
        <w:rPr>
          <w:rFonts w:ascii="Arial" w:cs="Arial" w:eastAsia="Arial" w:hAnsi="Arial"/>
          <w:sz w:val="18"/>
          <w:szCs w:val="18"/>
          <w:color w:val="auto"/>
        </w:rPr>
        <w:t>” means in relation to a Product: (i) a determination by the UK Pricing Authority that such Product should be used within the NHS; and/or (ii) approval by the UK Pricing Authority of the price proposed by the company or its Sub-Licensee in relation to sales of that Product in the United Kingdom (or one or more constituent countries thereof).</w:t>
      </w:r>
    </w:p>
    <w:p>
      <w:pPr>
        <w:spacing w:after="0" w:line="186"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Collaboration and Option Agreement and each of the Schedules attached hereto, as amended from time to time in accordance with the provisions of this Collaboration and Option Agreement.</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Sunday, or any public holiday in England or any date on which commercial banks located in Switzerland, and/or New York, New York, U.S.A. are authorized or required by law to close.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has the meaning given in Clause 14.1.</w:t>
      </w:r>
    </w:p>
    <w:p>
      <w:pPr>
        <w:spacing w:after="0" w:line="221"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Commencement</w:t>
      </w:r>
      <w:r>
        <w:rPr>
          <w:rFonts w:ascii="Arial" w:cs="Arial" w:eastAsia="Arial" w:hAnsi="Arial"/>
          <w:sz w:val="18"/>
          <w:szCs w:val="18"/>
          <w:color w:val="auto"/>
        </w:rPr>
        <w:t>” means, in relation to a clinical trial, the date upon which administration of a Product to the first human subject has occurred, whether such subject is a healthy volunteer or a patient.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Compound Intellectual Property</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Non-Compound Intellectual Property</w:t>
      </w:r>
      <w:r>
        <w:rPr>
          <w:rFonts w:ascii="Arial" w:cs="Arial" w:eastAsia="Arial" w:hAnsi="Arial"/>
          <w:sz w:val="18"/>
          <w:szCs w:val="18"/>
          <w:color w:val="auto"/>
        </w:rPr>
        <w:t>” means [***].</w:t>
      </w:r>
    </w:p>
    <w:p>
      <w:pPr>
        <w:spacing w:after="0" w:line="221"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Competent Authority</w:t>
      </w:r>
      <w:r>
        <w:rPr>
          <w:rFonts w:ascii="Arial" w:cs="Arial" w:eastAsia="Arial" w:hAnsi="Arial"/>
          <w:sz w:val="18"/>
          <w:szCs w:val="18"/>
          <w:color w:val="auto"/>
        </w:rPr>
        <w:t>” means any local or national agency, authority, department, inspectorate, minister, ministry official or public or statutory person (whether autonomous or not) of or of any government of any country having jurisdiction over the Agreement or any of the Parties or over the development or marketing of medicinal products including, the FDA, the European Medicines Agency, the European Commission and the European Court of Justice.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Compound</w:t>
      </w:r>
      <w:r>
        <w:rPr>
          <w:rFonts w:ascii="Arial" w:cs="Arial" w:eastAsia="Arial" w:hAnsi="Arial"/>
          <w:sz w:val="18"/>
          <w:szCs w:val="18"/>
          <w:color w:val="auto"/>
        </w:rPr>
        <w:t>” means a CRT/ICR Existing Compound or a Programme Compound.</w:t>
      </w:r>
    </w:p>
    <w:p>
      <w:pPr>
        <w:spacing w:after="0" w:line="221"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Compound Library</w:t>
      </w:r>
      <w:r>
        <w:rPr>
          <w:rFonts w:ascii="Arial" w:cs="Arial" w:eastAsia="Arial" w:hAnsi="Arial"/>
          <w:sz w:val="18"/>
          <w:szCs w:val="18"/>
          <w:color w:val="auto"/>
        </w:rPr>
        <w:t>” means (a) the CRT/ICR Existing Compound Library or any other compound library generated by or on behalf of the Company and/or the ICR pursuant to the conduct of Programme, but (b) excluding any compounds comprised in any CRT/ICR Background Library, other than Duplicate Compounds which remain Programme Compounds pursuant to Clause 7.6(b).</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480" w:top="268" w:right="679" w:bottom="1440" w:gutter="0" w:footer="0" w:header="0"/>
        </w:sectPr>
      </w:pPr>
    </w:p>
    <w:bookmarkStart w:id="539" w:name="page540"/>
    <w:bookmarkEnd w:id="539"/>
    <w:p>
      <w:pPr>
        <w:ind w:right="40"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all CRT/ICR Existing Know How, CRT/ICR Existing Materials, Programme Materials, Programme Know How and research and development plans, and all other information, in tangible or non-tangible form (including oral disclosure), including information relating to the customers, suppliers, business partners, clients, finances, business plans, technology, research and products (in each case actual or prospective) of a Party, the terms of this Agreement, and any other technical or business information (whether or not marked as confidential). CRT/ICR Existing Know How and CRT/ICR Existing Materials shall be deemed the Confidential Information of CRT and ICR. Programme Materials and Programme Know How shall be deemed the Confidential Information of the Company.</w:t>
      </w:r>
    </w:p>
    <w:p>
      <w:pPr>
        <w:spacing w:after="0" w:line="178"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means</w:t>
      </w:r>
      <w:r>
        <w:rPr>
          <w:rFonts w:ascii="Arial" w:cs="Arial" w:eastAsia="Arial" w:hAnsi="Arial"/>
          <w:sz w:val="18"/>
          <w:szCs w:val="18"/>
          <w:color w:val="auto"/>
        </w:rPr>
        <w:t xml:space="preserve"> the possession (directly or indirectly) of fifty percent (50%) or more of the voting stock or other equity interest of a subject entity with the power to vote, or the power in fact to control the management decisions of such entity through the ownership of securities or by contract or otherwise and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Controls</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“under common Control with” as used with respect to any party shall be construed accordingly.</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CRBN</w:t>
      </w:r>
      <w:r>
        <w:rPr>
          <w:rFonts w:ascii="Arial" w:cs="Arial" w:eastAsia="Arial" w:hAnsi="Arial"/>
          <w:sz w:val="18"/>
          <w:szCs w:val="18"/>
          <w:color w:val="auto"/>
        </w:rPr>
        <w:t>” means cereblon.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Background Hit Compound</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Background Library</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Background Library Intellectual Property</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Compound</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Compound Library</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Intellectual Property</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Know How</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Existing Materials</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CRT/ICR Reviewers</w:t>
      </w:r>
      <w:r>
        <w:rPr>
          <w:rFonts w:ascii="Arial" w:cs="Arial" w:eastAsia="Arial" w:hAnsi="Arial"/>
          <w:sz w:val="18"/>
          <w:szCs w:val="18"/>
          <w:color w:val="auto"/>
        </w:rPr>
        <w:t>” means independent persons nominated by CRT or Cancer Research UK for the purpose of monitoring and reviewing work funded by Cancer Research UK and/or providing scientific advice.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CTU</w:t>
      </w:r>
      <w:r>
        <w:rPr>
          <w:rFonts w:ascii="Arial" w:cs="Arial" w:eastAsia="Arial" w:hAnsi="Arial"/>
          <w:sz w:val="18"/>
          <w:szCs w:val="18"/>
          <w:color w:val="auto"/>
        </w:rPr>
        <w:t>” has the meaning given in the License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Currency</w:t>
      </w:r>
      <w:r>
        <w:rPr>
          <w:rFonts w:ascii="Arial" w:cs="Arial" w:eastAsia="Arial" w:hAnsi="Arial"/>
          <w:sz w:val="18"/>
          <w:szCs w:val="18"/>
          <w:color w:val="auto"/>
        </w:rPr>
        <w:t>” means United States dollars.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72" w:right="559" w:bottom="1440" w:gutter="0" w:footer="0" w:header="0"/>
        </w:sectPr>
      </w:pPr>
    </w:p>
    <w:bookmarkStart w:id="540" w:name="page541"/>
    <w:bookmarkEnd w:id="540"/>
    <w:p>
      <w:pPr>
        <w:ind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Data Package</w:t>
      </w:r>
      <w:r>
        <w:rPr>
          <w:rFonts w:ascii="Arial" w:cs="Arial" w:eastAsia="Arial" w:hAnsi="Arial"/>
          <w:sz w:val="16"/>
          <w:szCs w:val="16"/>
          <w:color w:val="auto"/>
        </w:rPr>
        <w:t>” means an information package prepared by the ICR comprising pre- clinical data and other information generated in a Non-Degradation Program (including all compounds discovered or developed pursuant to the conduct of such program), including each of the following to the extent available: (a) copies of all material data with respect to each such program, including material data from discovery, research and pre-clinical programs; (b) a reasonably detailed description of the intellectual property rights owned or controlled by CRT and/or the ICR with respect thereto; (c) copies of all reports prepared by or for ICR’s Cancer Therapeutic Unit solely for such program; (d) any known risks or uncertainties relating to such program; and (e) copies of any written correspondence with Competent Authorities with respect to each such program.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 has the meaning given in Clause 17.1.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Duplicate Compound</w:t>
      </w:r>
      <w:r>
        <w:rPr>
          <w:rFonts w:ascii="Arial" w:cs="Arial" w:eastAsia="Arial" w:hAnsi="Arial"/>
          <w:sz w:val="18"/>
          <w:szCs w:val="18"/>
          <w:color w:val="auto"/>
        </w:rPr>
        <w:t>” has the meaning given in Clause 7.6.</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given in the preamble.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 Date</w:t>
      </w:r>
      <w:r>
        <w:rPr>
          <w:rFonts w:ascii="Arial" w:cs="Arial" w:eastAsia="Arial" w:hAnsi="Arial"/>
          <w:sz w:val="18"/>
          <w:szCs w:val="18"/>
          <w:color w:val="auto"/>
        </w:rPr>
        <w:t>” shall have the meaning set forth in Clause 7.6(b).</w:t>
      </w:r>
    </w:p>
    <w:p>
      <w:pPr>
        <w:spacing w:after="0" w:line="221"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Officers</w:t>
      </w:r>
      <w:r>
        <w:rPr>
          <w:rFonts w:ascii="Arial" w:cs="Arial" w:eastAsia="Arial" w:hAnsi="Arial"/>
          <w:sz w:val="16"/>
          <w:szCs w:val="16"/>
          <w:color w:val="auto"/>
        </w:rPr>
        <w:t>” means an authorised executive officer of the Company, the Chief Executive Officer of CRT and the Director of Enterprise of the ICR or such other authorised officer of a Party as may be substituted from time to time upon the giving of written notice to the other Party.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European Union</w:t>
      </w:r>
      <w:r>
        <w:rPr>
          <w:rFonts w:ascii="Arial" w:cs="Arial" w:eastAsia="Arial" w:hAnsi="Arial"/>
          <w:sz w:val="16"/>
          <w:szCs w:val="16"/>
          <w:color w:val="auto"/>
        </w:rPr>
        <w:t>” means European Union and/or (in the event that the United Kingdom is not part of the European Union) the United Kingdom.</w:t>
      </w:r>
    </w:p>
    <w:p>
      <w:pPr>
        <w:spacing w:after="0" w:line="244"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Expert</w:t>
      </w:r>
      <w:r>
        <w:rPr>
          <w:rFonts w:ascii="Arial" w:cs="Arial" w:eastAsia="Arial" w:hAnsi="Arial"/>
          <w:sz w:val="18"/>
          <w:szCs w:val="18"/>
          <w:color w:val="auto"/>
        </w:rPr>
        <w:t>” means a suitably qualified independent expert appointed by agreement among the Parties. However, in the event that the Parties are unable to reach agreement within [***] of either Party seeking in writing to the other to appoint such expert, each Party shall appoint one (1) expert and such experts shall together select a third expert within [***] after the last to occur of their respective appointments to resolve the dispute, who shall be the sole “Expert” for such dispute. If the two experts are unable to agree on a third expert within this period they shall submit two (2) names to the President for the time being of the Association of the British Pharmaceutical Industry (or any successor body thereto), who shall select an individual from the names submitted.</w:t>
      </w:r>
    </w:p>
    <w:p>
      <w:pPr>
        <w:spacing w:after="0" w:line="194" w:lineRule="exact"/>
        <w:rPr>
          <w:sz w:val="20"/>
          <w:szCs w:val="20"/>
          <w:color w:val="auto"/>
        </w:rPr>
      </w:pPr>
    </w:p>
    <w:p>
      <w:pPr>
        <w:jc w:val="both"/>
        <w:ind w:right="38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Extended Exclusivity Period</w:t>
      </w:r>
      <w:r>
        <w:rPr>
          <w:rFonts w:ascii="Arial" w:cs="Arial" w:eastAsia="Arial" w:hAnsi="Arial"/>
          <w:sz w:val="16"/>
          <w:szCs w:val="16"/>
          <w:color w:val="auto"/>
        </w:rPr>
        <w:t>” means any period during which one of the following subsists in respect of a Product in a given country in the Territory: Orphan Drug Designation, paediatric designation or other exclusivity (excluding a Patent) granted by a Competent Authority beyond the expiry of the relevant Patent, which, in each case, confers exclusive marketing rights with respect to such Product in such country.</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or any successor to it.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Field</w:t>
      </w:r>
      <w:r>
        <w:rPr>
          <w:rFonts w:ascii="Arial" w:cs="Arial" w:eastAsia="Arial" w:hAnsi="Arial"/>
          <w:sz w:val="18"/>
          <w:szCs w:val="18"/>
          <w:color w:val="auto"/>
        </w:rPr>
        <w:t>” means the means the treatment, prevention and/or diagnosis of any and all diseases, disorders or conditions.</w:t>
      </w:r>
    </w:p>
    <w:p>
      <w:pPr>
        <w:spacing w:after="0" w:line="15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80" w:top="272" w:right="539" w:bottom="1440" w:gutter="0" w:footer="0" w:header="0"/>
        </w:sectPr>
      </w:pPr>
    </w:p>
    <w:bookmarkStart w:id="541" w:name="page542"/>
    <w:bookmarkEnd w:id="541"/>
    <w:p>
      <w:pPr>
        <w:jc w:val="both"/>
        <w:ind w:right="2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First Commercial Sale</w:t>
      </w:r>
      <w:r>
        <w:rPr>
          <w:rFonts w:ascii="Arial" w:cs="Arial" w:eastAsia="Arial" w:hAnsi="Arial"/>
          <w:sz w:val="18"/>
          <w:szCs w:val="18"/>
          <w:color w:val="auto"/>
        </w:rPr>
        <w:t>” means, with respect to a Product and a country in the Territory, the first sale or other disposition for monetary value of such Product to a Third Party, after all relevant Regulatory Authorisations for the sale or other disposition for monetary value of such Product in such country have been obtained in respect of the relevant region or country.</w:t>
      </w:r>
    </w:p>
    <w:p>
      <w:pPr>
        <w:spacing w:after="0" w:line="186"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means in relation to a Party any event or circumstance which is beyond the reasonable control of that Party, which event or circumstance that Party could not reasonably be expected to have taken into account at the Effective Date and which results in or causes the failure of that Party to perform any or all of its obligations under this Agreement including act of God, lightning, fire, storm, flood, earthquake, strike, lockout or other industrial disturbance, war, terrorist act, blockade, revolution, riot, insurrection, civil commotion, public demonstration, sabotage, act of vandalism, explosion, provided that lack of funds shall not be interpreted as a cause beyond the reasonable control of that Party.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Formation and Investment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jc w:val="both"/>
        <w:ind w:right="2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FTE</w:t>
      </w:r>
      <w:r>
        <w:rPr>
          <w:rFonts w:ascii="Arial" w:cs="Arial" w:eastAsia="Arial" w:hAnsi="Arial"/>
          <w:sz w:val="16"/>
          <w:szCs w:val="16"/>
          <w:color w:val="auto"/>
        </w:rPr>
        <w:t>” means a qualified full-time individual’s work time dedicated by the ICR to work under the Programme, or in the case of less than a full-time dedicated individual, a full-time equivalent person year, based upon the ICR’s typical employment contracts for a full-time individual in place at that time. As an example, under ICR’s typical employment contract as of the Effective Date, a full-time individual’s work time is based upon a total of</w:t>
      </w:r>
    </w:p>
    <w:p>
      <w:pPr>
        <w:spacing w:after="0" w:line="2" w:lineRule="exact"/>
        <w:rPr>
          <w:sz w:val="20"/>
          <w:szCs w:val="20"/>
          <w:color w:val="auto"/>
        </w:rPr>
      </w:pPr>
    </w:p>
    <w:p>
      <w:pPr>
        <w:ind w:right="80" w:firstLine="7"/>
        <w:spacing w:after="0" w:line="250" w:lineRule="auto"/>
        <w:tabs>
          <w:tab w:leader="none" w:pos="431" w:val="left"/>
        </w:tabs>
        <w:numPr>
          <w:ilvl w:val="0"/>
          <w:numId w:val="453"/>
        </w:numPr>
        <w:rPr>
          <w:rFonts w:ascii="Arial" w:cs="Arial" w:eastAsia="Arial" w:hAnsi="Arial"/>
          <w:sz w:val="18"/>
          <w:szCs w:val="18"/>
          <w:color w:val="auto"/>
        </w:rPr>
      </w:pPr>
      <w:r>
        <w:rPr>
          <w:rFonts w:ascii="Arial" w:cs="Arial" w:eastAsia="Arial" w:hAnsi="Arial"/>
          <w:sz w:val="18"/>
          <w:szCs w:val="18"/>
          <w:color w:val="auto"/>
        </w:rPr>
        <w:t>of work per week excluding allowances under standard ICR employment contracts for annual leave (e.g. holiday allowance, bank holidays) and other leave (e.g. sick leave, parental leave). Any individual who devotes less than the full-time individual work time set out in the ICR’s typical employment contracts in place at that time shall be treated as an FTE on a pro-rata basis based upon the actual number of hours worked by that individual under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ICR Internal Research</w:t>
      </w:r>
      <w:r>
        <w:rPr>
          <w:rFonts w:ascii="Arial" w:cs="Arial" w:eastAsia="Arial" w:hAnsi="Arial"/>
          <w:sz w:val="17"/>
          <w:szCs w:val="17"/>
          <w:color w:val="auto"/>
        </w:rPr>
        <w:t>” means the screening and research activities conducted by or on behalf of the ICR as described in Clause 5.1.</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ICR Internal Research Improvements</w:t>
      </w:r>
      <w:r>
        <w:rPr>
          <w:rFonts w:ascii="Arial" w:cs="Arial" w:eastAsia="Arial" w:hAnsi="Arial"/>
          <w:sz w:val="18"/>
          <w:szCs w:val="18"/>
          <w:color w:val="auto"/>
        </w:rPr>
        <w:t>” means [***].</w:t>
      </w:r>
    </w:p>
    <w:p>
      <w:pPr>
        <w:spacing w:after="0" w:line="22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ICR Internal Research Program Hits</w:t>
      </w:r>
      <w:r>
        <w:rPr>
          <w:rFonts w:ascii="Arial" w:cs="Arial" w:eastAsia="Arial" w:hAnsi="Arial"/>
          <w:sz w:val="18"/>
          <w:szCs w:val="18"/>
          <w:color w:val="auto"/>
        </w:rPr>
        <w:t>” means any and all compounds from any Compound Library that are identified as having activity as a result of the screening conducted pursuant to the ICR Internal Research (as outlined in the research plan for each specific screening project in the ICR Internal Research).</w:t>
      </w:r>
    </w:p>
    <w:p>
      <w:pPr>
        <w:spacing w:after="0" w:line="186"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ICR Internal Target</w:t>
      </w:r>
      <w:r>
        <w:rPr>
          <w:rFonts w:ascii="Arial" w:cs="Arial" w:eastAsia="Arial" w:hAnsi="Arial"/>
          <w:sz w:val="16"/>
          <w:szCs w:val="16"/>
          <w:color w:val="auto"/>
        </w:rPr>
        <w:t>” means a target identified by or on behalf of the ICR as the biological target of an ICR Internal Research Program Hit as a result of screening (phenotypic or otherwise) the Compound Library and (if relevant) target deconvolution_ work conducted by the ICR under the ICR Internal Research (as outlined in the research plan for each specific ICR screening project that is provided by the ICR to the JSC).</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ICR Research Target IP</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means CRT, CRUK, the ICR and their respective officers, employees and agents and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mean any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480" w:top="272" w:right="659" w:bottom="1440" w:gutter="0" w:footer="0" w:header="0"/>
        </w:sectPr>
      </w:pPr>
    </w:p>
    <w:bookmarkStart w:id="542" w:name="page543"/>
    <w:bookmarkEnd w:id="5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Indication</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JSC</w:t>
      </w:r>
      <w:r>
        <w:rPr>
          <w:rFonts w:ascii="Arial" w:cs="Arial" w:eastAsia="Arial" w:hAnsi="Arial"/>
          <w:sz w:val="18"/>
          <w:szCs w:val="18"/>
          <w:color w:val="auto"/>
        </w:rPr>
        <w:t>” shall have the meaning given in Clause 2.1.</w:t>
      </w:r>
    </w:p>
    <w:p>
      <w:pPr>
        <w:spacing w:after="0" w:line="221"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 How</w:t>
      </w:r>
      <w:r>
        <w:rPr>
          <w:rFonts w:ascii="Arial" w:cs="Arial" w:eastAsia="Arial" w:hAnsi="Arial"/>
          <w:sz w:val="18"/>
          <w:szCs w:val="18"/>
          <w:color w:val="auto"/>
        </w:rPr>
        <w:t>” means any technical, business or financial information and other information, of any type whatsoever, in any tangible or intangible form, which is not in the public domain as of the Effective Date, including, know-how, trade secrets, ideas, concepts, inventions, discoveries, data, formulae, specifications, information relating to Materials (including biological and chemical structures and functions as well as methods for synthesising chemical compounds), procedures for experiments and tests, results of experimentation and testing (including pharmacological, biological, chemical, biochemical, clinical test data and data resulting from non-clinical studies), results of research and development including laboratory records and data analyses. Information in a compilation or a compilation of information may be Know How notwithstanding some or all of its individual elements are in the public domain.</w:t>
      </w:r>
    </w:p>
    <w:p>
      <w:pPr>
        <w:spacing w:after="0" w:line="197"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Lead Series Criteria</w:t>
      </w:r>
      <w:r>
        <w:rPr>
          <w:rFonts w:ascii="Arial" w:cs="Arial" w:eastAsia="Arial" w:hAnsi="Arial"/>
          <w:sz w:val="18"/>
          <w:szCs w:val="18"/>
          <w:color w:val="auto"/>
        </w:rPr>
        <w:t>” means in relation to each project conducted pursuant to the ICR Internal Research, the project-specific criteria, which shall be determined by the JSC in accordance with Clause 2.1(n).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License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given in Clause 14.1.</w:t>
      </w:r>
    </w:p>
    <w:p>
      <w:pPr>
        <w:spacing w:after="0" w:line="221"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Markets</w:t>
      </w:r>
      <w:r>
        <w:rPr>
          <w:rFonts w:ascii="Arial" w:cs="Arial" w:eastAsia="Arial" w:hAnsi="Arial"/>
          <w:sz w:val="18"/>
          <w:szCs w:val="18"/>
          <w:color w:val="auto"/>
        </w:rPr>
        <w:t>” means the United Kingdom, the United States, France, Italy, Spain, Germany and Japan and “</w:t>
      </w:r>
      <w:r>
        <w:rPr>
          <w:rFonts w:ascii="Arial" w:cs="Arial" w:eastAsia="Arial" w:hAnsi="Arial"/>
          <w:sz w:val="18"/>
          <w:szCs w:val="18"/>
          <w:b w:val="1"/>
          <w:bCs w:val="1"/>
          <w:i w:val="1"/>
          <w:iCs w:val="1"/>
          <w:color w:val="auto"/>
        </w:rPr>
        <w:t>Major Market</w:t>
      </w:r>
      <w:r>
        <w:rPr>
          <w:rFonts w:ascii="Arial" w:cs="Arial" w:eastAsia="Arial" w:hAnsi="Arial"/>
          <w:sz w:val="18"/>
          <w:szCs w:val="18"/>
          <w:color w:val="auto"/>
        </w:rPr>
        <w:t>” shall mean any one of them.</w:t>
      </w:r>
    </w:p>
    <w:p>
      <w:pPr>
        <w:spacing w:after="0" w:line="175"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Materials</w:t>
      </w:r>
      <w:r>
        <w:rPr>
          <w:rFonts w:ascii="Arial" w:cs="Arial" w:eastAsia="Arial" w:hAnsi="Arial"/>
          <w:sz w:val="16"/>
          <w:szCs w:val="16"/>
          <w:color w:val="auto"/>
        </w:rPr>
        <w:t>” means any chemical or biological substances including any: organic or inorganic element or compound; nucleotide or nucleotide sequence including DNA and RNA sequences; gene; vector or construct including plasmids, phages, bacterial vectors, bacteriophages and viruses; host organism including bacteria, fungi, algae, protozoa and hybridomas; eukaryotic or prokaryotic cell line or expression system or any development strain or product of that cell line or expression systems; protein including any peptide or amino acid sequence, enzyme, antibody or protein conferring targeting properties and any fragment of a protein or a peptide enzyme or antibody; drug or pro-drug; assay or reagent; any other genetic or biological material or micro-organism or any transgenic animal; and any physical property rights relating to any of the foregoing.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shall have the meaning given in Clause 2.2(a).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 Events</w:t>
      </w:r>
      <w:r>
        <w:rPr>
          <w:rFonts w:ascii="Arial" w:cs="Arial" w:eastAsia="Arial" w:hAnsi="Arial"/>
          <w:sz w:val="18"/>
          <w:szCs w:val="18"/>
          <w:color w:val="auto"/>
        </w:rPr>
        <w:t>” has the meaning given in Clause 9.1.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 Payments</w:t>
      </w:r>
      <w:r>
        <w:rPr>
          <w:rFonts w:ascii="Arial" w:cs="Arial" w:eastAsia="Arial" w:hAnsi="Arial"/>
          <w:sz w:val="18"/>
          <w:szCs w:val="18"/>
          <w:color w:val="auto"/>
        </w:rPr>
        <w:t>” has the meaning given in Clause 9.1.</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480" w:top="272" w:right="539" w:bottom="1440" w:gutter="0" w:footer="0" w:header="0"/>
        </w:sectPr>
      </w:pPr>
    </w:p>
    <w:bookmarkStart w:id="543" w:name="page544"/>
    <w:bookmarkEnd w:id="543"/>
    <w:p>
      <w:pPr>
        <w:ind w:right="30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means the gross amount invoiced on account of sales of a Product by the Company or any of its Affiliates or Sub-Licensees in the Territory (but not including sales between the Company, its Affiliates or Sub-Licensees where the Product is intended for resale) less the following deductions directly relating to such sales of Product:</w:t>
      </w:r>
    </w:p>
    <w:p>
      <w:pPr>
        <w:spacing w:after="0" w:line="186" w:lineRule="exact"/>
        <w:rPr>
          <w:sz w:val="20"/>
          <w:szCs w:val="20"/>
          <w:color w:val="auto"/>
        </w:rPr>
      </w:pPr>
    </w:p>
    <w:p>
      <w:pPr>
        <w:ind w:left="1240" w:hanging="250"/>
        <w:spacing w:after="0"/>
        <w:tabs>
          <w:tab w:leader="none" w:pos="124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20" w:hanging="230"/>
        <w:spacing w:after="0"/>
        <w:tabs>
          <w:tab w:leader="none" w:pos="122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335" w:lineRule="auto"/>
        <w:rPr>
          <w:sz w:val="20"/>
          <w:szCs w:val="20"/>
          <w:color w:val="auto"/>
        </w:rPr>
      </w:pPr>
      <w:r>
        <w:rPr>
          <w:rFonts w:ascii="Arial" w:cs="Arial" w:eastAsia="Arial" w:hAnsi="Arial"/>
          <w:sz w:val="16"/>
          <w:szCs w:val="16"/>
          <w:color w:val="auto"/>
        </w:rPr>
        <w:t>For purposes of this definition, the Product shall be considered “sold” and “deductions” allowed when recorded as invoiced in the Company’s, its Affiliate’s or Sub-Licensee’s financial statements prepared in accordance with the relevant accounting standards. Net Sales shall exclude [***].</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NHS’</w:t>
      </w:r>
      <w:r>
        <w:rPr>
          <w:rFonts w:ascii="Arial" w:cs="Arial" w:eastAsia="Arial" w:hAnsi="Arial"/>
          <w:sz w:val="18"/>
          <w:szCs w:val="18"/>
          <w:color w:val="auto"/>
        </w:rPr>
        <w:t>” means the National Health Service in England and Wales (or any successor organisation thereto).</w:t>
      </w:r>
    </w:p>
    <w:p>
      <w:pPr>
        <w:spacing w:after="0" w:line="221" w:lineRule="exact"/>
        <w:rPr>
          <w:sz w:val="20"/>
          <w:szCs w:val="20"/>
          <w:color w:val="auto"/>
        </w:rPr>
      </w:pPr>
    </w:p>
    <w:p>
      <w:pPr>
        <w:ind w:right="56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Non-Degradation Program</w:t>
      </w:r>
      <w:r>
        <w:rPr>
          <w:rFonts w:ascii="Arial" w:cs="Arial" w:eastAsia="Arial" w:hAnsi="Arial"/>
          <w:sz w:val="17"/>
          <w:szCs w:val="17"/>
          <w:color w:val="auto"/>
        </w:rPr>
        <w:t>” means a drug discovery program with respect to one or more ICR Internal Targets of the corresponding ICR Internal Research Program Hits aimed at identifying, discovering and developing a Non-Protein Degradation Product.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Non-Protein Degradation Product</w:t>
      </w:r>
      <w:r>
        <w:rPr>
          <w:rFonts w:ascii="Arial" w:cs="Arial" w:eastAsia="Arial" w:hAnsi="Arial"/>
          <w:sz w:val="18"/>
          <w:szCs w:val="18"/>
          <w:color w:val="auto"/>
        </w:rPr>
        <w:t>” means any product that 1s not a Protein Degradation Product.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Interest</w:t>
      </w:r>
      <w:r>
        <w:rPr>
          <w:rFonts w:ascii="Arial" w:cs="Arial" w:eastAsia="Arial" w:hAnsi="Arial"/>
          <w:sz w:val="18"/>
          <w:szCs w:val="18"/>
          <w:color w:val="auto"/>
        </w:rPr>
        <w:t>” has the meaning given in Clause 5.2(c)(ii).</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Oncology Indication</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 Program</w:t>
      </w:r>
      <w:r>
        <w:rPr>
          <w:rFonts w:ascii="Arial" w:cs="Arial" w:eastAsia="Arial" w:hAnsi="Arial"/>
          <w:sz w:val="18"/>
          <w:szCs w:val="18"/>
          <w:color w:val="auto"/>
        </w:rPr>
        <w:t>” has the meaning given in Clause 5.2(a).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CRT, the ICR and the Company and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shall mean any of them.</w:t>
      </w:r>
    </w:p>
    <w:p>
      <w:pPr>
        <w:spacing w:after="0" w:line="221" w:lineRule="exact"/>
        <w:rPr>
          <w:sz w:val="20"/>
          <w:szCs w:val="20"/>
          <w:color w:val="auto"/>
        </w:rPr>
      </w:pPr>
    </w:p>
    <w:p>
      <w:pPr>
        <w:ind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means any patent applications, patents, author certificates, inventor certificates, utility models, together with all divisionals, renewals, continuations, continuations-in-part, extensions, re-examinations, reissues, substitutions, confirmations, registrations, revalidations and additions of or to them, as well as any Supplementary Protection Certificate, or any like form of protection anywhere in the world for each of the foregoing.</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Schedule</w:t>
      </w:r>
      <w:r>
        <w:rPr>
          <w:rFonts w:ascii="Arial" w:cs="Arial" w:eastAsia="Arial" w:hAnsi="Arial"/>
          <w:sz w:val="18"/>
          <w:szCs w:val="18"/>
          <w:color w:val="auto"/>
        </w:rPr>
        <w:t>” means the payment schedule set out in Schedule 1.</w:t>
      </w:r>
    </w:p>
    <w:p>
      <w:pPr>
        <w:spacing w:after="0" w:line="221" w:lineRule="exact"/>
        <w:rPr>
          <w:sz w:val="20"/>
          <w:szCs w:val="20"/>
          <w:color w:val="auto"/>
        </w:rPr>
      </w:pPr>
    </w:p>
    <w:p>
      <w:pPr>
        <w:jc w:val="both"/>
        <w:ind w:right="56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Phase I Trial</w:t>
      </w:r>
      <w:r>
        <w:rPr>
          <w:rFonts w:ascii="Arial" w:cs="Arial" w:eastAsia="Arial" w:hAnsi="Arial"/>
          <w:sz w:val="16"/>
          <w:szCs w:val="16"/>
          <w:color w:val="auto"/>
        </w:rPr>
        <w:t>” means a human clinical trial in which a Product is administered to human subjects at multiple dose levels with the primary purpose of determining safety, metabolism, pharmacokinetic and pharmacodynamic data of the Product and consistent with 21 CFR § 312.21(a).</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544" w:name="page545"/>
    <w:bookmarkEnd w:id="544"/>
    <w:p>
      <w:pPr>
        <w:ind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Phase II Trial</w:t>
      </w:r>
      <w:r>
        <w:rPr>
          <w:rFonts w:ascii="Arial" w:cs="Arial" w:eastAsia="Arial" w:hAnsi="Arial"/>
          <w:sz w:val="18"/>
          <w:szCs w:val="18"/>
          <w:color w:val="auto"/>
        </w:rPr>
        <w:t>” means a clinical trial of a Product in human patients, the principal purpose of which are to make a preliminary determination that the Product is safe for its intended use, to determine its optimal dose, and to obtain sufficient information about the Product’s efficacy to permit the design of Phase III Trials, and consistent with 21 CFR 312.21(b).</w:t>
      </w:r>
    </w:p>
    <w:p>
      <w:pPr>
        <w:spacing w:after="0" w:line="186" w:lineRule="exact"/>
        <w:rPr>
          <w:sz w:val="20"/>
          <w:szCs w:val="20"/>
          <w:color w:val="auto"/>
        </w:rPr>
      </w:pPr>
    </w:p>
    <w:p>
      <w:pPr>
        <w:ind w:right="10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Phase III Trial</w:t>
      </w:r>
      <w:r>
        <w:rPr>
          <w:rFonts w:ascii="Arial" w:cs="Arial" w:eastAsia="Arial" w:hAnsi="Arial"/>
          <w:sz w:val="16"/>
          <w:szCs w:val="16"/>
          <w:color w:val="auto"/>
        </w:rPr>
        <w:t>” means a human clinical trial of a Product, which trial is designed: (a) to establish that the Product is safe and efficacious for its intended use; (b) to define warnings, precautions and adverse reactions that are associated with the Product in the dosage range to be prescribed; and</w:t>
      </w:r>
    </w:p>
    <w:p>
      <w:pPr>
        <w:spacing w:after="0" w:line="1" w:lineRule="exact"/>
        <w:rPr>
          <w:sz w:val="20"/>
          <w:szCs w:val="20"/>
          <w:color w:val="auto"/>
        </w:rPr>
      </w:pPr>
    </w:p>
    <w:p>
      <w:pPr>
        <w:ind w:right="440" w:firstLine="7"/>
        <w:spacing w:after="0" w:line="256" w:lineRule="auto"/>
        <w:tabs>
          <w:tab w:leader="none" w:pos="24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consistent with 21 CFR § 312.21(c). Any Phase II Trial that is adapted to be a larger scale trial and intended as a pivotal trial for the purpose of obtaining Regulatory Authorisation of a Product, shall be deemed a Phase ill Trial.</w:t>
      </w:r>
    </w:p>
    <w:p>
      <w:pPr>
        <w:spacing w:after="0" w:line="18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Pre-Clinical Candidate</w:t>
      </w:r>
      <w:r>
        <w:rPr>
          <w:rFonts w:ascii="Arial" w:cs="Arial" w:eastAsia="Arial" w:hAnsi="Arial"/>
          <w:sz w:val="18"/>
          <w:szCs w:val="18"/>
          <w:color w:val="auto"/>
        </w:rPr>
        <w:t>” means any compound that is nominated by the !CR as a pre- clinical candidate, considering the Pre-Clinical Candidate Criteria, and is approved by the JSC as a “Pre-Clinical Candidate”.</w:t>
      </w:r>
    </w:p>
    <w:p>
      <w:pPr>
        <w:spacing w:after="0" w:line="175" w:lineRule="exact"/>
        <w:rPr>
          <w:sz w:val="20"/>
          <w:szCs w:val="20"/>
          <w:color w:val="auto"/>
        </w:rPr>
      </w:pPr>
    </w:p>
    <w:p>
      <w:pPr>
        <w:ind w:right="6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Pre-Clinical Candidate Criteria</w:t>
      </w:r>
      <w:r>
        <w:rPr>
          <w:rFonts w:ascii="Arial" w:cs="Arial" w:eastAsia="Arial" w:hAnsi="Arial"/>
          <w:sz w:val="16"/>
          <w:szCs w:val="16"/>
          <w:color w:val="auto"/>
        </w:rPr>
        <w:t>” means in relation to each project conducted pursuant to the ICR Internal Research, the project-specific criteria which shall be determined by the JSC (in line with the guideline criteria set forth in Schedule 3), as may be amended from time to time by the JSC.</w:t>
      </w:r>
    </w:p>
    <w:p>
      <w:pPr>
        <w:spacing w:after="0" w:line="128" w:lineRule="exact"/>
        <w:rPr>
          <w:sz w:val="20"/>
          <w:szCs w:val="20"/>
          <w:color w:val="auto"/>
        </w:rPr>
      </w:pPr>
    </w:p>
    <w:p>
      <w:pPr>
        <w:ind w:right="5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Approval</w:t>
      </w:r>
      <w:r>
        <w:rPr>
          <w:rFonts w:ascii="Arial" w:cs="Arial" w:eastAsia="Arial" w:hAnsi="Arial"/>
          <w:sz w:val="18"/>
          <w:szCs w:val="18"/>
          <w:color w:val="auto"/>
        </w:rPr>
        <w:t>” means, in those countries in the Territory where a Competent Authority may approve or determine pricing and/or pricing reimbursement for pharmaceutical products, such approval or determination.</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Product</w:t>
      </w:r>
      <w:r>
        <w:rPr>
          <w:rFonts w:ascii="Arial" w:cs="Arial" w:eastAsia="Arial" w:hAnsi="Arial"/>
          <w:sz w:val="17"/>
          <w:szCs w:val="17"/>
          <w:color w:val="auto"/>
        </w:rPr>
        <w:t>” means any product: (i) the manufacture, use or sale of which is covered by one or more Valid Claims of any Programme Patents;</w:t>
      </w:r>
    </w:p>
    <w:p>
      <w:pPr>
        <w:spacing w:after="0" w:line="31" w:lineRule="exact"/>
        <w:rPr>
          <w:sz w:val="20"/>
          <w:szCs w:val="20"/>
          <w:color w:val="auto"/>
        </w:rPr>
      </w:pPr>
    </w:p>
    <w:p>
      <w:pPr>
        <w:ind w:right="60" w:firstLine="7"/>
        <w:spacing w:after="0" w:line="250" w:lineRule="auto"/>
        <w:tabs>
          <w:tab w:leader="none" w:pos="26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containing or comprising a Programme Compound and/or an Unencumbered CRT/ICR Background Hit Compound; and/or (iii) discovered, developed and/or generated using or incorporating any part of the Programme Intellectual Property or (to the extent licensed pursuant to Clause 7.6(a)) the CRT/ICR Background Library Intellectual Property. For the purposes of Clause 8, 19.2(t), and 20.2 only, “Product” shall also mean: (a) any product containing or comprising a CRT/ICR Existing Compound; and/or (b) discovered, developed and/or generated using or incorporating any part of the CRT/ICR Existing Intellectual Property.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Programme</w:t>
      </w:r>
      <w:r>
        <w:rPr>
          <w:rFonts w:ascii="Arial" w:cs="Arial" w:eastAsia="Arial" w:hAnsi="Arial"/>
          <w:sz w:val="16"/>
          <w:szCs w:val="16"/>
          <w:color w:val="auto"/>
        </w:rPr>
        <w:t>” means the programme of research set out in Schedule 2 as may be amended from time to time in accordance with this Agreement.</w:t>
      </w:r>
    </w:p>
    <w:p>
      <w:pPr>
        <w:spacing w:after="0" w:line="244" w:lineRule="exact"/>
        <w:rPr>
          <w:sz w:val="20"/>
          <w:szCs w:val="20"/>
          <w:color w:val="auto"/>
        </w:rPr>
      </w:pPr>
    </w:p>
    <w:p>
      <w:pPr>
        <w:ind w:right="14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Programme Compound</w:t>
      </w:r>
      <w:r>
        <w:rPr>
          <w:rFonts w:ascii="Arial" w:cs="Arial" w:eastAsia="Arial" w:hAnsi="Arial"/>
          <w:sz w:val="17"/>
          <w:szCs w:val="17"/>
          <w:color w:val="auto"/>
        </w:rPr>
        <w:t>” means (a) any compound that is discovered, developed and/or generated by or on behalf of the Company and/or the ICR pursuant to the conduct of the Programme and/or (b) any salt, free acid, free base, clathrate, solvate, hydrate, hemihydrates, anhydride, ester, chelate, conformer, congener, crystal form, crystal habit, polymorph, amorphous solid, homolog, isomer, stereoisomer, enantiomer, racemate, prodrug, isotopic or radiolabeled equivalent, metabolite, conjugate, complex, mixture, serum, solution, lyophilized material, or other formulation of any such compound; but for the avoidance of doubt excludes CRT/ICR Background Hit Compounds other than Duplicate Compounds which remain in the Compound Library as referred to in part (b) of the definition of Compound Library.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545" w:name="page546"/>
    <w:bookmarkEnd w:id="545"/>
    <w:p>
      <w:pPr>
        <w:ind w:right="120" w:firstLine="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Programme Intellectual Property</w:t>
      </w:r>
      <w:r>
        <w:rPr>
          <w:rFonts w:ascii="Arial" w:cs="Arial" w:eastAsia="Arial" w:hAnsi="Arial"/>
          <w:sz w:val="16"/>
          <w:szCs w:val="16"/>
          <w:color w:val="auto"/>
        </w:rPr>
        <w:t>” means Programme .Patents and Programme Know How and Programme Materials but for the avoidance of doubt excludes (a) CRT/ICR Background Hit Compounds, other than Duplicate Compounds which remain in the Compound Library as referred to in part (b) of the definition of Compound Library and (b) that part of the Know How in the CRT/ICR Background Library Intellectual Property that is the identity of any compound (e.g. as may be identified by chemical structure) within the CRT/ICR Background Library.</w:t>
      </w:r>
    </w:p>
    <w:p>
      <w:pPr>
        <w:spacing w:after="0" w:line="159"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Programme Know How</w:t>
      </w:r>
      <w:r>
        <w:rPr>
          <w:rFonts w:ascii="Arial" w:cs="Arial" w:eastAsia="Arial" w:hAnsi="Arial"/>
          <w:sz w:val="16"/>
          <w:szCs w:val="16"/>
          <w:color w:val="auto"/>
        </w:rPr>
        <w:t>” means any and all Know How developed and/or generated by or on behalf of the Company and/or the ICR pursuant to conduct of the Programme, including the chemical structures of the Programme Compounds and the data generated by the ICR from screening of any CRT/ICR Background Library using the [***], but for the avoidance of doubt excludes that part of the Know How in the CRT/ICR Background Library Intellectual Property that is the identity of any compound (e.g. as may be identified by chemical structure) within the CRT/ICR Background Library.</w:t>
      </w:r>
    </w:p>
    <w:p>
      <w:pPr>
        <w:spacing w:after="0" w:line="159"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Programme Materials</w:t>
      </w:r>
      <w:r>
        <w:rPr>
          <w:rFonts w:ascii="Arial" w:cs="Arial" w:eastAsia="Arial" w:hAnsi="Arial"/>
          <w:sz w:val="18"/>
          <w:szCs w:val="18"/>
          <w:color w:val="auto"/>
        </w:rPr>
        <w:t>” means any and all Materials developed and/or generated by or on behalf of the Company and/or the ICR pursuant to conduct of the Programme, including the physical stocks of Programme Compounds.</w:t>
      </w:r>
    </w:p>
    <w:p>
      <w:pPr>
        <w:spacing w:after="0" w:line="175"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Programme Patents</w:t>
      </w:r>
      <w:r>
        <w:rPr>
          <w:rFonts w:ascii="Arial" w:cs="Arial" w:eastAsia="Arial" w:hAnsi="Arial"/>
          <w:sz w:val="18"/>
          <w:szCs w:val="18"/>
          <w:color w:val="auto"/>
        </w:rPr>
        <w:t>” means any and all Patents claiming patentable inventions made or conceived by or on behalf of the Company and/or the ICR pursuant to the conduct of the Programme.</w:t>
      </w:r>
    </w:p>
    <w:p>
      <w:pPr>
        <w:spacing w:after="0" w:line="175" w:lineRule="exact"/>
        <w:rPr>
          <w:sz w:val="20"/>
          <w:szCs w:val="20"/>
          <w:color w:val="auto"/>
        </w:rPr>
      </w:pPr>
    </w:p>
    <w:p>
      <w:pPr>
        <w:ind w:right="24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Progress Report</w:t>
      </w:r>
      <w:r>
        <w:rPr>
          <w:rFonts w:ascii="Arial" w:cs="Arial" w:eastAsia="Arial" w:hAnsi="Arial"/>
          <w:sz w:val="16"/>
          <w:szCs w:val="16"/>
          <w:color w:val="auto"/>
        </w:rPr>
        <w:t>” means a detailed written report produced by the ICR in respect of: (i) the progress of a Non-Degradation Program; (ii) the progress of any applications for Regulatory Authorisation and (where relevant) Price Approvals for products developed under such Non-Degradation Program; and (iii) the progress of and plans for marketing and sale of products developed under such Non-Degradation Program.</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Compound Intellectual Property</w:t>
      </w:r>
      <w:r>
        <w:rPr>
          <w:rFonts w:ascii="Arial" w:cs="Arial" w:eastAsia="Arial" w:hAnsi="Arial"/>
          <w:sz w:val="18"/>
          <w:szCs w:val="18"/>
          <w:color w:val="auto"/>
        </w:rPr>
        <w:t>” has he meaning given in Clause 5.2(a)(ii).</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Non-Compound Intellectual Property</w:t>
      </w:r>
      <w:r>
        <w:rPr>
          <w:rFonts w:ascii="Arial" w:cs="Arial" w:eastAsia="Arial" w:hAnsi="Arial"/>
          <w:sz w:val="18"/>
          <w:szCs w:val="18"/>
          <w:color w:val="auto"/>
        </w:rPr>
        <w:t>” has the meaning given in Clause 5.2(a)(ii).</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Protein Degradation Product</w:t>
      </w:r>
      <w:r>
        <w:rPr>
          <w:rFonts w:ascii="Arial" w:cs="Arial" w:eastAsia="Arial" w:hAnsi="Arial"/>
          <w:sz w:val="18"/>
          <w:szCs w:val="18"/>
          <w:color w:val="auto"/>
        </w:rPr>
        <w:t>” means any Product designed or intended to have a primary mechanism of action through CRBN-mediated protein degradation.</w:t>
      </w:r>
    </w:p>
    <w:p>
      <w:pPr>
        <w:spacing w:after="0" w:line="175"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color w:val="auto"/>
        </w:rPr>
        <w:t>” means any of the three-monthly periods commencing on the first day of any of the months of January, April, July, and October in any year and “</w:t>
      </w:r>
      <w:r>
        <w:rPr>
          <w:rFonts w:ascii="Arial" w:cs="Arial" w:eastAsia="Arial" w:hAnsi="Arial"/>
          <w:sz w:val="18"/>
          <w:szCs w:val="18"/>
          <w:b w:val="1"/>
          <w:bCs w:val="1"/>
          <w:i w:val="1"/>
          <w:iCs w:val="1"/>
          <w:color w:val="auto"/>
        </w:rPr>
        <w:t>Quarterly</w:t>
      </w:r>
      <w:r>
        <w:rPr>
          <w:rFonts w:ascii="Arial" w:cs="Arial" w:eastAsia="Arial" w:hAnsi="Arial"/>
          <w:sz w:val="18"/>
          <w:szCs w:val="18"/>
          <w:color w:val="auto"/>
        </w:rPr>
        <w:t>” has a corresponding meaning.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has the meaning given in Clause 17.1.</w:t>
      </w:r>
    </w:p>
    <w:p>
      <w:pPr>
        <w:spacing w:after="0" w:line="221"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Authorisations</w:t>
      </w:r>
      <w:r>
        <w:rPr>
          <w:rFonts w:ascii="Arial" w:cs="Arial" w:eastAsia="Arial" w:hAnsi="Arial"/>
          <w:sz w:val="18"/>
          <w:szCs w:val="18"/>
          <w:color w:val="auto"/>
        </w:rPr>
        <w:t>” means all authorisations, approvals, clearances, and licences of a Competent Authority that may be required in any country of the Territory prior to commercial sale of the relevant Product in the Field, including any necessary variations thereto, but excluding any Price Approvals.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80" w:top="272" w:right="539" w:bottom="1440" w:gutter="0" w:footer="0" w:header="0"/>
        </w:sectPr>
      </w:pPr>
    </w:p>
    <w:bookmarkStart w:id="546" w:name="page547"/>
    <w:bookmarkEnd w:id="5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Researchers</w:t>
      </w:r>
      <w:r>
        <w:rPr>
          <w:rFonts w:ascii="Arial" w:cs="Arial" w:eastAsia="Arial" w:hAnsi="Arial"/>
          <w:sz w:val="18"/>
          <w:szCs w:val="18"/>
          <w:color w:val="auto"/>
        </w:rPr>
        <w:t>” has the meaning given in Clause 3.2.</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Reviewers</w:t>
      </w:r>
      <w:r>
        <w:rPr>
          <w:rFonts w:ascii="Arial" w:cs="Arial" w:eastAsia="Arial" w:hAnsi="Arial"/>
          <w:sz w:val="18"/>
          <w:szCs w:val="18"/>
          <w:color w:val="auto"/>
        </w:rPr>
        <w:t>” has the meaning given in Clause 17.1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Screening Platform</w:t>
      </w:r>
      <w:r>
        <w:rPr>
          <w:rFonts w:ascii="Arial" w:cs="Arial" w:eastAsia="Arial" w:hAnsi="Arial"/>
          <w:sz w:val="18"/>
          <w:szCs w:val="18"/>
          <w:color w:val="auto"/>
        </w:rPr>
        <w:t>” means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Selected Programme Patents</w:t>
      </w:r>
      <w:r>
        <w:rPr>
          <w:rFonts w:ascii="Arial" w:cs="Arial" w:eastAsia="Arial" w:hAnsi="Arial"/>
          <w:sz w:val="18"/>
          <w:szCs w:val="18"/>
          <w:color w:val="auto"/>
        </w:rPr>
        <w:t>” has the meaning given in Clause 12.3.</w:t>
      </w:r>
    </w:p>
    <w:p>
      <w:pPr>
        <w:spacing w:after="0" w:line="22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Expiry Date</w:t>
      </w:r>
      <w:r>
        <w:rPr>
          <w:rFonts w:ascii="Arial" w:cs="Arial" w:eastAsia="Arial" w:hAnsi="Arial"/>
          <w:sz w:val="18"/>
          <w:szCs w:val="18"/>
          <w:color w:val="auto"/>
        </w:rPr>
        <w:t>” means the date that is [***] after the Effective Date; provided that if the [***] Researcher has not been appointed by such date, then such date shall be extended to the earlier to occur of (a) the date that the [***] Researcher is appointed or (b) the date that is [***] after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Term</w:t>
      </w:r>
      <w:r>
        <w:rPr>
          <w:rFonts w:ascii="Arial" w:cs="Arial" w:eastAsia="Arial" w:hAnsi="Arial"/>
          <w:sz w:val="18"/>
          <w:szCs w:val="18"/>
          <w:color w:val="auto"/>
        </w:rPr>
        <w:t>” has the meaning given in Clause 3.3.</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Shareholders’ Agreement</w:t>
      </w:r>
      <w:r>
        <w:rPr>
          <w:rFonts w:ascii="Arial" w:cs="Arial" w:eastAsia="Arial" w:hAnsi="Arial"/>
          <w:sz w:val="18"/>
          <w:szCs w:val="18"/>
          <w:color w:val="auto"/>
        </w:rPr>
        <w:t>” has the meaning given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set out in Directive 2001/20/EC, as the same may be amended.</w:t>
      </w:r>
    </w:p>
    <w:p>
      <w:pPr>
        <w:spacing w:after="0" w:line="22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Sub-Licensee</w:t>
      </w:r>
      <w:r>
        <w:rPr>
          <w:rFonts w:ascii="Arial" w:cs="Arial" w:eastAsia="Arial" w:hAnsi="Arial"/>
          <w:sz w:val="18"/>
          <w:szCs w:val="18"/>
          <w:color w:val="auto"/>
        </w:rPr>
        <w:t>” means any Third Party to whom the Company grants a license or sublicense of rights under any Company Compound Intellectual Property or Company Non-Compound Intellectual Property, excluding licenses granted to any Third Party Service Provider in connection with the provision of research, development and/or manufacturing services.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Substrates</w:t>
      </w:r>
      <w:r>
        <w:rPr>
          <w:rFonts w:ascii="Arial" w:cs="Arial" w:eastAsia="Arial" w:hAnsi="Arial"/>
          <w:sz w:val="18"/>
          <w:szCs w:val="18"/>
          <w:color w:val="auto"/>
        </w:rPr>
        <w:t>” means, [***].</w:t>
      </w:r>
    </w:p>
    <w:p>
      <w:pPr>
        <w:spacing w:after="0" w:line="221" w:lineRule="exact"/>
        <w:rPr>
          <w:sz w:val="20"/>
          <w:szCs w:val="20"/>
          <w:color w:val="auto"/>
        </w:rPr>
      </w:pPr>
    </w:p>
    <w:p>
      <w:pPr>
        <w:ind w:right="20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Supplementary Protection Certificate</w:t>
      </w:r>
      <w:r>
        <w:rPr>
          <w:rFonts w:ascii="Arial" w:cs="Arial" w:eastAsia="Arial" w:hAnsi="Arial"/>
          <w:sz w:val="17"/>
          <w:szCs w:val="17"/>
          <w:color w:val="auto"/>
        </w:rPr>
        <w:t>” means a right based on a patent pursuant to which the holder of the right is entitled to exclude third parties from using, making, having made, selling or otherwise disposing or offering to dispose of, importing or keeping the product to which the right relates, such as supplementary protection certificates in Europe, and any similar right anywhere in the world.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means the term of this Agreement determined in accordance with Clause 18.1.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means worldwide.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 person other than a Party or an Affiliate of a Party.</w:t>
      </w:r>
    </w:p>
    <w:p>
      <w:pPr>
        <w:spacing w:after="0" w:line="221"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Service Provider</w:t>
      </w:r>
      <w:r>
        <w:rPr>
          <w:rFonts w:ascii="Arial" w:cs="Arial" w:eastAsia="Arial" w:hAnsi="Arial"/>
          <w:sz w:val="18"/>
          <w:szCs w:val="18"/>
          <w:color w:val="auto"/>
        </w:rPr>
        <w:t>” means a Third Party who provides research, development and/or manufacturing services to the ICR, Company or its Sub-Licenses in connection with the Products, including contract research, manufacturing or sales organisations, universities and hospitals. However, a Tobacco Party may not act as a Third Party Service Provider.</w:t>
      </w:r>
    </w:p>
    <w:p>
      <w:pPr>
        <w:spacing w:after="0" w:line="186"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Tobacco Party</w:t>
      </w:r>
      <w:r>
        <w:rPr>
          <w:rFonts w:ascii="Arial" w:cs="Arial" w:eastAsia="Arial" w:hAnsi="Arial"/>
          <w:sz w:val="18"/>
          <w:szCs w:val="18"/>
          <w:color w:val="auto"/>
        </w:rPr>
        <w:t>” means: (i) any person who develops, sells or manufactures tobacco products; and/ or (ii) any person which makes the majority of its profits from the importation, marketing, sale or disposal of tobacco products. Furthermore, Tobacco Party shall include any person that is Controlled by or under common Control with any of the persons referred to in (i) and/or (ii).</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80" w:top="272" w:right="539" w:bottom="1440" w:gutter="0" w:footer="0" w:header="0"/>
        </w:sectPr>
      </w:pPr>
    </w:p>
    <w:bookmarkStart w:id="547" w:name="page548"/>
    <w:bookmarkEnd w:id="5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the Formation and Investment Agreement, Shareholders’ Agreement and License Agreement.</w:t>
      </w:r>
    </w:p>
    <w:p>
      <w:pPr>
        <w:spacing w:after="0" w:line="22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Pricing Authority</w:t>
      </w:r>
      <w:r>
        <w:rPr>
          <w:rFonts w:ascii="Arial" w:cs="Arial" w:eastAsia="Arial" w:hAnsi="Arial"/>
          <w:sz w:val="18"/>
          <w:szCs w:val="18"/>
          <w:color w:val="auto"/>
        </w:rPr>
        <w:t>” means any supra-national, national or regional government department, authority, agency or entity (including a non-departmental public body or similar entity) with responsibility for evaluating the cost effectiveness of medicinal products in the United Kingdom ( or one or more constituent countries thereof) or otherwise determining whether the NHS ( or constituent parts thereof) should purchase medicinal products.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Unencumbered CRT/ICR Background Hit Compound</w:t>
      </w:r>
      <w:r>
        <w:rPr>
          <w:rFonts w:ascii="Arial" w:cs="Arial" w:eastAsia="Arial" w:hAnsi="Arial"/>
          <w:sz w:val="18"/>
          <w:szCs w:val="18"/>
          <w:color w:val="auto"/>
        </w:rPr>
        <w:t>” shall have the meaning set forth in Clause 7.6(a).</w:t>
      </w:r>
    </w:p>
    <w:p>
      <w:pPr>
        <w:spacing w:after="0" w:line="221"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Valid Claim</w:t>
      </w:r>
      <w:r>
        <w:rPr>
          <w:rFonts w:ascii="Arial" w:cs="Arial" w:eastAsia="Arial" w:hAnsi="Arial"/>
          <w:sz w:val="18"/>
          <w:szCs w:val="18"/>
          <w:color w:val="auto"/>
        </w:rPr>
        <w:t>” means a claim of any Programme Patent which has not expired, been withdrawn, abandoned or surrendered or been refused, revoked or held invalid in a decision rendered by a court or other governmental agency of competent jurisdiction in the relevant country or territory from which no appeal has been or can be taken, including through opposition, reexamination, reissue or disclaimer.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VAT</w:t>
      </w:r>
      <w:r>
        <w:rPr>
          <w:rFonts w:ascii="Arial" w:cs="Arial" w:eastAsia="Arial" w:hAnsi="Arial"/>
          <w:sz w:val="18"/>
          <w:szCs w:val="18"/>
          <w:color w:val="auto"/>
        </w:rPr>
        <w:t>” means value added tax.</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Versant Ventures</w:t>
      </w:r>
      <w:r>
        <w:rPr>
          <w:rFonts w:ascii="Arial" w:cs="Arial" w:eastAsia="Arial" w:hAnsi="Arial"/>
          <w:sz w:val="18"/>
          <w:szCs w:val="18"/>
          <w:color w:val="auto"/>
        </w:rPr>
        <w:t>” means Versant Ventures Capital VI L.P.</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Year</w:t>
      </w:r>
      <w:r>
        <w:rPr>
          <w:rFonts w:ascii="Arial" w:cs="Arial" w:eastAsia="Arial" w:hAnsi="Arial"/>
          <w:sz w:val="18"/>
          <w:szCs w:val="18"/>
          <w:color w:val="auto"/>
        </w:rPr>
        <w:t>” means a calendar year.</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In this Agreement:</w:t>
      </w:r>
    </w:p>
    <w:p>
      <w:pPr>
        <w:spacing w:after="0" w:line="118" w:lineRule="exact"/>
        <w:rPr>
          <w:sz w:val="20"/>
          <w:szCs w:val="20"/>
          <w:color w:val="auto"/>
        </w:rPr>
      </w:pPr>
    </w:p>
    <w:p>
      <w:pPr>
        <w:ind w:right="280" w:firstLine="990"/>
        <w:spacing w:after="0" w:line="301" w:lineRule="auto"/>
        <w:tabs>
          <w:tab w:leader="none" w:pos="1234" w:val="left"/>
        </w:tabs>
        <w:numPr>
          <w:ilvl w:val="0"/>
          <w:numId w:val="457"/>
        </w:numPr>
        <w:rPr>
          <w:rFonts w:ascii="Arial" w:cs="Arial" w:eastAsia="Arial" w:hAnsi="Arial"/>
          <w:sz w:val="17"/>
          <w:szCs w:val="17"/>
          <w:b w:val="1"/>
          <w:bCs w:val="1"/>
          <w:color w:val="auto"/>
        </w:rPr>
      </w:pPr>
      <w:r>
        <w:rPr>
          <w:rFonts w:ascii="Arial" w:cs="Arial" w:eastAsia="Arial" w:hAnsi="Arial"/>
          <w:sz w:val="17"/>
          <w:szCs w:val="17"/>
          <w:color w:val="auto"/>
        </w:rPr>
        <w:t>unless the context otherwise requires, all references to a particular Clause, paragraph or Schedule shall be a reference to that clause, paragraph or schedule, in or to this Agreement as it may be amended from time to time pursuant to this Agreement;</w:t>
      </w:r>
    </w:p>
    <w:p>
      <w:pPr>
        <w:spacing w:after="0" w:line="151" w:lineRule="exact"/>
        <w:rPr>
          <w:rFonts w:ascii="Arial" w:cs="Arial" w:eastAsia="Arial" w:hAnsi="Arial"/>
          <w:sz w:val="17"/>
          <w:szCs w:val="17"/>
          <w:b w:val="1"/>
          <w:bCs w:val="1"/>
          <w:color w:val="auto"/>
        </w:rPr>
      </w:pPr>
    </w:p>
    <w:p>
      <w:pPr>
        <w:ind w:left="1260" w:hanging="270"/>
        <w:spacing w:after="0"/>
        <w:tabs>
          <w:tab w:leader="none" w:pos="1260"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are inserted for convenience only and shall be ignored in construing this Agreement;</w:t>
      </w:r>
    </w:p>
    <w:p>
      <w:pPr>
        <w:spacing w:after="0" w:line="220" w:lineRule="exact"/>
        <w:rPr>
          <w:rFonts w:ascii="Arial" w:cs="Arial" w:eastAsia="Arial" w:hAnsi="Arial"/>
          <w:sz w:val="18"/>
          <w:szCs w:val="18"/>
          <w:b w:val="1"/>
          <w:bCs w:val="1"/>
          <w:color w:val="auto"/>
        </w:rPr>
      </w:pPr>
    </w:p>
    <w:p>
      <w:pPr>
        <w:ind w:right="60" w:firstLine="990"/>
        <w:spacing w:after="0" w:line="271" w:lineRule="auto"/>
        <w:tabs>
          <w:tab w:leader="none" w:pos="1224"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unless the contrary intention appears, words importing the masculine gender shall include the feminine and vice versa and words in the singular include the plural and vice versa;</w:t>
      </w:r>
    </w:p>
    <w:p>
      <w:pPr>
        <w:spacing w:after="0" w:line="174" w:lineRule="exact"/>
        <w:rPr>
          <w:rFonts w:ascii="Arial" w:cs="Arial" w:eastAsia="Arial" w:hAnsi="Arial"/>
          <w:sz w:val="18"/>
          <w:szCs w:val="18"/>
          <w:b w:val="1"/>
          <w:bCs w:val="1"/>
          <w:color w:val="auto"/>
        </w:rPr>
      </w:pPr>
    </w:p>
    <w:p>
      <w:pPr>
        <w:ind w:right="300" w:firstLine="990"/>
        <w:spacing w:after="0" w:line="301" w:lineRule="auto"/>
        <w:tabs>
          <w:tab w:leader="none" w:pos="1245" w:val="left"/>
        </w:tabs>
        <w:numPr>
          <w:ilvl w:val="0"/>
          <w:numId w:val="457"/>
        </w:numPr>
        <w:rPr>
          <w:rFonts w:ascii="Arial" w:cs="Arial" w:eastAsia="Arial" w:hAnsi="Arial"/>
          <w:sz w:val="17"/>
          <w:szCs w:val="17"/>
          <w:b w:val="1"/>
          <w:bCs w:val="1"/>
          <w:color w:val="auto"/>
        </w:rPr>
      </w:pPr>
      <w:r>
        <w:rPr>
          <w:rFonts w:ascii="Arial" w:cs="Arial" w:eastAsia="Arial" w:hAnsi="Arial"/>
          <w:sz w:val="17"/>
          <w:szCs w:val="17"/>
          <w:color w:val="auto"/>
        </w:rPr>
        <w:t>unless the contrary intention appears, words denoting persons shall include any individual, partnership, company, corporation, joint venture, trust association, organisation or other entity, in each case whether or not having separate legal personality;</w:t>
      </w:r>
    </w:p>
    <w:p>
      <w:pPr>
        <w:spacing w:after="0" w:line="151" w:lineRule="exact"/>
        <w:rPr>
          <w:rFonts w:ascii="Arial" w:cs="Arial" w:eastAsia="Arial" w:hAnsi="Arial"/>
          <w:sz w:val="17"/>
          <w:szCs w:val="17"/>
          <w:b w:val="1"/>
          <w:bCs w:val="1"/>
          <w:color w:val="auto"/>
        </w:rPr>
      </w:pPr>
    </w:p>
    <w:p>
      <w:pPr>
        <w:ind w:right="120" w:firstLine="990"/>
        <w:spacing w:after="0" w:line="301" w:lineRule="auto"/>
        <w:tabs>
          <w:tab w:leader="none" w:pos="1224" w:val="left"/>
        </w:tabs>
        <w:numPr>
          <w:ilvl w:val="0"/>
          <w:numId w:val="457"/>
        </w:numPr>
        <w:rPr>
          <w:rFonts w:ascii="Arial" w:cs="Arial" w:eastAsia="Arial" w:hAnsi="Arial"/>
          <w:sz w:val="17"/>
          <w:szCs w:val="17"/>
          <w:b w:val="1"/>
          <w:bCs w:val="1"/>
          <w:color w:val="auto"/>
        </w:rPr>
      </w:pPr>
      <w:r>
        <w:rPr>
          <w:rFonts w:ascii="Arial" w:cs="Arial" w:eastAsia="Arial" w:hAnsi="Arial"/>
          <w:sz w:val="17"/>
          <w:szCs w:val="17"/>
          <w:color w:val="auto"/>
        </w:rPr>
        <w:t>reference to the words “include(s)” or “including” are to be construed without limitation to the generality of the preceding words, and, for clarity, the words “include(s)” or “including” shall be deemed to be followed by the phrase “without limitation” or like expression; and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548" w:name="page549"/>
    <w:bookmarkEnd w:id="548"/>
    <w:p>
      <w:pPr>
        <w:ind w:right="620" w:firstLine="990"/>
        <w:spacing w:after="0" w:line="271" w:lineRule="auto"/>
        <w:tabs>
          <w:tab w:leader="none" w:pos="1205" w:val="left"/>
        </w:tabs>
        <w:numPr>
          <w:ilvl w:val="1"/>
          <w:numId w:val="4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reference to any statute or regulation includes any modification or re-enactment of that statute or regulation, provided that the modification or re-enactment does not diminish the rights or extend the obligations of any Party.</w:t>
      </w:r>
    </w:p>
    <w:p>
      <w:pPr>
        <w:spacing w:after="0" w:line="317" w:lineRule="exact"/>
        <w:rPr>
          <w:rFonts w:ascii="Arial" w:cs="Arial" w:eastAsia="Arial" w:hAnsi="Arial"/>
          <w:sz w:val="18"/>
          <w:szCs w:val="18"/>
          <w:b w:val="1"/>
          <w:bCs w:val="1"/>
          <w:color w:val="auto"/>
        </w:rPr>
      </w:pPr>
    </w:p>
    <w:p>
      <w:pPr>
        <w:ind w:left="440" w:hanging="433"/>
        <w:spacing w:after="0"/>
        <w:tabs>
          <w:tab w:leader="none" w:pos="44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JSC</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As soon as practicable following the Effective Date, the Parties shall establish a joint steering committee (“</w:t>
      </w:r>
      <w:r>
        <w:rPr>
          <w:rFonts w:ascii="Arial" w:cs="Arial" w:eastAsia="Arial" w:hAnsi="Arial"/>
          <w:sz w:val="16"/>
          <w:szCs w:val="16"/>
          <w:b w:val="1"/>
          <w:bCs w:val="1"/>
          <w:i w:val="1"/>
          <w:iCs w:val="1"/>
          <w:color w:val="auto"/>
        </w:rPr>
        <w:t>JSC</w:t>
      </w:r>
      <w:r>
        <w:rPr>
          <w:rFonts w:ascii="Arial" w:cs="Arial" w:eastAsia="Arial" w:hAnsi="Arial"/>
          <w:sz w:val="16"/>
          <w:szCs w:val="16"/>
          <w:color w:val="auto"/>
        </w:rPr>
        <w:t>”) to provide a forum for the</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coordination, communication and oversight of the Parties’ activities under this Agreement. Except as otherwise provided herein, the JSC shall have the authority to:</w:t>
      </w:r>
    </w:p>
    <w:p>
      <w:pPr>
        <w:spacing w:after="0" w:line="81" w:lineRule="exact"/>
        <w:rPr>
          <w:sz w:val="20"/>
          <w:szCs w:val="20"/>
          <w:color w:val="auto"/>
        </w:rPr>
      </w:pPr>
    </w:p>
    <w:p>
      <w:pPr>
        <w:ind w:left="1240" w:hanging="250"/>
        <w:spacing w:after="0"/>
        <w:tabs>
          <w:tab w:leader="none" w:pos="124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the extent that the same is not set out in Schedule 2, oversee the conduct of the Programme by the ICR;</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monitor progress against any agreed milestones and the timetable of the Programme;</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the extent that the same is not set out in Schedule 2, allocate the work under the Programme;</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promote the due performance of the Programme;</w:t>
      </w:r>
    </w:p>
    <w:p>
      <w:pPr>
        <w:spacing w:after="0" w:line="220" w:lineRule="exact"/>
        <w:rPr>
          <w:rFonts w:ascii="Arial" w:cs="Arial" w:eastAsia="Arial" w:hAnsi="Arial"/>
          <w:sz w:val="18"/>
          <w:szCs w:val="18"/>
          <w:b w:val="1"/>
          <w:bCs w:val="1"/>
          <w:color w:val="auto"/>
        </w:rPr>
      </w:pPr>
    </w:p>
    <w:p>
      <w:pPr>
        <w:ind w:right="780" w:firstLine="990"/>
        <w:spacing w:after="0" w:line="271" w:lineRule="auto"/>
        <w:tabs>
          <w:tab w:leader="none" w:pos="1224"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advise and assist in the resolution of any scientific or technical difficulties which are experienced in the performance of the Programme, including assessment of the Programme for purposes of Section 19.2(g);</w:t>
      </w:r>
    </w:p>
    <w:p>
      <w:pPr>
        <w:spacing w:after="0" w:line="174" w:lineRule="exact"/>
        <w:rPr>
          <w:rFonts w:ascii="Arial" w:cs="Arial" w:eastAsia="Arial" w:hAnsi="Arial"/>
          <w:sz w:val="18"/>
          <w:szCs w:val="18"/>
          <w:b w:val="1"/>
          <w:bCs w:val="1"/>
          <w:color w:val="auto"/>
        </w:rPr>
      </w:pPr>
    </w:p>
    <w:p>
      <w:pPr>
        <w:ind w:left="1220" w:hanging="230"/>
        <w:spacing w:after="0"/>
        <w:tabs>
          <w:tab w:leader="none" w:pos="122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review the results of the Programme with a view to identifying any patentable inventions;</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consider opportunities for publications and patent filing;</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discuss the patent strategy for Programme Patents;</w:t>
      </w:r>
    </w:p>
    <w:p>
      <w:pPr>
        <w:spacing w:after="0" w:line="220" w:lineRule="exact"/>
        <w:rPr>
          <w:rFonts w:ascii="Arial" w:cs="Arial" w:eastAsia="Arial" w:hAnsi="Arial"/>
          <w:sz w:val="18"/>
          <w:szCs w:val="18"/>
          <w:b w:val="1"/>
          <w:bCs w:val="1"/>
          <w:color w:val="auto"/>
        </w:rPr>
      </w:pPr>
    </w:p>
    <w:p>
      <w:pPr>
        <w:ind w:left="1200" w:hanging="210"/>
        <w:spacing w:after="0"/>
        <w:tabs>
          <w:tab w:leader="none" w:pos="1200" w:val="left"/>
        </w:tabs>
        <w:numPr>
          <w:ilvl w:val="0"/>
          <w:numId w:val="460"/>
        </w:numPr>
        <w:rPr>
          <w:rFonts w:ascii="Arial" w:cs="Arial" w:eastAsia="Arial" w:hAnsi="Arial"/>
          <w:sz w:val="17"/>
          <w:szCs w:val="17"/>
          <w:b w:val="1"/>
          <w:bCs w:val="1"/>
          <w:color w:val="auto"/>
        </w:rPr>
      </w:pPr>
      <w:r>
        <w:rPr>
          <w:rFonts w:ascii="Arial" w:cs="Arial" w:eastAsia="Arial" w:hAnsi="Arial"/>
          <w:sz w:val="17"/>
          <w:szCs w:val="17"/>
          <w:color w:val="auto"/>
        </w:rPr>
        <w:t>serve as the initial forum to discuss and seek to resolve any issue or dispute arising between the Parties under the Agreement;</w:t>
      </w:r>
    </w:p>
    <w:p>
      <w:pPr>
        <w:spacing w:after="0" w:line="232" w:lineRule="exact"/>
        <w:rPr>
          <w:rFonts w:ascii="Arial" w:cs="Arial" w:eastAsia="Arial" w:hAnsi="Arial"/>
          <w:sz w:val="17"/>
          <w:szCs w:val="17"/>
          <w:b w:val="1"/>
          <w:bCs w:val="1"/>
          <w:color w:val="auto"/>
        </w:rPr>
      </w:pPr>
    </w:p>
    <w:p>
      <w:pPr>
        <w:ind w:right="600" w:firstLine="990"/>
        <w:spacing w:after="0" w:line="335" w:lineRule="auto"/>
        <w:tabs>
          <w:tab w:leader="none" w:pos="1205" w:val="left"/>
        </w:tabs>
        <w:numPr>
          <w:ilvl w:val="0"/>
          <w:numId w:val="460"/>
        </w:numPr>
        <w:rPr>
          <w:rFonts w:ascii="Arial" w:cs="Arial" w:eastAsia="Arial" w:hAnsi="Arial"/>
          <w:sz w:val="16"/>
          <w:szCs w:val="16"/>
          <w:b w:val="1"/>
          <w:bCs w:val="1"/>
          <w:color w:val="auto"/>
        </w:rPr>
      </w:pPr>
      <w:r>
        <w:rPr>
          <w:rFonts w:ascii="Arial" w:cs="Arial" w:eastAsia="Arial" w:hAnsi="Arial"/>
          <w:sz w:val="16"/>
          <w:szCs w:val="16"/>
          <w:color w:val="auto"/>
        </w:rPr>
        <w:t>review periodic reports, prepared by the ICR in accordance with the schedule agreed between the Parties (in the first instance, Quarterly), summarising in reasonable detail the results of the Programme during such period, and send copies of such reports to the Parties;</w:t>
      </w:r>
    </w:p>
    <w:p>
      <w:pPr>
        <w:spacing w:after="0" w:line="128" w:lineRule="exact"/>
        <w:rPr>
          <w:rFonts w:ascii="Arial" w:cs="Arial" w:eastAsia="Arial" w:hAnsi="Arial"/>
          <w:sz w:val="16"/>
          <w:szCs w:val="16"/>
          <w:b w:val="1"/>
          <w:bCs w:val="1"/>
          <w:color w:val="auto"/>
        </w:rPr>
      </w:pPr>
    </w:p>
    <w:p>
      <w:pPr>
        <w:ind w:right="140" w:firstLine="990"/>
        <w:spacing w:after="0" w:line="271" w:lineRule="auto"/>
        <w:tabs>
          <w:tab w:leader="none" w:pos="1245"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subject to Clause 3.7, review, discuss and propose amendments to Schedule 2 from time to time as may be necessary or desirable to give effect to this Agreement;</w:t>
      </w:r>
    </w:p>
    <w:p>
      <w:pPr>
        <w:spacing w:after="0" w:line="174" w:lineRule="exact"/>
        <w:rPr>
          <w:rFonts w:ascii="Arial" w:cs="Arial" w:eastAsia="Arial" w:hAnsi="Arial"/>
          <w:sz w:val="18"/>
          <w:szCs w:val="18"/>
          <w:b w:val="1"/>
          <w:bCs w:val="1"/>
          <w:color w:val="auto"/>
        </w:rPr>
      </w:pPr>
    </w:p>
    <w:p>
      <w:pPr>
        <w:jc w:val="both"/>
        <w:ind w:right="220" w:firstLine="990"/>
        <w:spacing w:after="0" w:line="255" w:lineRule="auto"/>
        <w:tabs>
          <w:tab w:leader="none" w:pos="1195"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receive updates from the Company from time to time regarding the research activities undertaken by Ridgeline, or any other Third Party, on behalf of the Company and contributing to, related to, adding to the delivery of and/or in support of the Programme, or associated with the subject-matter of the Programme, except to the extent CRT and/or the ICR notifies the Company that it has a conflict with respect to any particular Ridgeline or other Third Party activity.</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480" w:top="272" w:right="639" w:bottom="1440" w:gutter="0" w:footer="0" w:header="0"/>
        </w:sectPr>
      </w:pPr>
    </w:p>
    <w:bookmarkStart w:id="549" w:name="page550"/>
    <w:bookmarkEnd w:id="549"/>
    <w:p>
      <w:pPr>
        <w:ind w:right="320" w:firstLine="990"/>
        <w:spacing w:after="0" w:line="301" w:lineRule="auto"/>
        <w:tabs>
          <w:tab w:leader="none" w:pos="1294" w:val="left"/>
        </w:tabs>
        <w:numPr>
          <w:ilvl w:val="0"/>
          <w:numId w:val="46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review and approve the ICR’s proposed screens of any Compound Library in connection with the ICR Internal Research, proposed progression routes, and evaluate the output of such screening and subsequent hit validation and deconvolution studies;</w:t>
      </w:r>
    </w:p>
    <w:p>
      <w:pPr>
        <w:spacing w:after="0" w:line="151" w:lineRule="exact"/>
        <w:rPr>
          <w:rFonts w:ascii="Arial" w:cs="Arial" w:eastAsia="Arial" w:hAnsi="Arial"/>
          <w:sz w:val="17"/>
          <w:szCs w:val="17"/>
          <w:b w:val="1"/>
          <w:bCs w:val="1"/>
          <w:color w:val="auto"/>
        </w:rPr>
      </w:pPr>
    </w:p>
    <w:p>
      <w:pPr>
        <w:ind w:right="700" w:firstLine="990"/>
        <w:spacing w:after="0" w:line="271" w:lineRule="auto"/>
        <w:tabs>
          <w:tab w:leader="none" w:pos="1245"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review and approve the Lead Series Criteria for each project conducted pursuant to the ICR Internal Research, in line with the guideline criteria set forth in Schedule 3, as adapted for such project;</w:t>
      </w:r>
    </w:p>
    <w:p>
      <w:pPr>
        <w:spacing w:after="0" w:line="174"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review and approve the Pre-Clinical Candidate Criteria for each project conducted pursuant to the ICR Internal Research;</w:t>
      </w:r>
    </w:p>
    <w:p>
      <w:pPr>
        <w:spacing w:after="0" w:line="220" w:lineRule="exact"/>
        <w:rPr>
          <w:rFonts w:ascii="Arial" w:cs="Arial" w:eastAsia="Arial" w:hAnsi="Arial"/>
          <w:sz w:val="18"/>
          <w:szCs w:val="18"/>
          <w:b w:val="1"/>
          <w:bCs w:val="1"/>
          <w:color w:val="auto"/>
        </w:rPr>
      </w:pPr>
    </w:p>
    <w:p>
      <w:pPr>
        <w:ind w:right="640" w:firstLine="990"/>
        <w:spacing w:after="0" w:line="271" w:lineRule="auto"/>
        <w:tabs>
          <w:tab w:leader="none" w:pos="1245"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review and approve each Pre-Clinical Candidate nominated by the ICR, taking into account the Pre-Clinical Candidate Criteria applicable to such nominated candidate;</w:t>
      </w:r>
    </w:p>
    <w:p>
      <w:pPr>
        <w:spacing w:after="0" w:line="174" w:lineRule="exact"/>
        <w:rPr>
          <w:rFonts w:ascii="Arial" w:cs="Arial" w:eastAsia="Arial" w:hAnsi="Arial"/>
          <w:sz w:val="18"/>
          <w:szCs w:val="18"/>
          <w:b w:val="1"/>
          <w:bCs w:val="1"/>
          <w:color w:val="auto"/>
        </w:rPr>
      </w:pPr>
    </w:p>
    <w:p>
      <w:pPr>
        <w:ind w:right="460" w:firstLine="990"/>
        <w:spacing w:after="0" w:line="271" w:lineRule="auto"/>
        <w:tabs>
          <w:tab w:leader="none" w:pos="1245"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receive updates from the Company from time to time regarding any research activities undertaken by or on behalf of Company in support of the Programme;</w:t>
      </w:r>
    </w:p>
    <w:p>
      <w:pPr>
        <w:spacing w:after="0" w:line="174" w:lineRule="exact"/>
        <w:rPr>
          <w:rFonts w:ascii="Arial" w:cs="Arial" w:eastAsia="Arial" w:hAnsi="Arial"/>
          <w:sz w:val="18"/>
          <w:szCs w:val="18"/>
          <w:b w:val="1"/>
          <w:bCs w:val="1"/>
          <w:color w:val="auto"/>
        </w:rPr>
      </w:pPr>
    </w:p>
    <w:p>
      <w:pPr>
        <w:ind w:right="120" w:firstLine="990"/>
        <w:spacing w:after="0" w:line="259" w:lineRule="auto"/>
        <w:tabs>
          <w:tab w:leader="none" w:pos="1224"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receive and discuss summary reports from the Company regarding the research, development and commercialization of all Products at least once every [***], including a summary in reasonable detail of the progress of development of each Product against the respective development plan and the progress of any applications for Regulatory Authorisation; and</w:t>
      </w:r>
    </w:p>
    <w:p>
      <w:pPr>
        <w:spacing w:after="0" w:line="185" w:lineRule="exact"/>
        <w:rPr>
          <w:rFonts w:ascii="Arial" w:cs="Arial" w:eastAsia="Arial" w:hAnsi="Arial"/>
          <w:sz w:val="18"/>
          <w:szCs w:val="18"/>
          <w:b w:val="1"/>
          <w:bCs w:val="1"/>
          <w:color w:val="auto"/>
        </w:rPr>
      </w:pPr>
    </w:p>
    <w:p>
      <w:pPr>
        <w:ind w:left="1220" w:hanging="230"/>
        <w:spacing w:after="0"/>
        <w:tabs>
          <w:tab w:leader="none" w:pos="122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perform any obligations that are expressly delegated to it under this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Parts (a), (b), (c), (d), (e), (f), (j) (k) and (I) shall apply for the duration of the Services Term only.</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JSC shall be established and run by the Parties as follows:</w:t>
      </w:r>
    </w:p>
    <w:p>
      <w:pPr>
        <w:spacing w:after="0" w:line="118" w:lineRule="exact"/>
        <w:rPr>
          <w:sz w:val="20"/>
          <w:szCs w:val="20"/>
          <w:color w:val="auto"/>
        </w:rPr>
      </w:pPr>
    </w:p>
    <w:p>
      <w:pPr>
        <w:ind w:right="80" w:firstLine="990"/>
        <w:spacing w:after="0" w:line="271" w:lineRule="auto"/>
        <w:tabs>
          <w:tab w:leader="none" w:pos="1234" w:val="left"/>
        </w:tabs>
        <w:numPr>
          <w:ilvl w:val="0"/>
          <w:numId w:val="462"/>
        </w:numPr>
        <w:rPr>
          <w:rFonts w:ascii="Arial" w:cs="Arial" w:eastAsia="Arial" w:hAnsi="Arial"/>
          <w:sz w:val="18"/>
          <w:szCs w:val="18"/>
          <w:b w:val="1"/>
          <w:bCs w:val="1"/>
          <w:color w:val="auto"/>
        </w:rPr>
      </w:pPr>
      <w:r>
        <w:rPr>
          <w:rFonts w:ascii="Arial" w:cs="Arial" w:eastAsia="Arial" w:hAnsi="Arial"/>
          <w:sz w:val="18"/>
          <w:szCs w:val="18"/>
          <w:color w:val="auto"/>
        </w:rPr>
        <w:t>The JSC shall comprise of [***] appointed by of the Company, [***] appointed by the ICR, and [***] appointed by CRT (collectively,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The initial members of the JSC shall be as follows: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EMBER</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5340" w:type="dxa"/>
            <w:vAlign w:val="bottom"/>
            <w:tcBorders>
              <w:top w:val="single" w:sz="8" w:color="auto"/>
              <w:bottom w:val="single" w:sz="8" w:color="auto"/>
              <w:right w:val="single" w:sz="8" w:color="auto"/>
            </w:tcBorders>
          </w:tcPr>
          <w:p>
            <w:pPr>
              <w:jc w:val="right"/>
              <w:ind w:right="1811"/>
              <w:spacing w:after="0"/>
              <w:rPr>
                <w:sz w:val="20"/>
                <w:szCs w:val="20"/>
                <w:color w:val="auto"/>
              </w:rPr>
            </w:pPr>
            <w:r>
              <w:rPr>
                <w:rFonts w:ascii="Arial" w:cs="Arial" w:eastAsia="Arial" w:hAnsi="Arial"/>
                <w:sz w:val="18"/>
                <w:szCs w:val="18"/>
                <w:b w:val="1"/>
                <w:bCs w:val="1"/>
                <w:color w:val="auto"/>
              </w:rPr>
              <w:t>CRT/ICR M</w:t>
            </w:r>
            <w:r>
              <w:rPr>
                <w:rFonts w:ascii="Arial" w:cs="Arial" w:eastAsia="Arial" w:hAnsi="Arial"/>
                <w:sz w:val="14"/>
                <w:szCs w:val="14"/>
                <w:b w:val="1"/>
                <w:bCs w:val="1"/>
                <w:color w:val="auto"/>
              </w:rPr>
              <w:t>EMBER</w:t>
            </w:r>
          </w:p>
        </w:tc>
      </w:tr>
      <w:tr>
        <w:trPr>
          <w:trHeight w:val="207"/>
        </w:trPr>
        <w:tc>
          <w:tcPr>
            <w:tcW w:w="4500" w:type="dxa"/>
            <w:vAlign w:val="bottom"/>
            <w:tcBorders>
              <w:left w:val="single" w:sz="8" w:color="auto"/>
              <w:bottom w:val="single" w:sz="8" w:color="auto"/>
            </w:tcBorders>
          </w:tcPr>
          <w:p>
            <w:pPr>
              <w:jc w:val="right"/>
              <w:ind w:right="38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jc w:val="right"/>
              <w:ind w:right="4771"/>
              <w:spacing w:after="0"/>
              <w:rPr>
                <w:sz w:val="20"/>
                <w:szCs w:val="20"/>
                <w:color w:val="auto"/>
              </w:rPr>
            </w:pPr>
            <w:r>
              <w:rPr>
                <w:rFonts w:ascii="Arial" w:cs="Arial" w:eastAsia="Arial" w:hAnsi="Arial"/>
                <w:sz w:val="18"/>
                <w:szCs w:val="18"/>
                <w:color w:val="auto"/>
              </w:rPr>
              <w:t>[***]</w:t>
            </w:r>
          </w:p>
        </w:tc>
      </w:tr>
      <w:tr>
        <w:trPr>
          <w:trHeight w:val="207"/>
        </w:trPr>
        <w:tc>
          <w:tcPr>
            <w:tcW w:w="4500" w:type="dxa"/>
            <w:vAlign w:val="bottom"/>
            <w:tcBorders>
              <w:left w:val="single" w:sz="8" w:color="auto"/>
              <w:bottom w:val="single" w:sz="8" w:color="auto"/>
            </w:tcBorders>
          </w:tcPr>
          <w:p>
            <w:pPr>
              <w:jc w:val="right"/>
              <w:ind w:right="38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jc w:val="right"/>
              <w:ind w:right="4771"/>
              <w:spacing w:after="0"/>
              <w:rPr>
                <w:sz w:val="20"/>
                <w:szCs w:val="20"/>
                <w:color w:val="auto"/>
              </w:rPr>
            </w:pPr>
            <w:r>
              <w:rPr>
                <w:rFonts w:ascii="Arial" w:cs="Arial" w:eastAsia="Arial" w:hAnsi="Arial"/>
                <w:sz w:val="18"/>
                <w:szCs w:val="18"/>
                <w:color w:val="auto"/>
              </w:rPr>
              <w:t>[***]</w:t>
            </w:r>
          </w:p>
        </w:tc>
      </w:tr>
      <w:tr>
        <w:trPr>
          <w:trHeight w:val="207"/>
        </w:trPr>
        <w:tc>
          <w:tcPr>
            <w:tcW w:w="4500" w:type="dxa"/>
            <w:vAlign w:val="bottom"/>
            <w:tcBorders>
              <w:left w:val="single" w:sz="8" w:color="auto"/>
              <w:bottom w:val="single" w:sz="8" w:color="auto"/>
            </w:tcBorders>
          </w:tcPr>
          <w:p>
            <w:pPr>
              <w:jc w:val="right"/>
              <w:ind w:right="38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jc w:val="right"/>
              <w:ind w:right="4771"/>
              <w:spacing w:after="0"/>
              <w:rPr>
                <w:sz w:val="20"/>
                <w:szCs w:val="20"/>
                <w:color w:val="auto"/>
              </w:rPr>
            </w:pPr>
            <w:r>
              <w:rPr>
                <w:rFonts w:ascii="Arial" w:cs="Arial" w:eastAsia="Arial" w:hAnsi="Arial"/>
                <w:sz w:val="18"/>
                <w:szCs w:val="18"/>
                <w:color w:val="auto"/>
              </w:rPr>
              <w:t>[***]</w:t>
            </w:r>
          </w:p>
        </w:tc>
      </w:tr>
      <w:tr>
        <w:trPr>
          <w:trHeight w:val="207"/>
        </w:trPr>
        <w:tc>
          <w:tcPr>
            <w:tcW w:w="4500" w:type="dxa"/>
            <w:vAlign w:val="bottom"/>
            <w:tcBorders>
              <w:left w:val="single" w:sz="8" w:color="auto"/>
              <w:bottom w:val="single" w:sz="8" w:color="auto"/>
            </w:tcBorders>
          </w:tcPr>
          <w:p>
            <w:pPr>
              <w:jc w:val="right"/>
              <w:ind w:right="38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jc w:val="right"/>
              <w:ind w:right="4771"/>
              <w:spacing w:after="0"/>
              <w:rPr>
                <w:sz w:val="20"/>
                <w:szCs w:val="20"/>
                <w:color w:val="auto"/>
              </w:rPr>
            </w:pPr>
            <w:r>
              <w:rPr>
                <w:rFonts w:ascii="Arial" w:cs="Arial" w:eastAsia="Arial" w:hAnsi="Arial"/>
                <w:sz w:val="18"/>
                <w:szCs w:val="18"/>
                <w:color w:val="auto"/>
              </w:rPr>
              <w:t>[***]</w:t>
            </w:r>
          </w:p>
        </w:tc>
      </w:tr>
      <w:tr>
        <w:trPr>
          <w:trHeight w:val="353"/>
        </w:trPr>
        <w:tc>
          <w:tcPr>
            <w:tcW w:w="4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5340" w:type="dxa"/>
            <w:vAlign w:val="bottom"/>
          </w:tcPr>
          <w:p>
            <w:pPr>
              <w:spacing w:after="0"/>
              <w:rPr>
                <w:sz w:val="24"/>
                <w:szCs w:val="24"/>
                <w:color w:val="auto"/>
              </w:rPr>
            </w:pPr>
          </w:p>
        </w:tc>
      </w:tr>
    </w:tbl>
    <w:p>
      <w:pPr>
        <w:sectPr>
          <w:pgSz w:w="11900" w:h="16838" w:orient="portrait"/>
          <w:cols w:equalWidth="0" w:num="1">
            <w:col w:w="10940"/>
          </w:cols>
          <w:pgMar w:left="480" w:top="272" w:right="479" w:bottom="1440" w:gutter="0" w:footer="0" w:header="0"/>
        </w:sectPr>
      </w:pPr>
    </w:p>
    <w:bookmarkStart w:id="550" w:name="page551"/>
    <w:bookmarkEnd w:id="550"/>
    <w:p>
      <w:pPr>
        <w:jc w:val="both"/>
        <w:ind w:left="-20" w:right="20" w:firstLine="990"/>
        <w:spacing w:after="0" w:line="259" w:lineRule="auto"/>
        <w:tabs>
          <w:tab w:leader="none" w:pos="1225"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through the JSC, may change the number of Members. Each Party shall be entitled to remove any Member appointed by it and to appoint any person to fill a vacancy arising from the removal or retirement of such Member. The Parties shall give each other, prior written notice of any proposed changes in the identity of their Members.</w:t>
      </w:r>
    </w:p>
    <w:p>
      <w:pPr>
        <w:spacing w:after="0" w:line="185" w:lineRule="exact"/>
        <w:rPr>
          <w:rFonts w:ascii="Arial" w:cs="Arial" w:eastAsia="Arial" w:hAnsi="Arial"/>
          <w:sz w:val="18"/>
          <w:szCs w:val="18"/>
          <w:b w:val="1"/>
          <w:bCs w:val="1"/>
          <w:color w:val="auto"/>
        </w:rPr>
      </w:pPr>
    </w:p>
    <w:p>
      <w:pPr>
        <w:ind w:left="-20" w:right="260" w:firstLine="990"/>
        <w:spacing w:after="0" w:line="271" w:lineRule="auto"/>
        <w:tabs>
          <w:tab w:leader="none" w:pos="120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The Parties shall use reasonable endeavours to ensure that their appointed Members are of a level of expertise and seniority to make decisions arising within the scope of the JSC’s responsibilities.</w:t>
      </w:r>
    </w:p>
    <w:p>
      <w:pPr>
        <w:spacing w:after="0" w:line="174" w:lineRule="exact"/>
        <w:rPr>
          <w:rFonts w:ascii="Arial" w:cs="Arial" w:eastAsia="Arial" w:hAnsi="Arial"/>
          <w:sz w:val="18"/>
          <w:szCs w:val="18"/>
          <w:b w:val="1"/>
          <w:bCs w:val="1"/>
          <w:color w:val="auto"/>
        </w:rPr>
      </w:pPr>
    </w:p>
    <w:p>
      <w:pPr>
        <w:ind w:left="-20" w:firstLine="990"/>
        <w:spacing w:after="0" w:line="259" w:lineRule="auto"/>
        <w:tabs>
          <w:tab w:leader="none" w:pos="1225"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The JSC shall meet as soon as practicable after the Effective Date and thereafter shall hold regular meetings for the duration of the Service Term [***] and thereafter [***], unless otherwise agreed to by the Parties, and at any time upon the reasonable request of a Party, in each case at dates and times to be mutually agreed:</w:t>
      </w:r>
    </w:p>
    <w:p>
      <w:pPr>
        <w:spacing w:after="0" w:line="185" w:lineRule="exact"/>
        <w:rPr>
          <w:rFonts w:ascii="Arial" w:cs="Arial" w:eastAsia="Arial" w:hAnsi="Arial"/>
          <w:sz w:val="18"/>
          <w:szCs w:val="18"/>
          <w:b w:val="1"/>
          <w:bCs w:val="1"/>
          <w:color w:val="auto"/>
        </w:rPr>
      </w:pPr>
    </w:p>
    <w:p>
      <w:pPr>
        <w:jc w:val="both"/>
        <w:ind w:left="-20" w:right="20" w:firstLine="990"/>
        <w:spacing w:after="0" w:line="259" w:lineRule="auto"/>
        <w:tabs>
          <w:tab w:leader="none" w:pos="120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The JSC shall meet in person, by teleconference or by video-teleconference, as agreed by the JSC. During the Services Term, in-person meetings shall be at the ICR unless otherwise agreed by the Parties. Each Party shall solely bear all travel and subsistence costs incurred by such Party’s Members in connection with their attending each the meeting of the JSC.</w:t>
      </w:r>
    </w:p>
    <w:p>
      <w:pPr>
        <w:spacing w:after="0" w:line="185" w:lineRule="exact"/>
        <w:rPr>
          <w:rFonts w:ascii="Arial" w:cs="Arial" w:eastAsia="Arial" w:hAnsi="Arial"/>
          <w:sz w:val="18"/>
          <w:szCs w:val="18"/>
          <w:b w:val="1"/>
          <w:bCs w:val="1"/>
          <w:color w:val="auto"/>
        </w:rPr>
      </w:pPr>
    </w:p>
    <w:p>
      <w:pPr>
        <w:ind w:left="1200" w:hanging="230"/>
        <w:spacing w:after="0"/>
        <w:tabs>
          <w:tab w:leader="none" w:pos="1200"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At least [***] written notice of each proposed meeting of the JSC shall be given to each Member, by the Company.</w:t>
      </w:r>
    </w:p>
    <w:p>
      <w:pPr>
        <w:spacing w:after="0" w:line="220" w:lineRule="exact"/>
        <w:rPr>
          <w:rFonts w:ascii="Arial" w:cs="Arial" w:eastAsia="Arial" w:hAnsi="Arial"/>
          <w:sz w:val="18"/>
          <w:szCs w:val="18"/>
          <w:b w:val="1"/>
          <w:bCs w:val="1"/>
          <w:color w:val="auto"/>
        </w:rPr>
      </w:pPr>
    </w:p>
    <w:p>
      <w:pPr>
        <w:ind w:left="-20" w:right="40" w:firstLine="990"/>
        <w:spacing w:after="0" w:line="255" w:lineRule="auto"/>
        <w:tabs>
          <w:tab w:leader="none" w:pos="121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The quorum for meetings of JSC shall be at least one (1) Member appointed by of each of the Company, CRT and the ICR. Members may be represented at any meeting by another Member designated in writing by the absent Member. Each Party may invite a reasonable number of non-member, non-voting representatives of such Party, who are subject to written confidentiality obligations commensurate in scope to the provisions of Clause 17, to attend meetings of the JSC.</w:t>
      </w:r>
    </w:p>
    <w:p>
      <w:pPr>
        <w:spacing w:after="0" w:line="190" w:lineRule="exact"/>
        <w:rPr>
          <w:rFonts w:ascii="Arial" w:cs="Arial" w:eastAsia="Arial" w:hAnsi="Arial"/>
          <w:sz w:val="18"/>
          <w:szCs w:val="18"/>
          <w:b w:val="1"/>
          <w:bCs w:val="1"/>
          <w:color w:val="auto"/>
        </w:rPr>
      </w:pPr>
    </w:p>
    <w:p>
      <w:pPr>
        <w:ind w:left="-20" w:right="40" w:firstLine="990"/>
        <w:spacing w:after="0" w:line="253" w:lineRule="auto"/>
        <w:tabs>
          <w:tab w:leader="none" w:pos="1225"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CRT and the ICR shall initially appoint from the Members a chairman to chair meetings, who shall be [***]. In the event [***] resigns as the chairman or is no longer affiliated with CRT ana the ICR, then the ICR shall appoint an ICR employee as replacement chairman, and shall be entitled to remove any chairman appointed by it and to appoint any person to fill a vacancy arising from the removal or retirement of such chairman, in each case, subject to the consent of the Company, not to be unreasonably withheld. The chairman shall have no casting vote, except as expressly provided in Clause 2.2(i).</w:t>
      </w:r>
    </w:p>
    <w:p>
      <w:pPr>
        <w:spacing w:after="0" w:line="192" w:lineRule="exact"/>
        <w:rPr>
          <w:rFonts w:ascii="Arial" w:cs="Arial" w:eastAsia="Arial" w:hAnsi="Arial"/>
          <w:sz w:val="18"/>
          <w:szCs w:val="18"/>
          <w:b w:val="1"/>
          <w:bCs w:val="1"/>
          <w:color w:val="auto"/>
        </w:rPr>
      </w:pPr>
    </w:p>
    <w:p>
      <w:pPr>
        <w:ind w:left="-20" w:right="20" w:firstLine="990"/>
        <w:spacing w:after="0" w:line="272" w:lineRule="auto"/>
        <w:tabs>
          <w:tab w:leader="none" w:pos="1175"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The JSC shall have only the powers expressly assigned to it in Clause 2.1, and shall have no power to amend, modify, or waive compliance with this Agreement. Decisions of the JSC shall be made by unanimous agreement of the Members present, with the Company’s appointed Members collectively having one (1) vote, and CRT’s- and ICR’s appointed Members collectively having one (1) vote. No vote of the JSC may be taken unless at least one (1) of each Party’s representatives is present for the vote. If the JSC cannot reach consensus with regard to any matter within its decision-making authority within [***] after such matter has been brought to the JSC’s attention, then [***].</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500" w:top="272" w:right="519" w:bottom="1440" w:gutter="0" w:footer="0" w:header="0"/>
        </w:sectPr>
      </w:pPr>
    </w:p>
    <w:bookmarkStart w:id="551" w:name="page552"/>
    <w:bookmarkEnd w:id="551"/>
    <w:p>
      <w:pPr>
        <w:ind w:right="20" w:firstLine="990"/>
        <w:spacing w:after="0" w:line="287" w:lineRule="auto"/>
        <w:tabs>
          <w:tab w:leader="none" w:pos="1205" w:val="left"/>
        </w:tabs>
        <w:numPr>
          <w:ilvl w:val="1"/>
          <w:numId w:val="46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chairman, or the chairman’s delegate, shall be responsible for: (a) preparing JSC meeting agendas reasonably in advance of JSC meetings, which JSC meeting agendas will include all agenda items reasonably requested by any Member for inclusion therein; (b) sending invitations and a JSC meeting agenda along with appropriate information for such agenda to all members of the JSC at least [***] before the next scheduled meeting of the JSC; (c) preparing and circulating minutes within [***] after each meeting of the JSC setting forth, among other things, a description, in reasonable detail, of the discussions at the meeting and a list of any actions, decisions, or determinations approved by the JSC. Such minutes shall be effective only after being approved by all Members. Definitive minutes of all JSC meetings shall be finalized no later than [***] after the meeting to which the minutes pertain. The minutes of each meeting of the JSC shall be retained in a suitable minute book, which shall be kept by the Company and be available at all reasonable times on Business Days for inspection by the Parties and the Members.</w:t>
      </w:r>
    </w:p>
    <w:p>
      <w:pPr>
        <w:spacing w:after="0" w:line="165" w:lineRule="exact"/>
        <w:rPr>
          <w:rFonts w:ascii="Arial" w:cs="Arial" w:eastAsia="Arial" w:hAnsi="Arial"/>
          <w:sz w:val="16"/>
          <w:szCs w:val="16"/>
          <w:b w:val="1"/>
          <w:bCs w:val="1"/>
          <w:color w:val="auto"/>
        </w:rPr>
      </w:pPr>
    </w:p>
    <w:p>
      <w:pPr>
        <w:ind w:left="1260" w:hanging="270"/>
        <w:spacing w:after="0"/>
        <w:tabs>
          <w:tab w:leader="none" w:pos="1260" w:val="left"/>
        </w:tabs>
        <w:numPr>
          <w:ilvl w:val="1"/>
          <w:numId w:val="464"/>
        </w:numPr>
        <w:rPr>
          <w:rFonts w:ascii="Arial" w:cs="Arial" w:eastAsia="Arial" w:hAnsi="Arial"/>
          <w:sz w:val="18"/>
          <w:szCs w:val="18"/>
          <w:b w:val="1"/>
          <w:bCs w:val="1"/>
          <w:color w:val="auto"/>
        </w:rPr>
      </w:pPr>
      <w:r>
        <w:rPr>
          <w:rFonts w:ascii="Arial" w:cs="Arial" w:eastAsia="Arial" w:hAnsi="Arial"/>
          <w:sz w:val="18"/>
          <w:szCs w:val="18"/>
          <w:color w:val="auto"/>
        </w:rPr>
        <w:t>The JSC will be disbanded upon expiration or termination of this Agreement.</w:t>
      </w:r>
    </w:p>
    <w:p>
      <w:pPr>
        <w:spacing w:after="0" w:line="364" w:lineRule="exact"/>
        <w:rPr>
          <w:rFonts w:ascii="Arial" w:cs="Arial" w:eastAsia="Arial" w:hAnsi="Arial"/>
          <w:sz w:val="18"/>
          <w:szCs w:val="18"/>
          <w:b w:val="1"/>
          <w:bCs w:val="1"/>
          <w:color w:val="auto"/>
        </w:rPr>
      </w:pPr>
    </w:p>
    <w:p>
      <w:pPr>
        <w:ind w:left="440" w:hanging="433"/>
        <w:spacing w:after="0"/>
        <w:tabs>
          <w:tab w:leader="none" w:pos="4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PROGRAMME</w:t>
      </w:r>
    </w:p>
    <w:p>
      <w:pPr>
        <w:spacing w:after="0" w:line="114" w:lineRule="exact"/>
        <w:rPr>
          <w:sz w:val="20"/>
          <w:szCs w:val="20"/>
          <w:color w:val="auto"/>
        </w:rPr>
      </w:pPr>
    </w:p>
    <w:p>
      <w:pPr>
        <w:ind w:right="80" w:firstLine="436"/>
        <w:spacing w:after="0" w:line="268"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Subject to the terms and conditions of this Agreement, and as further provided in this Clause 3, the ICR shall provide research services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accordance with the Programme, which shall describe the research activities to be conducted by the Parties, responsibilities of each Party, the number of FTEs to be provided by the ICR to conduct such activities, and will contain a good faith estimate of all costs and expenses necessary to perform the Programme, including a budget for all costs to be funded by Company and, solely in the case of any outsourcing costs included in such budget, incurred by the ICR in conducting such activities. For the avoidance of doubt, the Company shall not be responsible for any other costs beyond those set forth in Clause 4.1. As among the Parties, the ICR shall be responsible for all costs it incurs in conducting the Programme (as set forth in Schedule 2 as of the Effective Date) that are not intended to be funded by the Company pursuant to Clause 4.1, provided that, for the avoidance of doubt, in no event shall the ICR be obliged to commit any additional cost or resource for the duration of the Programme beyond the allocation of FTEs from the CTU, as set forth in Schedule 2.</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In consideration for the payments to be made pursuant to Clause 4.1, the ICR shall engage the researchers set forth under the section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“Researchers” (the “</w:t>
      </w:r>
      <w:r>
        <w:rPr>
          <w:rFonts w:ascii="Arial" w:cs="Arial" w:eastAsia="Arial" w:hAnsi="Arial"/>
          <w:sz w:val="17"/>
          <w:szCs w:val="17"/>
          <w:b w:val="1"/>
          <w:bCs w:val="1"/>
          <w:i w:val="1"/>
          <w:iCs w:val="1"/>
          <w:color w:val="auto"/>
        </w:rPr>
        <w:t>Researchers</w:t>
      </w:r>
      <w:r>
        <w:rPr>
          <w:rFonts w:ascii="Arial" w:cs="Arial" w:eastAsia="Arial" w:hAnsi="Arial"/>
          <w:sz w:val="17"/>
          <w:szCs w:val="17"/>
          <w:color w:val="auto"/>
        </w:rPr>
        <w:t>”) in Schedule 2 for the period of time set forth therein, to be appointed as soon as practicable after the Effective Date, to work at the ICR as employees of the ICR, to carry out under the supervision of the [***], or the chairman of the JSC in the event [***] is no longer affiliated with CRT and the ICR, those parts of the Programme allocated to the ICR hereunder. The Company shall provide the ICR with such assistance with the selection and recruitment of the Researchers as the ICR may reasonably request, and the ICR shall promptly notify the Company of the appointment of each Researcher, including the effective date of each such appointment.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480" w:top="272" w:right="539" w:bottom="1440" w:gutter="0" w:footer="0" w:header="0"/>
        </w:sectPr>
      </w:pPr>
    </w:p>
    <w:bookmarkStart w:id="552" w:name="page553"/>
    <w:bookmarkEnd w:id="552"/>
    <w:p>
      <w:pPr>
        <w:ind w:right="100" w:firstLine="43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3.3 </w:t>
      </w:r>
      <w:r>
        <w:rPr>
          <w:rFonts w:ascii="Arial" w:cs="Arial" w:eastAsia="Arial" w:hAnsi="Arial"/>
          <w:sz w:val="16"/>
          <w:szCs w:val="16"/>
          <w:color w:val="auto"/>
        </w:rPr>
        <w:t>The Programme shall commence on the Effective Date and continue until the Services Expiry Date unless earlier terminated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Clause 3 .3 or upon termination of this Agreement (the “</w:t>
      </w:r>
      <w:r>
        <w:rPr>
          <w:rFonts w:ascii="Arial" w:cs="Arial" w:eastAsia="Arial" w:hAnsi="Arial"/>
          <w:sz w:val="16"/>
          <w:szCs w:val="16"/>
          <w:b w:val="1"/>
          <w:bCs w:val="1"/>
          <w:i w:val="1"/>
          <w:iCs w:val="1"/>
          <w:color w:val="auto"/>
        </w:rPr>
        <w:t>Services Term</w:t>
      </w:r>
      <w:r>
        <w:rPr>
          <w:rFonts w:ascii="Arial" w:cs="Arial" w:eastAsia="Arial" w:hAnsi="Arial"/>
          <w:sz w:val="16"/>
          <w:szCs w:val="16"/>
          <w:color w:val="auto"/>
        </w:rPr>
        <w:t>”). Notwithstanding the foregoing, as soon as reasonably practicable following the [***] of the Effective Date, the JSC, subject to approval by the Board of Directors of the Company, shall determine whether the Programme shall proceed or shall terminate, effective as of the date of such approval by the Board of Directors of the Company. In the event of the termination of the Programme in accordance with the immediately preceding sentence, the Company shall pay any outstanding amounts to the ICR that would have been payable by the Company, if any, with respect to each Researcher who was appointed prior to the date of notice of such termination until expiry of the [***] of the date each such Researcher’s contract at the ICR began or, if an individual Researcher is already an employee of the ICR the date such Researcher starts conducting work on the Programme, together with any other costs that the ICR has incurred or committed to which would have been reimbursable by the Company to the ICR but for such decision to terminate, and which cannot be cancelled by the ICR under applicable law. For clarity, if the [***] period applicable to a particular Researcher expired before such termination, no amounts shall be payable by the Company to the ICR with respect to such Researcher as a result of the preceding sentence. During such remaining period of time, the Researchers shall wind down the Programme and conduct such activities as agreed to by the JSC and/or the Parties.</w:t>
      </w:r>
    </w:p>
    <w:p>
      <w:pPr>
        <w:spacing w:after="0" w:line="169"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During the Services Term, each of the ICR and the Company shall use Commercially Reasonable Efforts to conduct all activities allocated to it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Programme.</w:t>
      </w:r>
    </w:p>
    <w:p>
      <w:pPr>
        <w:spacing w:after="0" w:line="168" w:lineRule="exact"/>
        <w:rPr>
          <w:sz w:val="20"/>
          <w:szCs w:val="20"/>
          <w:color w:val="auto"/>
        </w:rPr>
      </w:pPr>
    </w:p>
    <w:p>
      <w:pPr>
        <w:ind w:right="280" w:firstLine="436"/>
        <w:spacing w:after="0" w:line="275"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Each of the Company and the ICR shall keep the JSC fully informed of the identity and qualifications of those of its employees engaged in</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out the Programme.</w:t>
      </w:r>
    </w:p>
    <w:p>
      <w:pPr>
        <w:spacing w:after="0" w:line="168"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Each of the ICR and the Company shall keep or cause to be kept complete, current, accurate, organised and legible records of the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under the Programme, and all data and other Know How resulting from such activities. Such records shall fully and properly reflect all work done and results achieved in the performance of the Programme appropriate for regulatory and patent purposes. Each Party shall have the right to review and copy such records maintained by the other Parties at reasonable times during normal business hours, and in any event no more than [***], and to obtain access to the originals to the extent necessary or useful for regulatory and patent purposes, to the extent such Party has the right to conduct regulatory and patent activities under this Agreement.</w:t>
      </w:r>
    </w:p>
    <w:p>
      <w:pPr>
        <w:spacing w:after="0" w:line="189"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Unless otherwise agreed between the Parties, no Party shall be under an obligation to provide additional resource or facilities over and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those set out in this Agreement. The Programme may only be amended by the prior written agreement of the Parties.</w:t>
      </w:r>
    </w:p>
    <w:p>
      <w:pPr>
        <w:spacing w:after="0" w:line="315" w:lineRule="exact"/>
        <w:rPr>
          <w:sz w:val="20"/>
          <w:szCs w:val="20"/>
          <w:color w:val="auto"/>
        </w:rPr>
      </w:pPr>
    </w:p>
    <w:p>
      <w:pPr>
        <w:ind w:left="440" w:hanging="433"/>
        <w:spacing w:after="0"/>
        <w:tabs>
          <w:tab w:leader="none" w:pos="44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FUNDING</w:t>
      </w:r>
    </w:p>
    <w:p>
      <w:pPr>
        <w:spacing w:after="0" w:line="114" w:lineRule="exact"/>
        <w:rPr>
          <w:sz w:val="20"/>
          <w:szCs w:val="20"/>
          <w:color w:val="auto"/>
        </w:rPr>
      </w:pPr>
    </w:p>
    <w:p>
      <w:pPr>
        <w:jc w:val="both"/>
        <w:ind w:right="200" w:firstLine="436"/>
        <w:spacing w:after="0" w:line="284"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As a contribution to the ICR’s costs of carrying out its allotted tasks under the Programme, the Company shall make payments to the ICR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Payment Schedule. All payments shall be paid [***] in advance with the first such amount being due on the Effective Date. Such payments shall be made directly to the ICR and sent to [***]; Account name: [***]; Account number: [***]; Sort code: [***].</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ICR shall apply the payments received from the Company pursuant to Clause 4.1 solely for the purpose of carrying out the Programme.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68" w:right="519" w:bottom="1440" w:gutter="0" w:footer="0" w:header="0"/>
        </w:sectPr>
      </w:pPr>
    </w:p>
    <w:bookmarkStart w:id="553" w:name="page554"/>
    <w:bookmarkEnd w:id="553"/>
    <w:p>
      <w:pPr>
        <w:ind w:left="440" w:hanging="433"/>
        <w:spacing w:after="0"/>
        <w:tabs>
          <w:tab w:leader="none" w:pos="44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ICR INTERNAL RESEARCH</w:t>
      </w:r>
    </w:p>
    <w:p>
      <w:pPr>
        <w:spacing w:after="0" w:line="114" w:lineRule="exact"/>
        <w:rPr>
          <w:sz w:val="20"/>
          <w:szCs w:val="20"/>
          <w:color w:val="auto"/>
        </w:rPr>
      </w:pPr>
    </w:p>
    <w:p>
      <w:pPr>
        <w:ind w:firstLine="436"/>
        <w:spacing w:after="0" w:line="28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Subject to the terms and conditions of this Agreement, and as further provided in this Clause 5, following the [***] of the Effective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ICR may propose to the JSC that the ICR conduct [***] or more screens of any Compound Library;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screens shall not overlap and shall be materially different from screens undertaken or planned to be undertaken by the Company, as determined by the JSC.</w:t>
      </w:r>
    </w:p>
    <w:p>
      <w:pPr>
        <w:spacing w:after="0" w:line="166" w:lineRule="exact"/>
        <w:rPr>
          <w:sz w:val="20"/>
          <w:szCs w:val="20"/>
          <w:color w:val="auto"/>
        </w:rPr>
      </w:pPr>
    </w:p>
    <w:p>
      <w:pPr>
        <w:ind w:left="1240" w:hanging="250"/>
        <w:spacing w:after="0"/>
        <w:tabs>
          <w:tab w:leader="none" w:pos="1240" w:val="left"/>
        </w:tabs>
        <w:numPr>
          <w:ilvl w:val="0"/>
          <w:numId w:val="468"/>
        </w:numPr>
        <w:rPr>
          <w:rFonts w:ascii="Arial" w:cs="Arial" w:eastAsia="Arial" w:hAnsi="Arial"/>
          <w:sz w:val="18"/>
          <w:szCs w:val="18"/>
          <w:b w:val="1"/>
          <w:bCs w:val="1"/>
          <w:color w:val="auto"/>
        </w:rPr>
      </w:pPr>
      <w:r>
        <w:rPr>
          <w:rFonts w:ascii="Arial" w:cs="Arial" w:eastAsia="Arial" w:hAnsi="Arial"/>
          <w:sz w:val="18"/>
          <w:szCs w:val="18"/>
          <w:color w:val="auto"/>
        </w:rPr>
        <w:t>By way of example:</w:t>
      </w:r>
    </w:p>
    <w:p>
      <w:pPr>
        <w:spacing w:after="0" w:line="220" w:lineRule="exact"/>
        <w:rPr>
          <w:rFonts w:ascii="Arial" w:cs="Arial" w:eastAsia="Arial" w:hAnsi="Arial"/>
          <w:sz w:val="18"/>
          <w:szCs w:val="18"/>
          <w:b w:val="1"/>
          <w:bCs w:val="1"/>
          <w:color w:val="auto"/>
        </w:rPr>
      </w:pPr>
    </w:p>
    <w:p>
      <w:pPr>
        <w:ind w:left="1640" w:hanging="214"/>
        <w:spacing w:after="0"/>
        <w:tabs>
          <w:tab w:leader="none" w:pos="1640"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2220" w:hanging="248"/>
        <w:spacing w:after="0"/>
        <w:tabs>
          <w:tab w:leader="none" w:pos="2220" w:val="left"/>
        </w:tabs>
        <w:numPr>
          <w:ilvl w:val="2"/>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2220" w:hanging="248"/>
        <w:spacing w:after="0"/>
        <w:tabs>
          <w:tab w:leader="none" w:pos="2220" w:val="left"/>
        </w:tabs>
        <w:numPr>
          <w:ilvl w:val="2"/>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680" w:hanging="254"/>
        <w:spacing w:after="0"/>
        <w:tabs>
          <w:tab w:leader="none" w:pos="1680"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2220" w:hanging="248"/>
        <w:spacing w:after="0"/>
        <w:tabs>
          <w:tab w:leader="none" w:pos="2220" w:val="left"/>
        </w:tabs>
        <w:numPr>
          <w:ilvl w:val="2"/>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2220" w:hanging="248"/>
        <w:spacing w:after="0"/>
        <w:tabs>
          <w:tab w:leader="none" w:pos="2220" w:val="left"/>
        </w:tabs>
        <w:numPr>
          <w:ilvl w:val="2"/>
          <w:numId w:val="46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firstLine="990"/>
        <w:spacing w:after="0" w:line="275" w:lineRule="auto"/>
        <w:tabs>
          <w:tab w:leader="none" w:pos="1245" w:val="left"/>
        </w:tabs>
        <w:numPr>
          <w:ilvl w:val="0"/>
          <w:numId w:val="468"/>
        </w:numPr>
        <w:rPr>
          <w:rFonts w:ascii="Arial" w:cs="Arial" w:eastAsia="Arial" w:hAnsi="Arial"/>
          <w:sz w:val="17"/>
          <w:szCs w:val="17"/>
          <w:b w:val="1"/>
          <w:bCs w:val="1"/>
          <w:color w:val="auto"/>
        </w:rPr>
      </w:pPr>
      <w:r>
        <w:rPr>
          <w:rFonts w:ascii="Arial" w:cs="Arial" w:eastAsia="Arial" w:hAnsi="Arial"/>
          <w:sz w:val="17"/>
          <w:szCs w:val="17"/>
          <w:color w:val="auto"/>
        </w:rPr>
        <w:t>After receipt of JSC approval, if any, the ICR may conduct such screen in accordance with the parameters and a written work plan approved by the JSC (the “</w:t>
      </w:r>
      <w:r>
        <w:rPr>
          <w:rFonts w:ascii="Arial" w:cs="Arial" w:eastAsia="Arial" w:hAnsi="Arial"/>
          <w:sz w:val="17"/>
          <w:szCs w:val="17"/>
          <w:b w:val="1"/>
          <w:bCs w:val="1"/>
          <w:i w:val="1"/>
          <w:iCs w:val="1"/>
          <w:color w:val="auto"/>
        </w:rPr>
        <w:t>ICR Internal Research</w:t>
      </w:r>
      <w:r>
        <w:rPr>
          <w:rFonts w:ascii="Arial" w:cs="Arial" w:eastAsia="Arial" w:hAnsi="Arial"/>
          <w:sz w:val="17"/>
          <w:szCs w:val="17"/>
          <w:color w:val="auto"/>
        </w:rPr>
        <w:t>”). In the event the Parties dispute any matters to be determined or approved by the JSC pursuant to this Clause 5.1, the Parties shall first seek to resolve such dispute in accordance with Clause 32.2. In the event such dispute is not resolved in accordance with Clause 32.2, the Parties shall refer such dispute to an Expert for resolution in accordance with Clause 32.1.</w:t>
      </w:r>
    </w:p>
    <w:p>
      <w:pPr>
        <w:spacing w:after="0" w:line="170" w:lineRule="exact"/>
        <w:rPr>
          <w:sz w:val="20"/>
          <w:szCs w:val="20"/>
          <w:color w:val="auto"/>
        </w:rPr>
      </w:pPr>
    </w:p>
    <w:p>
      <w:pPr>
        <w:ind w:right="120" w:firstLine="436"/>
        <w:spacing w:after="0" w:line="30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The ICR shall promptly notify the JSC of any ICR Internal Research Program Hits and ICR Research Target IP, and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ICR, acting through the JSC and subject to approval by the Board of Directors of the Company, shall jointly assess any ICR Internal Research Program Hits and ICR Research Target IP to determine the progression route, which shall be selected from the following two (2) options.</w:t>
      </w:r>
    </w:p>
    <w:p>
      <w:pPr>
        <w:spacing w:after="0" w:line="145" w:lineRule="exact"/>
        <w:rPr>
          <w:sz w:val="20"/>
          <w:szCs w:val="20"/>
          <w:color w:val="auto"/>
        </w:rPr>
      </w:pPr>
    </w:p>
    <w:p>
      <w:pPr>
        <w:ind w:left="1240" w:hanging="250"/>
        <w:spacing w:after="0"/>
        <w:tabs>
          <w:tab w:leader="none" w:pos="124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Option A</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right="140" w:firstLine="1426"/>
        <w:spacing w:after="0" w:line="251" w:lineRule="auto"/>
        <w:tabs>
          <w:tab w:leader="none" w:pos="1632" w:val="left"/>
        </w:tabs>
        <w:numPr>
          <w:ilvl w:val="1"/>
          <w:numId w:val="469"/>
        </w:numPr>
        <w:rPr>
          <w:rFonts w:ascii="Arial" w:cs="Arial" w:eastAsia="Arial" w:hAnsi="Arial"/>
          <w:sz w:val="18"/>
          <w:szCs w:val="18"/>
          <w:b w:val="1"/>
          <w:bCs w:val="1"/>
          <w:color w:val="auto"/>
        </w:rPr>
      </w:pPr>
      <w:r>
        <w:rPr>
          <w:rFonts w:ascii="Arial" w:cs="Arial" w:eastAsia="Arial" w:hAnsi="Arial"/>
          <w:sz w:val="18"/>
          <w:szCs w:val="18"/>
          <w:color w:val="auto"/>
        </w:rPr>
        <w:t>The Company may elect to progress a drug discovery program with respect to such ICR Interna Research Program Hits and any corresponding ICR Internal Target in which the Company would conduct research and development activities to develop and select a Pre-Clinical Candidate (and if mutually agreed, undertake phase I tria1(s)) exclusively in collaboration with the ICR, with the allocation of such research and development activities between the ICR, the Company and appropriate third parties as mutually agreed, and the Company would have exclusive commercialization rights, in each case in accordance with the terms of clause 5.2(a)(ii) below (each, an “</w:t>
      </w:r>
      <w:r>
        <w:rPr>
          <w:rFonts w:ascii="Arial" w:cs="Arial" w:eastAsia="Arial" w:hAnsi="Arial"/>
          <w:sz w:val="18"/>
          <w:szCs w:val="18"/>
          <w:b w:val="1"/>
          <w:bCs w:val="1"/>
          <w:i w:val="1"/>
          <w:iCs w:val="1"/>
          <w:color w:val="auto"/>
        </w:rPr>
        <w:t>Option A Program</w:t>
      </w:r>
      <w:r>
        <w:rPr>
          <w:rFonts w:ascii="Arial" w:cs="Arial" w:eastAsia="Arial" w:hAnsi="Arial"/>
          <w:sz w:val="18"/>
          <w:szCs w:val="18"/>
          <w:color w:val="auto"/>
        </w:rPr>
        <w:t>”). The research and development costs of such Option A Program shall be funded by or on behalf of the Company, or shared with the ICR, as mutually agreed to by the Company and the ICR in writing.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68" w:right="519" w:bottom="1440" w:gutter="0" w:footer="0" w:header="0"/>
        </w:sectPr>
      </w:pPr>
    </w:p>
    <w:bookmarkStart w:id="554" w:name="page555"/>
    <w:bookmarkEnd w:id="554"/>
    <w:p>
      <w:pPr>
        <w:ind w:left="-7" w:firstLine="1426"/>
        <w:spacing w:after="0" w:line="279" w:lineRule="auto"/>
        <w:tabs>
          <w:tab w:leader="none" w:pos="1674" w:val="left"/>
        </w:tabs>
        <w:numPr>
          <w:ilvl w:val="1"/>
          <w:numId w:val="47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CRT and the ICR shall negotiate in good faith and enter into a definitive development and license agreement with respect to such Option A Program, the terms and conditions of which shall provide for the following, unless otherwise agreed in writing by the Company and the ICR: (1) all intellectual property rights developed in connection with research and development activities conducted in collaboration by CRT, the ICR and the Company under such Option A Program shall be jointly owned by the Company, CRT and the ICR, excluding the ICR Internal Research Program Hits, which are subject to Clause 6.1; (2) CRT and the ICR shall grant to the Company (a) a worldwide, exclusive, sub-licensable license under their rights in the applicable Project Compound Intellectual Property, and (b) a worldwide, sub-licensable license under their rights in the applicable Project Non-Compound Intellectual Property and ICR Research Target IP, in each case for all purposes in the Field, which license may be exclusive or non-exclusive as to specific Project Non-Compound Intellectual Property and ICR Research Target IP as agreed, on commercially reasonable and customary terms, taking into account [***]; (3) the Company shall have the first right to manage the prosecution, filing and maintenance of such Project Compound Intellectual Property and Project Non-Compound Intellectual Property (subject to CRT and the ICR having step-in rights in the event that the Company does not file, or continue to prosecute and maintain any such intellectual property rights) and the commercialization strategy with respect thereto; (4) as between the Parties, all intellectual property rights developed by or on behalf of the Company outside of the research and development activities conducted in collaboration by CRT, the ICR and the Company under such Option A Program shall be solely owned and managed by the Company; (5) the Company shall grant to CRT and the ICR a worldwide, non-exclusive, sub-licensable licence under its rights (including rights granted under (2) above) in such Project Non-Compound Intellectual Property and ICR Research Target IP for all purposes, subject to [***], in each case with details taking the Parties’ interests into account to be negotiated in the definitive agreement for the Option A Program; and (6) during the term of the research and development collaboration period between the ICR and the Company and for [***] thereafter, CTU shall not conduct another drug discovery project against the relevant ICR Internal Target (save that for the avoidance of doubt nothing shall prohibit the CTU from continuing any drug discovery project against the relevant ICR Internal Target where such project was initiated prior to the identification of the ICR Internal Target pursuant to the ICR Internal Research). “</w:t>
      </w:r>
      <w:r>
        <w:rPr>
          <w:rFonts w:ascii="Arial" w:cs="Arial" w:eastAsia="Arial" w:hAnsi="Arial"/>
          <w:sz w:val="16"/>
          <w:szCs w:val="16"/>
          <w:b w:val="1"/>
          <w:bCs w:val="1"/>
          <w:i w:val="1"/>
          <w:iCs w:val="1"/>
          <w:color w:val="auto"/>
        </w:rPr>
        <w:t>Project Compound Intellectual Property</w:t>
      </w:r>
      <w:r>
        <w:rPr>
          <w:rFonts w:ascii="Arial" w:cs="Arial" w:eastAsia="Arial" w:hAnsi="Arial"/>
          <w:sz w:val="16"/>
          <w:szCs w:val="16"/>
          <w:color w:val="auto"/>
        </w:rPr>
        <w:t>” means, with respect a particular Option A Program, that part of the intellectual property referred to in (1) above that consists of, contains or relates directly and solely to any such Option A Program compound (such Option A Program compounds to be defined in the definitive agreement), but for the avoidance of doubt excludes the ICR Internal Research Program Hits, and the intellectual property referred to in paragraph (b) of the definition of Project Non-Compound Intellectual Property. “</w:t>
      </w:r>
      <w:r>
        <w:rPr>
          <w:rFonts w:ascii="Arial" w:cs="Arial" w:eastAsia="Arial" w:hAnsi="Arial"/>
          <w:sz w:val="16"/>
          <w:szCs w:val="16"/>
          <w:b w:val="1"/>
          <w:bCs w:val="1"/>
          <w:i w:val="1"/>
          <w:iCs w:val="1"/>
          <w:color w:val="auto"/>
        </w:rPr>
        <w:t>Project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Non-Compound Intellectual Property</w:t>
      </w:r>
      <w:r>
        <w:rPr>
          <w:rFonts w:ascii="Arial" w:cs="Arial" w:eastAsia="Arial" w:hAnsi="Arial"/>
          <w:sz w:val="16"/>
          <w:szCs w:val="16"/>
          <w:color w:val="auto"/>
        </w:rPr>
        <w:t>” means, with respect a particular Option A Program, (a) that part of the intellectual property referred to in</w:t>
      </w:r>
    </w:p>
    <w:p>
      <w:pPr>
        <w:spacing w:after="0" w:line="15" w:lineRule="exact"/>
        <w:rPr>
          <w:rFonts w:ascii="Arial" w:cs="Arial" w:eastAsia="Arial" w:hAnsi="Arial"/>
          <w:sz w:val="16"/>
          <w:szCs w:val="16"/>
          <w:b w:val="1"/>
          <w:bCs w:val="1"/>
          <w:color w:val="auto"/>
        </w:rPr>
      </w:pPr>
    </w:p>
    <w:p>
      <w:pPr>
        <w:ind w:left="253" w:hanging="253"/>
        <w:spacing w:after="0"/>
        <w:tabs>
          <w:tab w:leader="none" w:pos="253" w:val="left"/>
        </w:tabs>
        <w:numPr>
          <w:ilvl w:val="0"/>
          <w:numId w:val="471"/>
        </w:numPr>
        <w:rPr>
          <w:rFonts w:ascii="Arial" w:cs="Arial" w:eastAsia="Arial" w:hAnsi="Arial"/>
          <w:sz w:val="16"/>
          <w:szCs w:val="16"/>
          <w:color w:val="auto"/>
        </w:rPr>
      </w:pPr>
      <w:r>
        <w:rPr>
          <w:rFonts w:ascii="Arial" w:cs="Arial" w:eastAsia="Arial" w:hAnsi="Arial"/>
          <w:sz w:val="16"/>
          <w:szCs w:val="16"/>
          <w:color w:val="auto"/>
        </w:rPr>
        <w:t>above which is not Project Compound Intellectual Property, and (b) includes without limitation that part of the intellectual property referred to in</w:t>
      </w:r>
    </w:p>
    <w:p>
      <w:pPr>
        <w:spacing w:after="0" w:line="30" w:lineRule="exact"/>
        <w:rPr>
          <w:sz w:val="20"/>
          <w:szCs w:val="20"/>
          <w:color w:val="auto"/>
        </w:rPr>
      </w:pPr>
    </w:p>
    <w:p>
      <w:pPr>
        <w:ind w:left="-7" w:right="120" w:firstLine="7"/>
        <w:spacing w:after="0" w:line="252" w:lineRule="auto"/>
        <w:tabs>
          <w:tab w:leader="none" w:pos="24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above that consists of, contains or relates to targets, biomarkers, assays, protocols and synthetic routes, insights regarding biochemical interactions, formulations and processes for manufacture or use which have applicability outside the chemical matter comprising Project Compound Intellectual Property, but excludes the ICR Internal Research Program Hits.</w:t>
      </w:r>
    </w:p>
    <w:p>
      <w:pPr>
        <w:spacing w:after="0" w:line="12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73"/>
          </w:cols>
          <w:pgMar w:left="487" w:top="272" w:right="539" w:bottom="1440" w:gutter="0" w:footer="0" w:header="0"/>
        </w:sectPr>
      </w:pPr>
    </w:p>
    <w:bookmarkStart w:id="555" w:name="page556"/>
    <w:bookmarkEnd w:id="555"/>
    <w:p>
      <w:pPr>
        <w:jc w:val="both"/>
        <w:ind w:right="60" w:firstLine="990"/>
        <w:spacing w:after="0" w:line="261" w:lineRule="auto"/>
        <w:tabs>
          <w:tab w:leader="none" w:pos="1244"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 B</w:t>
      </w:r>
      <w:r>
        <w:rPr>
          <w:rFonts w:ascii="Arial" w:cs="Arial" w:eastAsia="Arial" w:hAnsi="Arial"/>
          <w:sz w:val="18"/>
          <w:szCs w:val="18"/>
          <w:color w:val="auto"/>
        </w:rPr>
        <w:t>. If the Company elects not to progress a drug discovery program as an Option A Program as provided in Clause 5.2(a), 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ICR may elect to progress a drug discovery program with respect to any ICR Internal Target corresponding to such ICR Internal Research Program Hits in accordance with Clause 5.2(c), if:</w:t>
      </w:r>
    </w:p>
    <w:p>
      <w:pPr>
        <w:spacing w:after="0" w:line="184" w:lineRule="exact"/>
        <w:rPr>
          <w:rFonts w:ascii="Arial" w:cs="Arial" w:eastAsia="Arial" w:hAnsi="Arial"/>
          <w:sz w:val="18"/>
          <w:szCs w:val="18"/>
          <w:b w:val="1"/>
          <w:bCs w:val="1"/>
          <w:color w:val="auto"/>
        </w:rPr>
      </w:pPr>
    </w:p>
    <w:p>
      <w:pPr>
        <w:ind w:left="1640" w:hanging="214"/>
        <w:spacing w:after="0"/>
        <w:tabs>
          <w:tab w:leader="none" w:pos="1640"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680" w:hanging="254"/>
        <w:spacing w:after="0"/>
        <w:tabs>
          <w:tab w:leader="none" w:pos="1680"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0" w:lineRule="exact"/>
        <w:rPr>
          <w:rFonts w:ascii="Arial" w:cs="Arial" w:eastAsia="Arial" w:hAnsi="Arial"/>
          <w:sz w:val="18"/>
          <w:szCs w:val="18"/>
          <w:b w:val="1"/>
          <w:bCs w:val="1"/>
          <w:color w:val="auto"/>
        </w:rPr>
      </w:pPr>
    </w:p>
    <w:p>
      <w:pPr>
        <w:ind w:left="1740" w:hanging="314"/>
        <w:spacing w:after="0"/>
        <w:tabs>
          <w:tab w:leader="none" w:pos="1740"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the aim is to develop a Non-Protein Degradation Product.</w:t>
      </w:r>
    </w:p>
    <w:p>
      <w:pPr>
        <w:spacing w:after="0" w:line="221" w:lineRule="exact"/>
        <w:rPr>
          <w:sz w:val="20"/>
          <w:szCs w:val="20"/>
          <w:color w:val="auto"/>
        </w:rPr>
      </w:pPr>
    </w:p>
    <w:p>
      <w:pPr>
        <w:ind w:right="240" w:firstLine="436"/>
        <w:spacing w:after="0" w:line="281" w:lineRule="auto"/>
        <w:rPr>
          <w:sz w:val="20"/>
          <w:szCs w:val="20"/>
          <w:color w:val="auto"/>
        </w:rPr>
      </w:pPr>
      <w:r>
        <w:rPr>
          <w:rFonts w:ascii="Arial" w:cs="Arial" w:eastAsia="Arial" w:hAnsi="Arial"/>
          <w:sz w:val="17"/>
          <w:szCs w:val="17"/>
          <w:color w:val="auto"/>
        </w:rPr>
        <w:t>In the event the Parties dispute whether a progressable target has been identified under the Programme, solely for the purposes of this Clause 5.2(b), the Parties shall first seek to resolve such dispute in accordance with Clause 32.2. In the event such dispute is not resolved in accordance with Clause 32.2, the Parties shall refer such dispute to an Expert for resolution in accordance with Clause 32.1.</w:t>
      </w:r>
    </w:p>
    <w:p>
      <w:pPr>
        <w:spacing w:after="0" w:line="169" w:lineRule="exact"/>
        <w:rPr>
          <w:sz w:val="20"/>
          <w:szCs w:val="20"/>
          <w:color w:val="auto"/>
        </w:rPr>
      </w:pPr>
    </w:p>
    <w:p>
      <w:pPr>
        <w:ind w:firstLine="990"/>
        <w:spacing w:after="0" w:line="270" w:lineRule="auto"/>
        <w:tabs>
          <w:tab w:leader="none" w:pos="1224" w:val="left"/>
        </w:tabs>
        <w:numPr>
          <w:ilvl w:val="0"/>
          <w:numId w:val="474"/>
        </w:numPr>
        <w:rPr>
          <w:rFonts w:ascii="Arial" w:cs="Arial" w:eastAsia="Arial" w:hAnsi="Arial"/>
          <w:sz w:val="17"/>
          <w:szCs w:val="17"/>
          <w:b w:val="1"/>
          <w:bCs w:val="1"/>
          <w:color w:val="auto"/>
        </w:rPr>
      </w:pPr>
      <w:r>
        <w:rPr>
          <w:rFonts w:ascii="Arial" w:cs="Arial" w:eastAsia="Arial" w:hAnsi="Arial"/>
          <w:sz w:val="17"/>
          <w:szCs w:val="17"/>
          <w:color w:val="auto"/>
        </w:rPr>
        <w:t>Subject to the terms and conditions of this Clause 5.2(c), in the event the conditions of Clause 5.2(b) are met, the ICR may elect to progress a Non-Degradation Program with respect to such ICR Internal Target, at its sole cost (as between the Parties). For clarity, in no event will any Non-Degradation Program include the aim of developing any Protein Degradation Product. All intellectual property rights developed in connection with such Non-Degradation Program shall by jointly owned by CRT and the ICR in equal and undivided shares, without regards to the inventorship thereof, excluding the ICR Internal Research Program Hits, which are subject to Clause 6.1. Each Party hereby assigns and agrees to assign such of its interest in and to such intellectual property rights as is necessary to effect such vesting.</w:t>
      </w:r>
    </w:p>
    <w:p>
      <w:pPr>
        <w:spacing w:after="0" w:line="178" w:lineRule="exact"/>
        <w:rPr>
          <w:rFonts w:ascii="Arial" w:cs="Arial" w:eastAsia="Arial" w:hAnsi="Arial"/>
          <w:sz w:val="17"/>
          <w:szCs w:val="17"/>
          <w:b w:val="1"/>
          <w:bCs w:val="1"/>
          <w:color w:val="auto"/>
        </w:rPr>
      </w:pPr>
    </w:p>
    <w:p>
      <w:pPr>
        <w:ind w:right="120" w:firstLine="1426"/>
        <w:spacing w:after="0" w:line="259" w:lineRule="auto"/>
        <w:tabs>
          <w:tab w:leader="none" w:pos="1632" w:val="left"/>
        </w:tabs>
        <w:numPr>
          <w:ilvl w:val="1"/>
          <w:numId w:val="474"/>
        </w:numPr>
        <w:rPr>
          <w:rFonts w:ascii="Arial" w:cs="Arial" w:eastAsia="Arial" w:hAnsi="Arial"/>
          <w:sz w:val="18"/>
          <w:szCs w:val="18"/>
          <w:b w:val="1"/>
          <w:bCs w:val="1"/>
          <w:color w:val="auto"/>
        </w:rPr>
      </w:pPr>
      <w:r>
        <w:rPr>
          <w:rFonts w:ascii="Arial" w:cs="Arial" w:eastAsia="Arial" w:hAnsi="Arial"/>
          <w:sz w:val="18"/>
          <w:szCs w:val="18"/>
          <w:color w:val="auto"/>
        </w:rPr>
        <w:t>The ICR shall provide the JSC and the Company with a Progress Report with respect to each Non-Degradation Program at least once every [***]. Such Progress Report shall summarise in reasonable detail the results of the Non-Degradation Program during such period, unless agreed otherwise by the Parties.</w:t>
      </w:r>
    </w:p>
    <w:p>
      <w:pPr>
        <w:spacing w:after="0" w:line="185" w:lineRule="exact"/>
        <w:rPr>
          <w:rFonts w:ascii="Arial" w:cs="Arial" w:eastAsia="Arial" w:hAnsi="Arial"/>
          <w:sz w:val="18"/>
          <w:szCs w:val="18"/>
          <w:b w:val="1"/>
          <w:bCs w:val="1"/>
          <w:color w:val="auto"/>
        </w:rPr>
      </w:pPr>
    </w:p>
    <w:p>
      <w:pPr>
        <w:ind w:firstLine="1426"/>
        <w:spacing w:after="0" w:line="265" w:lineRule="auto"/>
        <w:tabs>
          <w:tab w:leader="none" w:pos="1681" w:val="left"/>
        </w:tabs>
        <w:numPr>
          <w:ilvl w:val="1"/>
          <w:numId w:val="474"/>
        </w:numPr>
        <w:rPr>
          <w:rFonts w:ascii="Arial" w:cs="Arial" w:eastAsia="Arial" w:hAnsi="Arial"/>
          <w:sz w:val="17"/>
          <w:szCs w:val="17"/>
          <w:b w:val="1"/>
          <w:bCs w:val="1"/>
          <w:color w:val="auto"/>
        </w:rPr>
      </w:pPr>
      <w:r>
        <w:rPr>
          <w:rFonts w:ascii="Arial" w:cs="Arial" w:eastAsia="Arial" w:hAnsi="Arial"/>
          <w:sz w:val="17"/>
          <w:szCs w:val="17"/>
          <w:color w:val="auto"/>
        </w:rPr>
        <w:t>As soon as reasonably practicable after the JSC determines that a Non-Degradation Program satisfies the Lead Series Criteria, the ICR shall provide written notice of the same to the Company, and within [***] of such notice deliver to the Company a Data Package with respect to such Non-Degradation Program. The Company shall have the right to request, whilst at all times acting reasonably, any additional information required to make such Data Package complete within [***] of such notice, and the ICR shall provide such requested information to the Company to the extent it is available within [***] of such request. Within [***] after receipt of each such complete Data Package, the Company will have the right to deliver written notice to the ICR and CRT of its interest in progressing such Non-Degradation Program by conducting research and development activities to develop and select a Pre-Clinical Candidate (and if mutually agreed, undertake phase I trial(s)) exclusively in collaboration with the ICR, with the allocation of such research and development activities between the ICR, the Company and appropriate third parties as mutually agreed, and the Company would have exclusive commercialization rights, in each case in accordance with the terms of this Clause 5.2( c)(ii) (each, a “</w:t>
      </w:r>
      <w:r>
        <w:rPr>
          <w:rFonts w:ascii="Arial" w:cs="Arial" w:eastAsia="Arial" w:hAnsi="Arial"/>
          <w:sz w:val="17"/>
          <w:szCs w:val="17"/>
          <w:b w:val="1"/>
          <w:bCs w:val="1"/>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and, if the Company provides the Notice of Interest, the Parties shall promptly enter into good faith negotiations with respect to a definitive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license agreement (including the grant by CRT and the ICR to the Company of rights to intellectual property rights developed in connection with such Non-Degradation Program) in accordance with the terms outlined in Clause 5.2(a)(ii), provided that (a) references to “Option A Program” shall be replaced by “Non-Degradation Program”, and (b) it is understood that the part of the intellectual property referred to in part (1) of such Clause 5.2(a)(ii) that is developed prior to the effective date of such definitive development and license agreement shall be jointly owned by CRT and the ICR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480" w:top="268" w:right="539" w:bottom="1440" w:gutter="0" w:footer="0" w:header="0"/>
        </w:sectPr>
      </w:pPr>
    </w:p>
    <w:bookmarkStart w:id="556" w:name="page557"/>
    <w:bookmarkEnd w:id="556"/>
    <w:p>
      <w:pPr>
        <w:ind w:firstLine="1426"/>
        <w:spacing w:after="0" w:line="285" w:lineRule="auto"/>
        <w:tabs>
          <w:tab w:leader="none" w:pos="1731" w:val="left"/>
        </w:tabs>
        <w:numPr>
          <w:ilvl w:val="0"/>
          <w:numId w:val="47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Company does not provide a Notice of Interest with respect to a Non-Degradation Program within the applicable [***] period, then the ICR shall promptly provide written notice of the same, including the complete Data Package for such Non-Degradation Program, to Versant Ventures. Within [***] after delivery of such notice, Versant Ventures will have the right to deliver written notice to the ICR and CRT of its interest in such Non-Degradation Program and, if Versant Ventures delivers such notice, CRT, the ICR and Versant Ventures shall, as soon as reasonably practicable after delivery of such notice, enter into good faith arms-length negotiations with respect to a definitive development and license agreement among CRT, the ICR and a new company to be funded by Versant Ventures (including the grant by CRT and the IC to the such new company of rights to intellectual property rights developed in connection with such Non-Degradation Program) in accordance with the terms outlined in Clause 5.2(a)(ii), provided that (a) references to “Option A Program” shall be replaced by “Non-Degradation Program”, (b) references to “Company” shall mean such new company, and (c) it is understood that the part of the intellectual property referred to in part (1) of such Clause 5.2(a)(ii) that is developed prior to the effective date of such definitive development and license agreement shall be jointly owned by CRT and the ICR only.</w:t>
      </w:r>
    </w:p>
    <w:p>
      <w:pPr>
        <w:spacing w:after="0" w:line="168" w:lineRule="exact"/>
        <w:rPr>
          <w:rFonts w:ascii="Arial" w:cs="Arial" w:eastAsia="Arial" w:hAnsi="Arial"/>
          <w:sz w:val="16"/>
          <w:szCs w:val="16"/>
          <w:b w:val="1"/>
          <w:bCs w:val="1"/>
          <w:color w:val="auto"/>
        </w:rPr>
      </w:pPr>
    </w:p>
    <w:p>
      <w:pPr>
        <w:ind w:left="1720" w:hanging="294"/>
        <w:spacing w:after="0"/>
        <w:tabs>
          <w:tab w:leader="none" w:pos="1720" w:val="left"/>
        </w:tabs>
        <w:numPr>
          <w:ilvl w:val="0"/>
          <w:numId w:val="475"/>
        </w:numPr>
        <w:rPr>
          <w:rFonts w:ascii="Arial" w:cs="Arial" w:eastAsia="Arial" w:hAnsi="Arial"/>
          <w:sz w:val="16"/>
          <w:szCs w:val="16"/>
          <w:b w:val="1"/>
          <w:bCs w:val="1"/>
          <w:color w:val="auto"/>
        </w:rPr>
      </w:pPr>
      <w:r>
        <w:rPr>
          <w:rFonts w:ascii="Arial" w:cs="Arial" w:eastAsia="Arial" w:hAnsi="Arial"/>
          <w:sz w:val="16"/>
          <w:szCs w:val="16"/>
          <w:color w:val="auto"/>
        </w:rPr>
        <w:t>If the Company does not provide a Notice of Interest with respect to a Non-Degradation Program in accordance with Clause</w:t>
      </w:r>
    </w:p>
    <w:p>
      <w:pPr>
        <w:spacing w:after="0" w:line="4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5.2(c)(ii) and Versant Ventures does not provide a written notice of its interest to the ICR with respect to such Non-Degradation Program in accordance with Clause 5.2(c)(iii), then the ICR shall have the right to continue pursuing such Non-Degradation Program at its sole cost (as between the Parties) and, subject to Clause 5.2(c)(v), the ICR and CRT shall be free to further discover, develop and commercialise such Non-Degradation Program (including by granting licences to any Third Parties) without any further obligation to Company. CRT and the ICR shall share with Company a percentage (%) of net revenues they receive from their commercialisation of such Non-Degradation Program, such percentage to be agreed between the Parties at or prior to the time of commercialisation to reflect the ICR’s initial use of the Compound Library.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557" w:name="page558"/>
    <w:bookmarkEnd w:id="557"/>
    <w:p>
      <w:pPr>
        <w:ind w:firstLine="1426"/>
        <w:spacing w:after="0" w:line="265" w:lineRule="auto"/>
        <w:tabs>
          <w:tab w:leader="none" w:pos="1671" w:val="left"/>
        </w:tabs>
        <w:numPr>
          <w:ilvl w:val="0"/>
          <w:numId w:val="47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that CRT and/or the ICR has not entered into a commercial collaboration, partnership or licence with a Third Party in relation to a Non-Degradation Program that was not licensed to either the Company or Versant Ventures in accordance with Clause 5.2(c)(ii) or 5.2(c) (iii), as soon as reasonably practicable after the JSC determines that a pre-clinical development candidate identified under such Non-Degradation Program satisfies the Pre-Clinical Candidate Criteria; the ICR shall provide written notice of the same to the Company, and within [***] of such notice deliver to the Company a Data Package with respect to such Pre-Clinical Candidate. The Company shall have the right to request, whilst at all times acting reasonably, any additional information required to make such Data Package complete within [***] of such notice, the ICR shall provide such requested information to the Company to the extent it is available within [***] of such request. Within [***] after receipt of each such complete Data Package, the Company will have the right to deliver written notice to the ICR and CRT of its interest in such Pre- Clinical Candidate and, if the Company provides such notice, the Parties shall promptly enter into good faith negotiations with respect to the grant of rights by CRT and the ICR to the Company to such Pre-Clinical Candidate and related Non-Degradation Program in accordance with the terms outlined in Clause 5.2(a)(ii). If the Company does not provide such a notice with respect to a Non-Degradation Program in accordance with this Clause: (A) CRT and the ICR shall be entitled to further discover, develop and commercialise (including granting licences to any Third Parties) without any further obligation to Company; and (B) CRT and the ICR shall share with Company a percentage (%) of net revenues they receive from their commercialisation of such Non-Degradation Program, such percentage to be agreed between the Parties at or prior to the time of commercialisation to reflect the ICR’s initial use of the Compound Library.</w:t>
      </w:r>
    </w:p>
    <w:p>
      <w:pPr>
        <w:spacing w:after="0" w:line="182" w:lineRule="exact"/>
        <w:rPr>
          <w:sz w:val="20"/>
          <w:szCs w:val="20"/>
          <w:color w:val="auto"/>
        </w:rPr>
      </w:pPr>
    </w:p>
    <w:p>
      <w:pPr>
        <w:ind w:right="120" w:firstLine="436"/>
        <w:spacing w:after="0" w:line="268"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color w:val="auto"/>
        </w:rPr>
        <w:t>The Company shall have no right to progress arty drug discovery program with respect to any target identified through the ICR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for the purposes of developing a product without the prior written approval of CRT and the ICR, except that the foregoing shall not limit or restrict the Company, directly or indirectly, from progressing any drug discovery program with respect to any target (i) that is identified as part of the Programme, (ii) that is part of any drug discovery program for which the Company has exercised its right to obtain rights to such program pursuant to Sections 5.2(a) or 5.2(c) and as permitted under the terms subsequently agreed in respect of such drug discovery program in accordance with those Clauses, or (iii) that is independently identified by or on behalf of the Company without the use of the CRT/ICR Existing Intellectual Property. In the event CRT and the ICR provide written approval for any drug discovery program that requires such approval under the preceding sentence independent of Clause 5.2(a), the Parties sha negotiate in good faith a definitive development agreement with respect to such drug discovery program on commercially reasonable and customary terms, which, for clarity, may include [***].</w:t>
      </w:r>
    </w:p>
    <w:p>
      <w:pPr>
        <w:spacing w:after="0" w:line="175"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Subject to the rights and obligations set forth in this Clause 5 with respect to any target identified through the ICR Internal Research, nothing</w:t>
      </w:r>
      <w:r>
        <w:rPr>
          <w:rFonts w:ascii="Arial" w:cs="Arial" w:eastAsia="Arial" w:hAnsi="Arial"/>
          <w:sz w:val="16"/>
          <w:szCs w:val="16"/>
          <w:b w:val="1"/>
          <w:bCs w:val="1"/>
          <w:color w:val="auto"/>
        </w:rPr>
        <w:t xml:space="preserve"> </w:t>
      </w:r>
      <w:r>
        <w:rPr>
          <w:rFonts w:ascii="Arial" w:cs="Arial" w:eastAsia="Arial" w:hAnsi="Arial"/>
          <w:sz w:val="16"/>
          <w:szCs w:val="16"/>
          <w:color w:val="auto"/>
        </w:rPr>
        <w:t>shall limit or restrict the ICR, CRT or CRUK, directly or indirectly, from progressing a drug discovery program outside of this Agreement with respect to any target (i) where such drug discovery program has been initiated prior to identification of such target under the Programme; or (ii) that is independently identified by or on behalf of the ICR, CRT, CRUK or a collaborative partner of any of them without the use of the Programme Intellectual Property or in breach of this Agreement. Nothing shall limit or restrict the Company, directly or indirectly, from progressing a drug discovery program outside of this Agreement with respect to any target that is independently identified by or on behalf of the Company or a collaborative partner of any of them without the use of the CRT/ICR Existing Intellectual Property, Programme Intellectual Property or, as applicable, Project Compound Intellectual Property or Project Non-Compound Intellectual Property, or in breach of this Agreement.</w:t>
      </w:r>
    </w:p>
    <w:p>
      <w:pPr>
        <w:spacing w:after="0" w:line="313" w:lineRule="exact"/>
        <w:rPr>
          <w:sz w:val="20"/>
          <w:szCs w:val="20"/>
          <w:color w:val="auto"/>
        </w:rPr>
      </w:pPr>
    </w:p>
    <w:p>
      <w:pPr>
        <w:ind w:left="440" w:hanging="433"/>
        <w:spacing w:after="0"/>
        <w:tabs>
          <w:tab w:leader="none" w:pos="44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INTELLECTUAL PROPERTY</w:t>
      </w:r>
    </w:p>
    <w:p>
      <w:pPr>
        <w:spacing w:after="0" w:line="114"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Subject to any licenses granted to CRT and/or the ICR hereunder, as among the Parties, all rights in and to the Programme Intellectual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and ICR Internal Research Program Hits shall vest solely in the Company, without regards to the inventorship thereof. Each of CRT and the ICR hereby assigns to the Company (or if assignment is not permitted, waives enforcement of or grants to the Company an exclusive, irrevocable, perpetual, worldwide, fully paid license, with the right to sublicense through multiple tiers of sublicense under) all right, title and interest CRT and the ICR, as applicable, may have in and to Programme Intellectual Property and ICR Internal Research Program Hits arid shall cooperate fully, including by providing any reasonably necessary and suitably limited powers of attorney and assignments and executing all other papers and instruments, and requiring its employees and subcontractors, to execute such reasonably necessary and suitably limited powers of attorney and assignments and all other papers and instruments, to effectuate the ownership of the Company and to enable the Company to file, prosecute, defend and enforce any Patents in such Programme Intellectual Property in any country.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80" w:top="272" w:right="499" w:bottom="1440" w:gutter="0" w:footer="0" w:header="0"/>
        </w:sectPr>
      </w:pPr>
    </w:p>
    <w:bookmarkStart w:id="558" w:name="page559"/>
    <w:bookmarkEnd w:id="558"/>
    <w:p>
      <w:pPr>
        <w:ind w:right="80" w:firstLine="436"/>
        <w:spacing w:after="0" w:line="29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6.2 </w:t>
      </w:r>
      <w:r>
        <w:rPr>
          <w:rFonts w:ascii="Arial" w:cs="Arial" w:eastAsia="Arial" w:hAnsi="Arial"/>
          <w:sz w:val="16"/>
          <w:szCs w:val="16"/>
          <w:color w:val="auto"/>
        </w:rPr>
        <w:t>All rights in and to the ICR Research Target IP shall vest jointly in CRT and the ICR and the Company in equal and undivided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regards to the inventorship thereof. Each Party hereby assigns and agrees to assign such of its interest in and to the ICR Research Target IP (if any) as is necessary to effect such vesting. For the avoidance of doubt, irrespective of the terms of Clause 5, the Company and CRT hereby grant the ICR a non-exclusive licence to the ICR Research Target IP for the purpose of undertaking any academic non-commercial research.</w:t>
      </w:r>
    </w:p>
    <w:p>
      <w:pPr>
        <w:spacing w:after="0" w:line="153" w:lineRule="exact"/>
        <w:rPr>
          <w:sz w:val="20"/>
          <w:szCs w:val="20"/>
          <w:color w:val="auto"/>
        </w:rPr>
      </w:pPr>
    </w:p>
    <w:p>
      <w:pPr>
        <w:ind w:right="360" w:firstLine="436"/>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Subject to any licences granted to the Company hereunder, as among the Parties, the CRT and the ICR shall retain all rights in, title to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CRT/ICR Background Library Intellectual Property.</w:t>
      </w:r>
    </w:p>
    <w:p>
      <w:pPr>
        <w:spacing w:after="0" w:line="315" w:lineRule="exact"/>
        <w:rPr>
          <w:sz w:val="20"/>
          <w:szCs w:val="20"/>
          <w:color w:val="auto"/>
        </w:rPr>
      </w:pPr>
    </w:p>
    <w:p>
      <w:pPr>
        <w:ind w:left="440" w:hanging="433"/>
        <w:spacing w:after="0"/>
        <w:tabs>
          <w:tab w:leader="none" w:pos="44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LICENCES</w:t>
      </w:r>
    </w:p>
    <w:p>
      <w:pPr>
        <w:spacing w:after="0" w:line="114"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Company shall be entitled to grant sub-licences in respect of the rights granted under this Agreement, provided that no sub-licence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to a Tobacco Party. The grant of any sub-licence shall be without prejudice to the Company’s obligations under this Agreement. Any act or omission of any such Sub-Licensee which, if it were the act or omission of the Company would be a breach of any of the provisions of this Agreement, will be deemed to be a breach of this Agreement by the Company who will be liable to CRT and the ICR accordingly, unless the Company terminates such sub-licence or cures any such breach.</w:t>
      </w:r>
    </w:p>
    <w:p>
      <w:pPr>
        <w:spacing w:after="0" w:line="184"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Subject to the terms and conditions of this Agreement, for the duration of the Services Term, the Company hereby grants to the ICR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Programme Intellectual Property and its rights in the CRT/ICR Existing Intellectual Property (it being agreed that such grant with respect to the CRT/ICR Existing Intellectual Property is not subject to the obligations relating to sub-licenses under Clause 2.2 of the License Agreement), a non-exclusive, fully paid- up, non-transferrable, non-sublicensable (other than to Third Party Service Providers) license, solely for the ICR’s performance of its allotted tasks under the Programme. The grant of any sub-licence by the ICR to any Third Party Service Provider shall be without prejudice to the ICR’s obligations under this Agreement. Any act or omission of any such Third Party Service Provider which, if it were the act or omission of the ICR would be a breach of any of the provisions of this Agreement, will be deemed to be a breach of this Agreement by the ICR who will be liable to the Company accordingly, unless the ICR terminates such sub-licence to such Third Party Service Provider or cures any such breach.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68" w:right="499" w:bottom="1440" w:gutter="0" w:footer="0" w:header="0"/>
        </w:sectPr>
      </w:pPr>
    </w:p>
    <w:bookmarkStart w:id="559" w:name="page560"/>
    <w:bookmarkEnd w:id="559"/>
    <w:p>
      <w:pPr>
        <w:ind w:right="20" w:firstLine="43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7.3 </w:t>
      </w:r>
      <w:r>
        <w:rPr>
          <w:rFonts w:ascii="Arial" w:cs="Arial" w:eastAsia="Arial" w:hAnsi="Arial"/>
          <w:sz w:val="16"/>
          <w:szCs w:val="16"/>
          <w:color w:val="auto"/>
        </w:rPr>
        <w:t>Subject to the terms and conditions of this Agreement, the Company hereby grants to the ICR a non-exclusive, fully paid-up,</w:t>
      </w:r>
      <w:r>
        <w:rPr>
          <w:rFonts w:ascii="Arial" w:cs="Arial" w:eastAsia="Arial" w:hAnsi="Arial"/>
          <w:sz w:val="16"/>
          <w:szCs w:val="16"/>
          <w:b w:val="1"/>
          <w:bCs w:val="1"/>
          <w:color w:val="auto"/>
        </w:rPr>
        <w:t xml:space="preserve"> </w:t>
      </w:r>
      <w:r>
        <w:rPr>
          <w:rFonts w:ascii="Arial" w:cs="Arial" w:eastAsia="Arial" w:hAnsi="Arial"/>
          <w:sz w:val="16"/>
          <w:szCs w:val="16"/>
          <w:color w:val="auto"/>
        </w:rPr>
        <w:t>non-transferrable, non-sublicensable license to screen any Compound Library and to use the ICR Internal Research Program Hits (if applicable), and its rights in the ICR Research Target IP (including for the avoidance of doubt, the identity of the ICR Internal Targets as the biological target(s) of an ICR Internal Research Program Hit(s)) solely for the ICR’s performance of the ICR Internal Research (which in the case of the ICR Internal Research Program Hits will solely be for the purpose of the ICR Internal Research up to the point of notification to the JSC pursuant to Clause 5.2), or clarity, the ICR shall (a) not practice such license prior to the [***] of the Effective Date, and (b) practice such license only in accordance with Clause 5.</w:t>
      </w:r>
    </w:p>
    <w:p>
      <w:pPr>
        <w:spacing w:after="0" w:line="159" w:lineRule="exact"/>
        <w:rPr>
          <w:sz w:val="20"/>
          <w:szCs w:val="20"/>
          <w:color w:val="auto"/>
        </w:rPr>
      </w:pPr>
    </w:p>
    <w:p>
      <w:pPr>
        <w:ind w:right="40" w:firstLine="436"/>
        <w:spacing w:after="0" w:line="271"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color w:val="auto"/>
        </w:rPr>
        <w:t>The Company hereby grants to each of the CRT and the ICR a non-exclusive, sub-licensable to Third Party Service Provider(s), fully paid up,</w:t>
      </w:r>
      <w:r>
        <w:rPr>
          <w:rFonts w:ascii="Arial" w:cs="Arial" w:eastAsia="Arial" w:hAnsi="Arial"/>
          <w:sz w:val="17"/>
          <w:szCs w:val="17"/>
          <w:b w:val="1"/>
          <w:bCs w:val="1"/>
          <w:color w:val="auto"/>
        </w:rPr>
        <w:t xml:space="preserve"> </w:t>
      </w:r>
      <w:r>
        <w:rPr>
          <w:rFonts w:ascii="Arial" w:cs="Arial" w:eastAsia="Arial" w:hAnsi="Arial"/>
          <w:sz w:val="17"/>
          <w:szCs w:val="17"/>
          <w:color w:val="auto"/>
        </w:rPr>
        <w:t>perpetual, irrevocable, worldwide, licence to use the Programme Intellectual Property comprised within the Company Non-Compound Intellectual Property, for non-commercial academic research and teaching purposes. In addition, the Company acknowledges that nothing herein prohibits the ICR from purchasing or synthesizing any Programme Compound that is commercially available from a commercial reagents supplier for academic research purposes, and that the ICR shall be permitted to use such Programme Compound in accordance with the terms under which it is supplied to the ICR (or made available to academic researchers) by such supplier (if applicable).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color w:val="auto"/>
        </w:rPr>
        <w:t>CRT and/or the ICR shall not use or deal with the Programme Intellectual Property except as expressly permitted by this Agreement.</w:t>
      </w:r>
    </w:p>
    <w:p>
      <w:pPr>
        <w:spacing w:after="0" w:line="232"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color w:val="auto"/>
        </w:rPr>
        <w:t>The Parties acknowledge that the CTU may conduct screening of the CRT/ICR Background Library pursuant to the Programme and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CRT/ICR Background Hit Compounds may be encumbered by Third Party rights. The Parties further acknowledge that any particular compound identified by the CTU for inclusion in the Compound Library during the assembly of the Compound Library (and not as result of screening of, or utilizing, the CRT/ICR Background Library pursuant to the Programme) may also be a member of the CRT/ICR Background Library as of the date such compound was or is identified by the CTU for inclusion in the Compound Library (each, a “</w:t>
      </w:r>
      <w:r>
        <w:rPr>
          <w:rFonts w:ascii="Arial" w:cs="Arial" w:eastAsia="Arial" w:hAnsi="Arial"/>
          <w:sz w:val="16"/>
          <w:szCs w:val="16"/>
          <w:b w:val="1"/>
          <w:bCs w:val="1"/>
          <w:i w:val="1"/>
          <w:iCs w:val="1"/>
          <w:color w:val="auto"/>
        </w:rPr>
        <w:t>Duplicate Compound</w:t>
      </w:r>
      <w:r>
        <w:rPr>
          <w:rFonts w:ascii="Arial" w:cs="Arial" w:eastAsia="Arial" w:hAnsi="Arial"/>
          <w:sz w:val="16"/>
          <w:szCs w:val="16"/>
          <w:color w:val="auto"/>
        </w:rPr>
        <w:t>”). CRT and the ICR shall promptly notify the Company in the event any Duplicate Compound is identified after the Effective Date. Each CRT/ICR Background Hit Compound (including those that are deemed a Duplicate Compound) shall be subject to appropriate internal encumbrance checks by the ICR to determine whether there are any Third Party encumbrances which may prevent or limit use of such CRT/ICR Background Hit Compounds within the Programme.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480" w:top="268" w:right="559" w:bottom="1440" w:gutter="0" w:footer="0" w:header="0"/>
        </w:sectPr>
      </w:pPr>
    </w:p>
    <w:bookmarkStart w:id="560" w:name="page561"/>
    <w:bookmarkEnd w:id="560"/>
    <w:p>
      <w:pPr>
        <w:ind w:left="-7" w:right="120" w:firstLine="990"/>
        <w:spacing w:after="0" w:line="282" w:lineRule="auto"/>
        <w:tabs>
          <w:tab w:leader="none" w:pos="1217" w:val="left"/>
        </w:tabs>
        <w:numPr>
          <w:ilvl w:val="1"/>
          <w:numId w:val="4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Except in the case of Duplicate Compounds (which are addressed in Clause 7.6(b)), in the event that a CRT/ICR Background Hit Compound is subject to a Third Party encumbrance, CRT and the ICR shall promptly notify the Company, which notice shall describe such encumbrance and include reasonable evidence supporting the existence and description of such encumbrance (to the extent not otherwise prohibited by any confidentiality obligations of CRT and the ICR), and such CRT/ICR Background Hit Compound shall not be available to the Programme. To the extent not prohibited by a Third Party encumbrance existing as of the date that any such CRT/ICR Background Hit Compound has been identified:</w:t>
      </w:r>
    </w:p>
    <w:p>
      <w:pPr>
        <w:spacing w:after="0" w:line="1" w:lineRule="exact"/>
        <w:rPr>
          <w:rFonts w:ascii="Arial" w:cs="Arial" w:eastAsia="Arial" w:hAnsi="Arial"/>
          <w:sz w:val="16"/>
          <w:szCs w:val="16"/>
          <w:color w:val="auto"/>
        </w:rPr>
      </w:pPr>
    </w:p>
    <w:p>
      <w:pPr>
        <w:ind w:left="-7" w:right="20" w:firstLine="7"/>
        <w:spacing w:after="0" w:line="283" w:lineRule="auto"/>
        <w:tabs>
          <w:tab w:leader="none" w:pos="20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ICR shall disclose the structure of each such CRT/ICR Background Hit Compound (each an “</w:t>
      </w:r>
      <w:r>
        <w:rPr>
          <w:rFonts w:ascii="Arial" w:cs="Arial" w:eastAsia="Arial" w:hAnsi="Arial"/>
          <w:sz w:val="16"/>
          <w:szCs w:val="16"/>
          <w:b w:val="1"/>
          <w:bCs w:val="1"/>
          <w:i w:val="1"/>
          <w:iCs w:val="1"/>
          <w:color w:val="auto"/>
        </w:rPr>
        <w:t>Unencumbered CRT/ICR Background Hit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Compound</w:t>
      </w:r>
      <w:r>
        <w:rPr>
          <w:rFonts w:ascii="Arial" w:cs="Arial" w:eastAsia="Arial" w:hAnsi="Arial"/>
          <w:sz w:val="16"/>
          <w:szCs w:val="16"/>
          <w:color w:val="auto"/>
        </w:rPr>
        <w:t>”) to the Company; (ii) CRT and the ICR each hereby grants to the Company an irrevocable, perpetual (subject to Clause 8.5 and 20.2),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non-exclusive, worldwide licence, with the right to grant sub-licences through multiple tiers, under all of CRT’s and the ICR’s respective rights in and to the CRT/ICR Background Library Intellectual Property covering such Unencumbered CRT/ICR Background Hit Compound to research, develop, have developed, use, keep, make, have made, market, import, offer for sale, sell and otherwise dispose of Protein Degradation Products in the Field. The ICR and CRT (in each case to the extent applicable to such Party’s activities on behalf of the CTU only) shall not commercialise, or enter into an agreement after the Effective Date to enable any Third Party to commercialise, any of the Unencumbered CRT/ICR Background Hit Compounds whose primary mode of action is as a CRBN-binder. For the avoidance of doubt, the commercialisation of [***] shall be permitted. For the avoidance of doubt, no chemical structure disclosure or any other compound identifier disclosure shall be made by the ICR to the Company in relation to any CRT/ICR Background Hit Compounds that are not Unencumbered CRT/ICR Background Hit Compounds.</w:t>
      </w:r>
    </w:p>
    <w:p>
      <w:pPr>
        <w:spacing w:after="0" w:line="171" w:lineRule="exact"/>
        <w:rPr>
          <w:rFonts w:ascii="Arial" w:cs="Arial" w:eastAsia="Arial" w:hAnsi="Arial"/>
          <w:sz w:val="16"/>
          <w:szCs w:val="16"/>
          <w:color w:val="auto"/>
        </w:rPr>
      </w:pPr>
    </w:p>
    <w:p>
      <w:pPr>
        <w:ind w:left="-7" w:right="40" w:firstLine="990"/>
        <w:spacing w:after="0" w:line="280" w:lineRule="auto"/>
        <w:tabs>
          <w:tab w:leader="none" w:pos="1237" w:val="left"/>
        </w:tabs>
        <w:numPr>
          <w:ilvl w:val="1"/>
          <w:numId w:val="480"/>
        </w:numPr>
        <w:rPr>
          <w:rFonts w:ascii="Arial" w:cs="Arial" w:eastAsia="Arial" w:hAnsi="Arial"/>
          <w:sz w:val="16"/>
          <w:szCs w:val="16"/>
          <w:b w:val="1"/>
          <w:bCs w:val="1"/>
          <w:color w:val="auto"/>
        </w:rPr>
      </w:pPr>
      <w:r>
        <w:rPr>
          <w:rFonts w:ascii="Arial" w:cs="Arial" w:eastAsia="Arial" w:hAnsi="Arial"/>
          <w:sz w:val="16"/>
          <w:szCs w:val="16"/>
          <w:color w:val="auto"/>
        </w:rPr>
        <w:t>In the case of each Duplicate Compound, in the event that the CRT/ICR Background Hit Compound is subject to a Third Party encumbrance (provided that, the CTU registers such Duplicate Compound made or acquired by the CTU for inclusion of such compound in the Compound Library during the assembly of the Compound Library on the CTU’s CRBN project entry under CRT’s internal compound database, and upon registration identifies that such encumbrance was in place prior to: (i) in the case of such Duplicate Compound being synthesized internally by the CTU, the date of completion of such Duplicate Compound synthesis (being such Duplicate Compound isolated and characterized to prove it has the correct identity and purity, as recorded in the CTU’s electronic lab notebook); or (ii) in the case of such Duplicate Compound being synthesized externally by a Third Party on the CTU’s behalf, or purchased by the CTU from an external supplier, the date at which such Duplicate Compound is received at the ICR as recorded in the goods received record (in each case, the date described in clause (i) or (ii), the “</w:t>
      </w:r>
      <w:r>
        <w:rPr>
          <w:rFonts w:ascii="Arial" w:cs="Arial" w:eastAsia="Arial" w:hAnsi="Arial"/>
          <w:sz w:val="16"/>
          <w:szCs w:val="16"/>
          <w:b w:val="1"/>
          <w:bCs w:val="1"/>
          <w:i w:val="1"/>
          <w:iCs w:val="1"/>
          <w:color w:val="auto"/>
        </w:rPr>
        <w:t>Encumbrance Date</w:t>
      </w:r>
      <w:r>
        <w:rPr>
          <w:rFonts w:ascii="Arial" w:cs="Arial" w:eastAsia="Arial" w:hAnsi="Arial"/>
          <w:sz w:val="16"/>
          <w:szCs w:val="16"/>
          <w:color w:val="auto"/>
        </w:rPr>
        <w:t>”)), CRT and the ICR shall promptly notify the Company, which notice shall describe such encumbrance and include reasonable evidence supporting the existence and description of such encumbrance (to the extent not otherwise prohibited by any confidentiality obligations of CRT and the ICR), and such CRT/ICR Background Hit Compound shall no longer be deemed a Programme Compound and shall not be available to the Programme. In the event that CRT and the ICR notify the Company that there is a possibility of such encumbrance being worked around such that a particular encumbered CRT/ICR Background Hit Compound might be available to work on under the Programme under certain conditions, the Parties shall discuss at the time and may agree the terms and conditions under which such CRT/ICR Background Hit Compound may be made available to work on under the Programme ([***]). To the extent not prohibited by a Third Party encumbrance existing as of the Encumbrance Date upon registering such Duplicate Compound in accordance with the CTU procedures described above: (i) subject to clause (ii), such Duplicate Compound shall remain a Programme Compound; and</w:t>
      </w:r>
    </w:p>
    <w:p>
      <w:pPr>
        <w:spacing w:after="0" w:line="2" w:lineRule="exact"/>
        <w:rPr>
          <w:rFonts w:ascii="Arial" w:cs="Arial" w:eastAsia="Arial" w:hAnsi="Arial"/>
          <w:sz w:val="16"/>
          <w:szCs w:val="16"/>
          <w:b w:val="1"/>
          <w:bCs w:val="1"/>
          <w:color w:val="auto"/>
        </w:rPr>
      </w:pPr>
    </w:p>
    <w:p>
      <w:pPr>
        <w:ind w:left="-7" w:firstLine="7"/>
        <w:spacing w:after="0" w:line="286" w:lineRule="auto"/>
        <w:tabs>
          <w:tab w:leader="none" w:pos="25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such Duplicate Compound shall also remain a part of any CRT/ICR Background Library and available for CRT and the ICR to use for any purpose, provided that the ICR and CRT (in each case to the extent applicable to such Party’s activities on behalf of the CTU only) shall not commercialise, or enter into any agreement after the Effective Date to enable any Third Party to commercialise, any of such Duplicate Compounds whose primary mode of action is as a CRBN-binder. For the avoidance of doubt, the commercialisation by ICR and CRT of a Duplicate Compound that is directed against a target other than CRBN binding and has only residual or minimal binding to CRBN such that such residual or minimal binding is not necessarily required for its main therapeutic activity and/or has not been pursued in development shall be permitted.</w:t>
      </w:r>
    </w:p>
    <w:p>
      <w:pPr>
        <w:spacing w:after="0" w:line="103"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93"/>
          </w:cols>
          <w:pgMar w:left="487" w:top="271" w:right="519" w:bottom="1440" w:gutter="0" w:footer="0" w:header="0"/>
        </w:sectPr>
      </w:pPr>
    </w:p>
    <w:bookmarkStart w:id="561" w:name="page562"/>
    <w:bookmarkEnd w:id="561"/>
    <w:p>
      <w:pPr>
        <w:ind w:right="16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7.7 </w:t>
      </w:r>
      <w:r>
        <w:rPr>
          <w:rFonts w:ascii="Arial" w:cs="Arial" w:eastAsia="Arial" w:hAnsi="Arial"/>
          <w:sz w:val="18"/>
          <w:szCs w:val="18"/>
          <w:color w:val="auto"/>
        </w:rPr>
        <w:t>CRT and the ICR each hereby grants to the Company a non-exclusive, fully paid up, sub-licensable through multiple tiers, world ide, licence</w:t>
      </w:r>
      <w:r>
        <w:rPr>
          <w:rFonts w:ascii="Arial" w:cs="Arial" w:eastAsia="Arial" w:hAnsi="Arial"/>
          <w:sz w:val="18"/>
          <w:szCs w:val="18"/>
          <w:b w:val="1"/>
          <w:bCs w:val="1"/>
          <w:color w:val="auto"/>
        </w:rPr>
        <w:t xml:space="preserve"> </w:t>
      </w:r>
      <w:r>
        <w:rPr>
          <w:rFonts w:ascii="Arial" w:cs="Arial" w:eastAsia="Arial" w:hAnsi="Arial"/>
          <w:sz w:val="18"/>
          <w:szCs w:val="18"/>
          <w:color w:val="auto"/>
        </w:rPr>
        <w:t>to use the ICR Internal Research Improvements for all purposes.</w:t>
      </w:r>
    </w:p>
    <w:p>
      <w:pPr>
        <w:spacing w:after="0" w:line="168" w:lineRule="exact"/>
        <w:rPr>
          <w:sz w:val="20"/>
          <w:szCs w:val="20"/>
          <w:color w:val="auto"/>
        </w:rPr>
      </w:pPr>
    </w:p>
    <w:p>
      <w:pPr>
        <w:ind w:right="20" w:firstLine="436"/>
        <w:spacing w:after="0" w:line="286" w:lineRule="auto"/>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color w:val="auto"/>
        </w:rPr>
        <w:t>Subject to the terms and conditions 0£ this Agreement, the Company and CRT hereby grants to the ICR a non-exclusive, sublicensable</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multiple tiers, worldwide license to (a) use the ICR Internal Targets corresponding to the ICR Internal Research Program Hits and its rights in the ICR Research Target IP for the purpose of enabling the ICR and CRT to conduct the Non-Degradation Program pursuant to Clause 5.2(c) if neither the Company nor Versant Ventures obtains rights to such Non-Degradation Program as provided therein, and (b) use its rights in the ICR Research Target IP for the purpose of enabling the ICR and CRT to commercialise the Non-Degradation Program pursuant to Clause 5.2(c) if neither the Company nor Versant Ventures obtains rights to such Non-Degradation Program as provided therein. CRT and the ICR each hereby grants to the Company a non-exclusive, fully paid up, sub-licensable through multiple tiers, to its rights in the ICR Research Target IP for the purpose of enabling the Company to conduct the Programme and develop, manufacture and commercialize the Products discovered, developed and/or generated pursuant to any of the drug discovery projects which were initiated by the ICR pursuant to the Programme.</w:t>
      </w:r>
    </w:p>
    <w:p>
      <w:pPr>
        <w:spacing w:after="0" w:line="167" w:lineRule="exact"/>
        <w:rPr>
          <w:sz w:val="20"/>
          <w:szCs w:val="20"/>
          <w:color w:val="auto"/>
        </w:rPr>
      </w:pPr>
    </w:p>
    <w:p>
      <w:pPr>
        <w:ind w:right="460" w:firstLine="436"/>
        <w:spacing w:after="0" w:line="340"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color w:val="auto"/>
        </w:rPr>
        <w:t>Except as explicitly set forth in this Agreement, no Party shall be deemed by estoppel or implication to have granted any other Party any</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or other right to any intellectual property of such Party and each Party reserves all rights not otherwise expressly granted hereunder.</w:t>
      </w:r>
    </w:p>
    <w:p>
      <w:pPr>
        <w:spacing w:after="0" w:line="268" w:lineRule="exact"/>
        <w:rPr>
          <w:sz w:val="20"/>
          <w:szCs w:val="20"/>
          <w:color w:val="auto"/>
        </w:rPr>
      </w:pPr>
    </w:p>
    <w:p>
      <w:pPr>
        <w:ind w:left="440" w:hanging="433"/>
        <w:spacing w:after="0"/>
        <w:tabs>
          <w:tab w:leader="none" w:pos="44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The Company shall use Commercially Reasonable Efforts at all times during the Term to:</w:t>
      </w:r>
    </w:p>
    <w:p>
      <w:pPr>
        <w:spacing w:after="0" w:line="224"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82"/>
        </w:numPr>
        <w:rPr>
          <w:rFonts w:ascii="Arial" w:cs="Arial" w:eastAsia="Arial" w:hAnsi="Arial"/>
          <w:sz w:val="18"/>
          <w:szCs w:val="18"/>
          <w:b w:val="1"/>
          <w:bCs w:val="1"/>
          <w:color w:val="auto"/>
        </w:rPr>
      </w:pPr>
      <w:r>
        <w:rPr>
          <w:rFonts w:ascii="Arial" w:cs="Arial" w:eastAsia="Arial" w:hAnsi="Arial"/>
          <w:sz w:val="18"/>
          <w:szCs w:val="18"/>
          <w:color w:val="auto"/>
        </w:rPr>
        <w:t>develop one or more Products suitable for use in human clinical trials;</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1"/>
          <w:numId w:val="482"/>
        </w:numPr>
        <w:rPr>
          <w:rFonts w:ascii="Arial" w:cs="Arial" w:eastAsia="Arial" w:hAnsi="Arial"/>
          <w:sz w:val="16"/>
          <w:szCs w:val="16"/>
          <w:b w:val="1"/>
          <w:bCs w:val="1"/>
          <w:color w:val="auto"/>
        </w:rPr>
      </w:pPr>
      <w:r>
        <w:rPr>
          <w:rFonts w:ascii="Arial" w:cs="Arial" w:eastAsia="Arial" w:hAnsi="Arial"/>
          <w:sz w:val="16"/>
          <w:szCs w:val="16"/>
          <w:color w:val="auto"/>
        </w:rPr>
        <w:t>pursue Regulatory Authorisation and (where applicable) Price Approvals in at least [***] Major Markets for each Product in clinical</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development;</w:t>
      </w:r>
    </w:p>
    <w:p>
      <w:pPr>
        <w:spacing w:after="0" w:line="208" w:lineRule="exact"/>
        <w:rPr>
          <w:rFonts w:ascii="Arial" w:cs="Arial" w:eastAsia="Arial" w:hAnsi="Arial"/>
          <w:sz w:val="16"/>
          <w:szCs w:val="16"/>
          <w:b w:val="1"/>
          <w:bCs w:val="1"/>
          <w:color w:val="auto"/>
        </w:rPr>
      </w:pPr>
    </w:p>
    <w:p>
      <w:pPr>
        <w:ind w:right="180" w:firstLine="990"/>
        <w:spacing w:after="0" w:line="271" w:lineRule="auto"/>
        <w:tabs>
          <w:tab w:leader="none" w:pos="1224" w:val="left"/>
        </w:tabs>
        <w:numPr>
          <w:ilvl w:val="1"/>
          <w:numId w:val="482"/>
        </w:numPr>
        <w:rPr>
          <w:rFonts w:ascii="Arial" w:cs="Arial" w:eastAsia="Arial" w:hAnsi="Arial"/>
          <w:sz w:val="18"/>
          <w:szCs w:val="18"/>
          <w:b w:val="1"/>
          <w:bCs w:val="1"/>
          <w:color w:val="auto"/>
        </w:rPr>
      </w:pPr>
      <w:r>
        <w:rPr>
          <w:rFonts w:ascii="Arial" w:cs="Arial" w:eastAsia="Arial" w:hAnsi="Arial"/>
          <w:sz w:val="18"/>
          <w:szCs w:val="18"/>
          <w:color w:val="auto"/>
        </w:rPr>
        <w:t>introduce and commercialise each Product in a Major Market where Regulatory Authorisation and, where applicable, Price Approval for such Product has been obtained; and</w:t>
      </w:r>
    </w:p>
    <w:p>
      <w:pPr>
        <w:spacing w:after="0" w:line="174" w:lineRule="exact"/>
        <w:rPr>
          <w:rFonts w:ascii="Arial" w:cs="Arial" w:eastAsia="Arial" w:hAnsi="Arial"/>
          <w:sz w:val="18"/>
          <w:szCs w:val="18"/>
          <w:b w:val="1"/>
          <w:bCs w:val="1"/>
          <w:color w:val="auto"/>
        </w:rPr>
      </w:pPr>
    </w:p>
    <w:p>
      <w:pPr>
        <w:ind w:firstLine="990"/>
        <w:spacing w:after="0" w:line="259" w:lineRule="auto"/>
        <w:tabs>
          <w:tab w:leader="none" w:pos="1245" w:val="left"/>
        </w:tabs>
        <w:numPr>
          <w:ilvl w:val="1"/>
          <w:numId w:val="482"/>
        </w:numPr>
        <w:rPr>
          <w:rFonts w:ascii="Arial" w:cs="Arial" w:eastAsia="Arial" w:hAnsi="Arial"/>
          <w:sz w:val="18"/>
          <w:szCs w:val="18"/>
          <w:b w:val="1"/>
          <w:bCs w:val="1"/>
          <w:color w:val="auto"/>
        </w:rPr>
      </w:pPr>
      <w:r>
        <w:rPr>
          <w:rFonts w:ascii="Arial" w:cs="Arial" w:eastAsia="Arial" w:hAnsi="Arial"/>
          <w:sz w:val="18"/>
          <w:szCs w:val="18"/>
          <w:color w:val="auto"/>
        </w:rPr>
        <w:t>without prejudice to the generality of the foregoing, develop, pursue Regulatory Authorisation and (where applicable) Price Approvals, and commercialise (where Regulatory Authorisation and, where applicable, Price Approval for such Product has been obtained) at least one Product with an application in an Oncology Indication.</w:t>
      </w:r>
    </w:p>
    <w:p>
      <w:pPr>
        <w:spacing w:after="0" w:line="182"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In the event that a Product is launched or ready to be launched in the United Kingdom, the Company will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cause such Product to be made available throughout the United Kingdom at an Affordable Price. In the event that the Company determines, through its exercise of Commercially Reasonable Efforts, that the best means of making a Product available throughout the United Kingdom at an Affordable Price is through a public assistance programme funded by the Company, the Parties shall discuss in good faith a proportionate adjustment to the royalty rates set forth in Clause 9.2(d).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67" w:right="519" w:bottom="1440" w:gutter="0" w:footer="0" w:header="0"/>
        </w:sectPr>
      </w:pPr>
    </w:p>
    <w:bookmarkStart w:id="562" w:name="page563"/>
    <w:bookmarkEnd w:id="562"/>
    <w:p>
      <w:pPr>
        <w:ind w:right="24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8.3 </w:t>
      </w:r>
      <w:r>
        <w:rPr>
          <w:rFonts w:ascii="Arial" w:cs="Arial" w:eastAsia="Arial" w:hAnsi="Arial"/>
          <w:sz w:val="18"/>
          <w:szCs w:val="18"/>
          <w:color w:val="auto"/>
        </w:rPr>
        <w:t>The Company shall keep CRT, and IGR fully informed of the progress made towards reaching the Milestone Events specified in Clause 9.1</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notify CRT, the ICR and the JSC promptly of the achievement of each Milestone Event.</w:t>
      </w:r>
    </w:p>
    <w:p>
      <w:pPr>
        <w:spacing w:after="0" w:line="168"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color w:val="auto"/>
        </w:rPr>
        <w:t>If Company or any of its Affiliates or Sub-Licensees intends to undertake a Phase I Trial of any Product, Company shall notify the ICR and/or</w:t>
      </w:r>
      <w:r>
        <w:rPr>
          <w:rFonts w:ascii="Arial" w:cs="Arial" w:eastAsia="Arial" w:hAnsi="Arial"/>
          <w:sz w:val="17"/>
          <w:szCs w:val="17"/>
          <w:b w:val="1"/>
          <w:bCs w:val="1"/>
          <w:color w:val="auto"/>
        </w:rPr>
        <w:t xml:space="preserve"> </w:t>
      </w:r>
      <w:r>
        <w:rPr>
          <w:rFonts w:ascii="Arial" w:cs="Arial" w:eastAsia="Arial" w:hAnsi="Arial"/>
          <w:sz w:val="17"/>
          <w:szCs w:val="17"/>
          <w:color w:val="auto"/>
        </w:rPr>
        <w:t>CRT, providing particulars in reasonable detail of proposed investigation. At the ICR’s and/or CRT’s request, Company shall enter into negotiations to allow the ICR and the Royal Marsden NHS Foundation Trust and CRT through CRUK to conduct and/or participate in the Phase I Trial, subject to agreement in good faith of terms acceptable to the Company, the ICR, Royal Marsden NHS Foundation Trust and/or CRT (or CRUK) (as applicable). To the extent that the development of Products by the Company and/or its Sub-Licensees is to involve further clinical studies in the United Kingdom, CRT through CRUK and/or the ICR shall be entitled to participate in such clinical studies with the Company as the Sponsor, subject to agreement in good faith of terms acceptable to the Company, CRT through CRUK and/or the ICR. The terms and conditions under which such clinical studies are to be conducted shall be set out in a separate agreement from this Agreement which shall define, among other things, the clinical studies to be performed, the timetable to which they shall be carried out and the resources and the finances which the Company will provide to enable the studies to be completed in an expeditious manner.</w:t>
      </w:r>
    </w:p>
    <w:p>
      <w:pPr>
        <w:spacing w:after="0" w:line="179"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color w:val="auto"/>
        </w:rPr>
        <w:t>In the event CRT and the ICR .have reasonable concerns about the Company’s efforts with respect to a specific drug discovery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abandonment thereof), which originated from the conduct of the Programme and has reached lead series identification, it shall notify the JSC of such concern and the JSC shall discuss the matter in good faith, including whether the stage of development and/or resources allocated to such project is reasonably justified as part of Company’s global strategy to support the further development and commercialisation of Products, and potential solutions to address the concerns of CRT and the ICR, such as whether CRT and the ICR may assist with the development of such project (which could include the Parties collaborating on further research and development activities on a shared risk/reward basis, for example, following identification of a pre-clinical candidate, the Company collaborating with CRT and/or the ICR on initial or further clinical studies to develop in an Oncology Indication (which may involve CRT and/or the ICR conducting such a proof of concept study with CRUK, the ICR, and/or Royal Marsden NHS Foundation Trust)), or receive a handback of such project to enable CRT and the ICR or (as directed by CRT and the ICR) another entity to continue to develop such project, in each case only if any such action will not adversely affect any part of the Programme or the further development and commercialisation of any Product.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80" w:top="268" w:right="519" w:bottom="1440" w:gutter="0" w:footer="0" w:header="0"/>
        </w:sectPr>
      </w:pPr>
    </w:p>
    <w:bookmarkStart w:id="563" w:name="page564"/>
    <w:bookmarkEnd w:id="563"/>
    <w:p>
      <w:pPr>
        <w:ind w:left="440" w:hanging="433"/>
        <w:spacing w:after="0"/>
        <w:tabs>
          <w:tab w:leader="none" w:pos="4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CONSIDERATION</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 consideration of the rights granted under this Agreement, the Company shall pay to CRT:</w:t>
      </w:r>
    </w:p>
    <w:p>
      <w:pPr>
        <w:spacing w:after="0" w:line="10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9.1 </w:t>
      </w:r>
      <w:r>
        <w:rPr>
          <w:rFonts w:ascii="Arial" w:cs="Arial" w:eastAsia="Arial" w:hAnsi="Arial"/>
          <w:sz w:val="17"/>
          <w:szCs w:val="17"/>
          <w:color w:val="auto"/>
        </w:rPr>
        <w:t>the following payments (“</w:t>
      </w:r>
      <w:r>
        <w:rPr>
          <w:rFonts w:ascii="Arial" w:cs="Arial" w:eastAsia="Arial" w:hAnsi="Arial"/>
          <w:sz w:val="17"/>
          <w:szCs w:val="17"/>
          <w:b w:val="1"/>
          <w:bCs w:val="1"/>
          <w:i w:val="1"/>
          <w:iCs w:val="1"/>
          <w:color w:val="auto"/>
        </w:rPr>
        <w:t>Milestone Payments</w:t>
      </w:r>
      <w:r>
        <w:rPr>
          <w:rFonts w:ascii="Arial" w:cs="Arial" w:eastAsia="Arial" w:hAnsi="Arial"/>
          <w:sz w:val="17"/>
          <w:szCs w:val="17"/>
          <w:color w:val="auto"/>
        </w:rPr>
        <w:t>”) within [***] of the first occurrence of each of the following events (“</w:t>
      </w:r>
      <w:r>
        <w:rPr>
          <w:rFonts w:ascii="Arial" w:cs="Arial" w:eastAsia="Arial" w:hAnsi="Arial"/>
          <w:sz w:val="17"/>
          <w:szCs w:val="17"/>
          <w:b w:val="1"/>
          <w:bCs w:val="1"/>
          <w:i w:val="1"/>
          <w:iCs w:val="1"/>
          <w:color w:val="auto"/>
        </w:rPr>
        <w:t>Milestone Events</w:t>
      </w:r>
      <w:r>
        <w:rPr>
          <w:rFonts w:ascii="Arial" w:cs="Arial" w:eastAsia="Arial" w:hAnsi="Arial"/>
          <w:sz w:val="17"/>
          <w:szCs w:val="17"/>
          <w:color w:val="auto"/>
        </w:rPr>
        <w:t>”):</w:t>
      </w:r>
    </w:p>
    <w:p>
      <w:pPr>
        <w:spacing w:after="0" w:line="129"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8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1"/>
          <w:numId w:val="48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83"/>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1"/>
          <w:numId w:val="48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For clarity, each Milestone Event set forth in Clauses 9.1(a) and 9.1(c) shall be payable only one (1) time, for the first achievement of such Milestone Event and each Milestone Event set forth in Clauses 9.1(b) and 9.1(d) shall be payable only one (1) time for a particular Product, regardless of how many times such Milestone Event is achieved with regards to a particular Product. Upon the occurrence of each Milestone Event with respect to a particular Product, any Milestone Event listed before it in this Clause 9.1, which is otherwise applicable to such Product and which has not occurred, shall be deemed to have occurred and the corresponding payment made to CRT. A Milestone Event may be triggered by the actions of the Company, its Affiliates, their Sub-Licensees or any person acting on behalf of the Company or its Sub-Licensees.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royalties on a Product by Product, and country by country basis until the later of:</w:t>
      </w:r>
    </w:p>
    <w:p>
      <w:pPr>
        <w:spacing w:after="0" w:line="225" w:lineRule="exact"/>
        <w:rPr>
          <w:sz w:val="20"/>
          <w:szCs w:val="20"/>
          <w:color w:val="auto"/>
        </w:rPr>
      </w:pPr>
    </w:p>
    <w:p>
      <w:pPr>
        <w:ind w:right="20" w:firstLine="990"/>
        <w:spacing w:after="0" w:line="271" w:lineRule="auto"/>
        <w:tabs>
          <w:tab w:leader="none" w:pos="1234" w:val="left"/>
        </w:tabs>
        <w:numPr>
          <w:ilvl w:val="0"/>
          <w:numId w:val="484"/>
        </w:numPr>
        <w:rPr>
          <w:rFonts w:ascii="Arial" w:cs="Arial" w:eastAsia="Arial" w:hAnsi="Arial"/>
          <w:sz w:val="18"/>
          <w:szCs w:val="18"/>
          <w:b w:val="1"/>
          <w:bCs w:val="1"/>
          <w:color w:val="auto"/>
        </w:rPr>
      </w:pPr>
      <w:r>
        <w:rPr>
          <w:rFonts w:ascii="Arial" w:cs="Arial" w:eastAsia="Arial" w:hAnsi="Arial"/>
          <w:sz w:val="18"/>
          <w:szCs w:val="18"/>
          <w:color w:val="auto"/>
        </w:rPr>
        <w:t>the date when the manufacture, use, offer for sale, sale or importation of a Product is no longer covered by a Valid Claim in the country of sale, use or manufacture;</w:t>
      </w:r>
    </w:p>
    <w:p>
      <w:pPr>
        <w:spacing w:after="0" w:line="174"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84"/>
        </w:numPr>
        <w:rPr>
          <w:rFonts w:ascii="Arial" w:cs="Arial" w:eastAsia="Arial" w:hAnsi="Arial"/>
          <w:sz w:val="18"/>
          <w:szCs w:val="18"/>
          <w:b w:val="1"/>
          <w:bCs w:val="1"/>
          <w:color w:val="auto"/>
        </w:rPr>
      </w:pPr>
      <w:r>
        <w:rPr>
          <w:rFonts w:ascii="Arial" w:cs="Arial" w:eastAsia="Arial" w:hAnsi="Arial"/>
          <w:sz w:val="18"/>
          <w:szCs w:val="18"/>
          <w:color w:val="auto"/>
        </w:rPr>
        <w:t>the expiry of [***] from the First Commercial Sale of such Product in the relevant country by the Company or its Affiliate 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Sub-Licensee;</w:t>
      </w:r>
    </w:p>
    <w:p>
      <w:pPr>
        <w:spacing w:after="0" w:line="208" w:lineRule="exact"/>
        <w:rPr>
          <w:sz w:val="20"/>
          <w:szCs w:val="20"/>
          <w:color w:val="auto"/>
        </w:rPr>
      </w:pPr>
    </w:p>
    <w:p>
      <w:pPr>
        <w:ind w:left="1240" w:hanging="250"/>
        <w:spacing w:after="0"/>
        <w:tabs>
          <w:tab w:leader="none" w:pos="1240" w:val="left"/>
        </w:tabs>
        <w:numPr>
          <w:ilvl w:val="0"/>
          <w:numId w:val="485"/>
        </w:numPr>
        <w:rPr>
          <w:rFonts w:ascii="Arial" w:cs="Arial" w:eastAsia="Arial" w:hAnsi="Arial"/>
          <w:sz w:val="18"/>
          <w:szCs w:val="18"/>
          <w:b w:val="1"/>
          <w:bCs w:val="1"/>
          <w:color w:val="auto"/>
        </w:rPr>
      </w:pPr>
      <w:r>
        <w:rPr>
          <w:rFonts w:ascii="Arial" w:cs="Arial" w:eastAsia="Arial" w:hAnsi="Arial"/>
          <w:sz w:val="18"/>
          <w:szCs w:val="18"/>
          <w:color w:val="auto"/>
        </w:rPr>
        <w:t>the expiry of any Extended Exclusivity Period in the relevant country; and</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85"/>
        </w:numPr>
        <w:rPr>
          <w:rFonts w:ascii="Arial" w:cs="Arial" w:eastAsia="Arial" w:hAnsi="Arial"/>
          <w:sz w:val="17"/>
          <w:szCs w:val="17"/>
          <w:b w:val="1"/>
          <w:bCs w:val="1"/>
          <w:color w:val="auto"/>
        </w:rPr>
      </w:pPr>
      <w:r>
        <w:rPr>
          <w:rFonts w:ascii="Arial" w:cs="Arial" w:eastAsia="Arial" w:hAnsi="Arial"/>
          <w:sz w:val="17"/>
          <w:szCs w:val="17"/>
          <w:color w:val="auto"/>
        </w:rPr>
        <w:t>at the following royalty rates, which shall apply to the respective tiers of aggregate Net Sales of each Product in a given Year:</w:t>
      </w:r>
    </w:p>
    <w:p>
      <w:pPr>
        <w:sectPr>
          <w:pgSz w:w="11900" w:h="16838" w:orient="portrait"/>
          <w:cols w:equalWidth="0" w:num="1">
            <w:col w:w="10920"/>
          </w:cols>
          <w:pgMar w:left="480" w:top="268" w:right="499" w:bottom="1440" w:gutter="0" w:footer="0" w:header="0"/>
        </w:sect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Product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First Product for which Net Sales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Royalty Rate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per cent ([***])%, on that portion of Net Sales of such Product which is less than [***]</w:t>
      </w:r>
    </w:p>
    <w:p>
      <w:pPr>
        <w:spacing w:after="0" w:line="436" w:lineRule="exact"/>
        <w:rPr>
          <w:sz w:val="20"/>
          <w:szCs w:val="20"/>
          <w:color w:val="auto"/>
        </w:rPr>
      </w:pPr>
    </w:p>
    <w:p>
      <w:pPr>
        <w:sectPr>
          <w:pgSz w:w="11900" w:h="16838" w:orient="portrait"/>
          <w:cols w:equalWidth="0" w:num="2">
            <w:col w:w="2380" w:space="480"/>
            <w:col w:w="8060"/>
          </w:cols>
          <w:pgMar w:left="480" w:top="268" w:right="499" w:bottom="1440" w:gutter="0" w:footer="0" w:header="0"/>
          <w:type w:val="continuous"/>
        </w:sectPr>
      </w:pPr>
    </w:p>
    <w:p>
      <w:pPr>
        <w:spacing w:after="0" w:line="8"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First Product for which Net Sales in excess of [***] occurs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cent ([***])%, on that portion of Net Sales of such Product which is equal to or exceeds [***]</w:t>
      </w:r>
    </w:p>
    <w:p>
      <w:pPr>
        <w:spacing w:after="0" w:line="458" w:lineRule="exact"/>
        <w:rPr>
          <w:sz w:val="20"/>
          <w:szCs w:val="20"/>
          <w:color w:val="auto"/>
        </w:rPr>
      </w:pPr>
    </w:p>
    <w:p>
      <w:pPr>
        <w:sectPr>
          <w:pgSz w:w="11900" w:h="16838" w:orient="portrait"/>
          <w:cols w:equalWidth="0" w:num="2">
            <w:col w:w="2380" w:space="480"/>
            <w:col w:w="8060"/>
          </w:cols>
          <w:pgMar w:left="480" w:top="268" w:right="499" w:bottom="1440" w:gutter="0" w:footer="0" w:header="0"/>
          <w:type w:val="continuous"/>
        </w:sectPr>
      </w:pPr>
    </w:p>
    <w:p>
      <w:pPr>
        <w:spacing w:after="0"/>
        <w:rPr>
          <w:sz w:val="20"/>
          <w:szCs w:val="20"/>
          <w:color w:val="auto"/>
        </w:rPr>
      </w:pPr>
      <w:r>
        <w:rPr>
          <w:rFonts w:ascii="Arial" w:cs="Arial" w:eastAsia="Arial" w:hAnsi="Arial"/>
          <w:sz w:val="16"/>
          <w:szCs w:val="16"/>
          <w:color w:val="auto"/>
        </w:rPr>
        <w:t>Other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cent ([***])%, on that portion of Net Sales of such Product which is less than [***]</w:t>
      </w:r>
    </w:p>
    <w:p>
      <w:pPr>
        <w:spacing w:after="0" w:line="200" w:lineRule="exact"/>
        <w:rPr>
          <w:sz w:val="20"/>
          <w:szCs w:val="20"/>
          <w:color w:val="auto"/>
        </w:rPr>
      </w:pPr>
    </w:p>
    <w:p>
      <w:pPr>
        <w:sectPr>
          <w:pgSz w:w="11900" w:h="16838" w:orient="portrait"/>
          <w:cols w:equalWidth="0" w:num="2">
            <w:col w:w="2140" w:space="720"/>
            <w:col w:w="8060"/>
          </w:cols>
          <w:pgMar w:left="480" w:top="268"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 Products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per cent ([***])%, on that portion of Net Sales of such Product which is equal to or exceeds [***]</w:t>
      </w:r>
    </w:p>
    <w:p>
      <w:pPr>
        <w:spacing w:after="0" w:line="200" w:lineRule="exact"/>
        <w:rPr>
          <w:sz w:val="20"/>
          <w:szCs w:val="20"/>
          <w:color w:val="auto"/>
        </w:rPr>
      </w:pPr>
    </w:p>
    <w:p>
      <w:pPr>
        <w:sectPr>
          <w:pgSz w:w="11900" w:h="16838" w:orient="portrait"/>
          <w:cols w:equalWidth="0" w:num="2">
            <w:col w:w="2140" w:space="720"/>
            <w:col w:w="8060"/>
          </w:cols>
          <w:pgMar w:left="480" w:top="268" w:right="499" w:bottom="1440" w:gutter="0" w:footer="0" w:header="0"/>
          <w:type w:val="continuous"/>
        </w:sectPr>
      </w:pPr>
    </w:p>
    <w:p>
      <w:pPr>
        <w:spacing w:after="0" w:line="4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in each case within [***] of the end of each [***] in which the relevant Net Sales are invoiced by the Company, its Affiliates or their respective Sub-Licensees.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68" w:right="499" w:bottom="1440" w:gutter="0" w:footer="0" w:header="0"/>
          <w:type w:val="continuous"/>
        </w:sectPr>
      </w:pPr>
    </w:p>
    <w:bookmarkStart w:id="564" w:name="page565"/>
    <w:bookmarkEnd w:id="564"/>
    <w:p>
      <w:pPr>
        <w:ind w:right="42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9.3 </w:t>
      </w:r>
      <w:r>
        <w:rPr>
          <w:rFonts w:ascii="Arial" w:cs="Arial" w:eastAsia="Arial" w:hAnsi="Arial"/>
          <w:sz w:val="18"/>
          <w:szCs w:val="18"/>
          <w:color w:val="auto"/>
        </w:rPr>
        <w:t>For the purposes of this Clause 9, a Product shall be a different from another Product if such Product consists of, comprises or contains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Compound, as compared to any other Product.</w:t>
      </w:r>
    </w:p>
    <w:p>
      <w:pPr>
        <w:spacing w:after="0" w:line="315" w:lineRule="exact"/>
        <w:rPr>
          <w:sz w:val="20"/>
          <w:szCs w:val="20"/>
          <w:color w:val="auto"/>
        </w:rPr>
      </w:pPr>
    </w:p>
    <w:p>
      <w:pPr>
        <w:ind w:left="440" w:hanging="433"/>
        <w:spacing w:after="0"/>
        <w:tabs>
          <w:tab w:leader="none" w:pos="44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STATEMENT</w:t>
      </w:r>
    </w:p>
    <w:p>
      <w:pPr>
        <w:spacing w:after="0" w:line="114" w:lineRule="exact"/>
        <w:rPr>
          <w:sz w:val="20"/>
          <w:szCs w:val="20"/>
          <w:color w:val="auto"/>
        </w:rPr>
      </w:pPr>
    </w:p>
    <w:p>
      <w:pPr>
        <w:ind w:right="740" w:firstLine="436"/>
        <w:spacing w:after="0" w:line="27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All payments due to CRT under this Agreement shall be made in the Currency in cleared funds to the account of “Cancer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Limited”:</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Sort code: [***]</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BIC No: [***]</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Dollar Account No: [***]</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IBAN No: [***]</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Name: [***]</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 [***]</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account details as CRT may notify to the Company from time to time.</w:t>
      </w:r>
    </w:p>
    <w:p>
      <w:pPr>
        <w:spacing w:after="0" w:line="217" w:lineRule="exact"/>
        <w:rPr>
          <w:sz w:val="20"/>
          <w:szCs w:val="20"/>
          <w:color w:val="auto"/>
        </w:rPr>
      </w:pPr>
    </w:p>
    <w:p>
      <w:pPr>
        <w:ind w:right="80" w:firstLine="436"/>
        <w:spacing w:after="0" w:line="284"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color w:val="auto"/>
        </w:rPr>
        <w:t>Where Products are sold by the Company, its Affiliates or Sub-Licensees in a currency other than the Currency, the rate of exchange to be</w:t>
      </w:r>
      <w:r>
        <w:rPr>
          <w:rFonts w:ascii="Arial" w:cs="Arial" w:eastAsia="Arial" w:hAnsi="Arial"/>
          <w:sz w:val="17"/>
          <w:szCs w:val="17"/>
          <w:b w:val="1"/>
          <w:bCs w:val="1"/>
          <w:color w:val="auto"/>
        </w:rPr>
        <w:t xml:space="preserve"> </w:t>
      </w:r>
      <w:r>
        <w:rPr>
          <w:rFonts w:ascii="Arial" w:cs="Arial" w:eastAsia="Arial" w:hAnsi="Arial"/>
          <w:sz w:val="17"/>
          <w:szCs w:val="17"/>
          <w:color w:val="auto"/>
        </w:rPr>
        <w:t>used for converting such other currency into the Currency shall be a recognized independent third party rate of exchange which is the same as that used throughout the accounting system of the Company, its Affiliate or Sub-Licensees, as applicable, for such Year.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All costs of transmission or currency conversion shall be borne by the Company.</w:t>
      </w:r>
    </w:p>
    <w:p>
      <w:pPr>
        <w:spacing w:after="0" w:line="221"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color w:val="auto"/>
        </w:rPr>
        <w:t>All payments to CRT and the ICR under this Agreement are expressed to be exclusive of value added tax howsoever arising. It is the joint</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of the Parties that, for VAT purposes, and provided that the Company remains solely established in Switzerland, the place of supply of the services supplied by CRT or the ICR to the Company shall be deemed to be in Switzerland and outside the scope of UK VAT according to article 44 of Council Directive 2006/1 12/EC and the UK implementing legislation as well as article 8(1) of the Swiss VAT Act 2010. Based on this understanding, each of CRT and the ICR shall not be entitled to charge either UK VAT or Swiss VAT on any payments under this Agreement to the Company. Conversely, the Company shall account for Swiss VAT on the purchase of services from abroad under the reverse charge regime according to article 45(l)(a) of the Swiss VAT Act 2010. Any change in the UK VAT legislation (whether it be after the UK leaves the European Union or otherwise) that requires CRT or the ICR to account or and pay UK VAT to HMRC on payments received by CRT or the ICR under this Agreement, shall require the Company to pay such VAT to CRT or the ICR in addition to those payments against receipt of a valid VAT invoice or invoices from CRT or the ICR (as applicable). Each Party shall be solely responsible for the payment of all taxes imposed on any income it receives which arises directly from the efforts of the Parties under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480" w:top="268" w:right="539" w:bottom="1440" w:gutter="0" w:footer="0" w:header="0"/>
        </w:sectPr>
      </w:pPr>
    </w:p>
    <w:bookmarkStart w:id="565" w:name="page566"/>
    <w:bookmarkEnd w:id="565"/>
    <w:p>
      <w:pPr>
        <w:ind w:right="240" w:firstLine="436"/>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10.5 </w:t>
      </w:r>
      <w:r>
        <w:rPr>
          <w:rFonts w:ascii="Arial" w:cs="Arial" w:eastAsia="Arial" w:hAnsi="Arial"/>
          <w:sz w:val="18"/>
          <w:szCs w:val="18"/>
          <w:color w:val="auto"/>
        </w:rPr>
        <w:t>All sums payable under this Agreement shall be paid without deduction or deferment in respect of any claims whatsoever and of any taxes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any tax which the Company is required by law to deduct or withhold. If the Company is required by law to make any such tax deduction or withholding, the Company shall give reasonable assistance to CRT or the ICR (as applicable) to claim exemption from or (if that is not possible) a recovery of or credit for the deduction or withholding under any applicable double taxation or similar agreement from time to time in force, and shall promptly give CRT or the ICR (as applicable) proper evidence as to the deduction or withholding and payment over of the tax, including any value added tax, deducted or withheld.</w:t>
      </w:r>
    </w:p>
    <w:p>
      <w:pPr>
        <w:spacing w:after="0" w:line="189" w:lineRule="exact"/>
        <w:rPr>
          <w:sz w:val="20"/>
          <w:szCs w:val="20"/>
          <w:color w:val="auto"/>
        </w:rPr>
      </w:pPr>
    </w:p>
    <w:p>
      <w:pPr>
        <w:ind w:right="120" w:firstLine="436"/>
        <w:spacing w:after="0" w:line="277" w:lineRule="auto"/>
        <w:rPr>
          <w:sz w:val="20"/>
          <w:szCs w:val="20"/>
          <w:color w:val="auto"/>
        </w:rPr>
      </w:pPr>
      <w:r>
        <w:rPr>
          <w:rFonts w:ascii="Arial" w:cs="Arial" w:eastAsia="Arial" w:hAnsi="Arial"/>
          <w:sz w:val="17"/>
          <w:szCs w:val="17"/>
          <w:b w:val="1"/>
          <w:bCs w:val="1"/>
          <w:color w:val="auto"/>
        </w:rPr>
        <w:t xml:space="preserve">10.6 </w:t>
      </w:r>
      <w:r>
        <w:rPr>
          <w:rFonts w:ascii="Arial" w:cs="Arial" w:eastAsia="Arial" w:hAnsi="Arial"/>
          <w:sz w:val="17"/>
          <w:szCs w:val="17"/>
          <w:color w:val="auto"/>
        </w:rPr>
        <w:t>Where CRT or the ICR does not receive payment of any undisputed sums due to it by the due date except where such dispute is resolved in</w:t>
      </w:r>
      <w:r>
        <w:rPr>
          <w:rFonts w:ascii="Arial" w:cs="Arial" w:eastAsia="Arial" w:hAnsi="Arial"/>
          <w:sz w:val="17"/>
          <w:szCs w:val="17"/>
          <w:b w:val="1"/>
          <w:bCs w:val="1"/>
          <w:color w:val="auto"/>
        </w:rPr>
        <w:t xml:space="preserve"> </w:t>
      </w:r>
      <w:r>
        <w:rPr>
          <w:rFonts w:ascii="Arial" w:cs="Arial" w:eastAsia="Arial" w:hAnsi="Arial"/>
          <w:sz w:val="17"/>
          <w:szCs w:val="17"/>
          <w:color w:val="auto"/>
        </w:rPr>
        <w:t>CRT’s or the ICR’s favour under Clause 11.2, interest shall accrue both before and after any judgment on the sum due and owing to CRT at the rate equivalent to an annual rate of [***] percent ([***]%) over the then current [***], or, if lower, the highest rate permitted under applicable law, until the full amount is paid to CRT or the ICR, without prejudice to CRT’s or the ICR’s right to receive payment on the due date.</w:t>
      </w:r>
    </w:p>
    <w:p>
      <w:pPr>
        <w:spacing w:after="0" w:line="167"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Within [***] after the end of each [***], the Company, shall send to CRT a written statement detailing in respect of that [***] (including a nil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if appropriate):</w:t>
      </w:r>
    </w:p>
    <w:p>
      <w:pPr>
        <w:spacing w:after="0" w:line="65" w:lineRule="exact"/>
        <w:rPr>
          <w:sz w:val="20"/>
          <w:szCs w:val="20"/>
          <w:color w:val="auto"/>
        </w:rPr>
      </w:pPr>
    </w:p>
    <w:p>
      <w:pPr>
        <w:ind w:left="1240" w:hanging="250"/>
        <w:spacing w:after="0"/>
        <w:tabs>
          <w:tab w:leader="none" w:pos="1240" w:val="left"/>
        </w:tabs>
        <w:numPr>
          <w:ilvl w:val="0"/>
          <w:numId w:val="487"/>
        </w:numPr>
        <w:rPr>
          <w:rFonts w:ascii="Arial" w:cs="Arial" w:eastAsia="Arial" w:hAnsi="Arial"/>
          <w:sz w:val="18"/>
          <w:szCs w:val="18"/>
          <w:b w:val="1"/>
          <w:bCs w:val="1"/>
          <w:color w:val="auto"/>
        </w:rPr>
      </w:pPr>
      <w:r>
        <w:rPr>
          <w:rFonts w:ascii="Arial" w:cs="Arial" w:eastAsia="Arial" w:hAnsi="Arial"/>
          <w:sz w:val="18"/>
          <w:szCs w:val="18"/>
          <w:color w:val="auto"/>
        </w:rPr>
        <w:t>any Milestone Payments which became due to CRT;</w:t>
      </w:r>
    </w:p>
    <w:p>
      <w:pPr>
        <w:spacing w:after="0" w:line="220" w:lineRule="exact"/>
        <w:rPr>
          <w:rFonts w:ascii="Arial" w:cs="Arial" w:eastAsia="Arial" w:hAnsi="Arial"/>
          <w:sz w:val="18"/>
          <w:szCs w:val="18"/>
          <w:b w:val="1"/>
          <w:bCs w:val="1"/>
          <w:color w:val="auto"/>
        </w:rPr>
      </w:pPr>
    </w:p>
    <w:p>
      <w:pPr>
        <w:ind w:right="80" w:firstLine="990"/>
        <w:spacing w:after="0" w:line="271" w:lineRule="auto"/>
        <w:tabs>
          <w:tab w:leader="none" w:pos="1245" w:val="left"/>
        </w:tabs>
        <w:numPr>
          <w:ilvl w:val="0"/>
          <w:numId w:val="487"/>
        </w:numPr>
        <w:rPr>
          <w:rFonts w:ascii="Arial" w:cs="Arial" w:eastAsia="Arial" w:hAnsi="Arial"/>
          <w:sz w:val="18"/>
          <w:szCs w:val="18"/>
          <w:b w:val="1"/>
          <w:bCs w:val="1"/>
          <w:color w:val="auto"/>
        </w:rPr>
      </w:pPr>
      <w:r>
        <w:rPr>
          <w:rFonts w:ascii="Arial" w:cs="Arial" w:eastAsia="Arial" w:hAnsi="Arial"/>
          <w:sz w:val="18"/>
          <w:szCs w:val="18"/>
          <w:color w:val="auto"/>
        </w:rPr>
        <w:t>the aggregate Net Sales in respect of that [***] for each Product in each country of the Territory and the total royalties payable to CRT in respect of Net Sales;</w:t>
      </w:r>
    </w:p>
    <w:p>
      <w:pPr>
        <w:spacing w:after="0" w:line="174"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87"/>
        </w:numPr>
        <w:rPr>
          <w:rFonts w:ascii="Arial" w:cs="Arial" w:eastAsia="Arial" w:hAnsi="Arial"/>
          <w:sz w:val="18"/>
          <w:szCs w:val="18"/>
          <w:b w:val="1"/>
          <w:bCs w:val="1"/>
          <w:color w:val="auto"/>
        </w:rPr>
      </w:pPr>
      <w:r>
        <w:rPr>
          <w:rFonts w:ascii="Arial" w:cs="Arial" w:eastAsia="Arial" w:hAnsi="Arial"/>
          <w:sz w:val="18"/>
          <w:szCs w:val="18"/>
          <w:color w:val="auto"/>
        </w:rPr>
        <w:t>the type and value of deductions made in the calculation of Net Sales by each Product, and country;</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487"/>
        </w:numPr>
        <w:rPr>
          <w:rFonts w:ascii="Arial" w:cs="Arial" w:eastAsia="Arial" w:hAnsi="Arial"/>
          <w:sz w:val="18"/>
          <w:szCs w:val="18"/>
          <w:b w:val="1"/>
          <w:bCs w:val="1"/>
          <w:color w:val="auto"/>
        </w:rPr>
      </w:pPr>
      <w:r>
        <w:rPr>
          <w:rFonts w:ascii="Arial" w:cs="Arial" w:eastAsia="Arial" w:hAnsi="Arial"/>
          <w:sz w:val="18"/>
          <w:szCs w:val="18"/>
          <w:color w:val="auto"/>
        </w:rPr>
        <w:t>any currency conversions, showing the rates used;</w:t>
      </w:r>
    </w:p>
    <w:p>
      <w:pPr>
        <w:spacing w:after="0" w:line="220" w:lineRule="exact"/>
        <w:rPr>
          <w:rFonts w:ascii="Arial" w:cs="Arial" w:eastAsia="Arial" w:hAnsi="Arial"/>
          <w:sz w:val="18"/>
          <w:szCs w:val="18"/>
          <w:b w:val="1"/>
          <w:bCs w:val="1"/>
          <w:color w:val="auto"/>
        </w:rPr>
      </w:pPr>
    </w:p>
    <w:p>
      <w:pPr>
        <w:ind w:left="1240" w:hanging="250"/>
        <w:spacing w:after="0"/>
        <w:tabs>
          <w:tab w:leader="none" w:pos="1240" w:val="left"/>
        </w:tabs>
        <w:numPr>
          <w:ilvl w:val="0"/>
          <w:numId w:val="487"/>
        </w:numPr>
        <w:rPr>
          <w:rFonts w:ascii="Arial" w:cs="Arial" w:eastAsia="Arial" w:hAnsi="Arial"/>
          <w:sz w:val="17"/>
          <w:szCs w:val="17"/>
          <w:b w:val="1"/>
          <w:bCs w:val="1"/>
          <w:color w:val="auto"/>
        </w:rPr>
      </w:pPr>
      <w:r>
        <w:rPr>
          <w:rFonts w:ascii="Arial" w:cs="Arial" w:eastAsia="Arial" w:hAnsi="Arial"/>
          <w:sz w:val="17"/>
          <w:szCs w:val="17"/>
          <w:color w:val="auto"/>
        </w:rPr>
        <w:t>any further information necessary for the calculation of Net Sales of Products and/or the royalties on Net Sales due to CRT; and</w:t>
      </w:r>
    </w:p>
    <w:p>
      <w:pPr>
        <w:spacing w:after="0" w:line="232" w:lineRule="exact"/>
        <w:rPr>
          <w:rFonts w:ascii="Arial" w:cs="Arial" w:eastAsia="Arial" w:hAnsi="Arial"/>
          <w:sz w:val="17"/>
          <w:szCs w:val="17"/>
          <w:b w:val="1"/>
          <w:bCs w:val="1"/>
          <w:color w:val="auto"/>
        </w:rPr>
      </w:pPr>
    </w:p>
    <w:p>
      <w:pPr>
        <w:ind w:left="1220" w:hanging="230"/>
        <w:spacing w:after="0"/>
        <w:tabs>
          <w:tab w:leader="none" w:pos="1220" w:val="left"/>
        </w:tabs>
        <w:numPr>
          <w:ilvl w:val="0"/>
          <w:numId w:val="487"/>
        </w:numPr>
        <w:rPr>
          <w:rFonts w:ascii="Arial" w:cs="Arial" w:eastAsia="Arial" w:hAnsi="Arial"/>
          <w:sz w:val="18"/>
          <w:szCs w:val="18"/>
          <w:b w:val="1"/>
          <w:bCs w:val="1"/>
          <w:color w:val="auto"/>
        </w:rPr>
      </w:pPr>
      <w:r>
        <w:rPr>
          <w:rFonts w:ascii="Arial" w:cs="Arial" w:eastAsia="Arial" w:hAnsi="Arial"/>
          <w:sz w:val="18"/>
          <w:szCs w:val="18"/>
          <w:color w:val="auto"/>
        </w:rPr>
        <w:t>the amount of the royalties due to CRT in respect of that [***].</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The Company shall give CRT prompt notice upon the occurrence of the achievement of any Milestone Event.</w:t>
      </w:r>
    </w:p>
    <w:p>
      <w:pPr>
        <w:spacing w:after="0" w:line="368" w:lineRule="exact"/>
        <w:rPr>
          <w:sz w:val="20"/>
          <w:szCs w:val="20"/>
          <w:color w:val="auto"/>
        </w:rPr>
      </w:pPr>
    </w:p>
    <w:p>
      <w:pPr>
        <w:ind w:left="440" w:hanging="433"/>
        <w:spacing w:after="0"/>
        <w:tabs>
          <w:tab w:leader="none" w:pos="44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Company shall:</w:t>
      </w:r>
    </w:p>
    <w:p>
      <w:pPr>
        <w:spacing w:after="0" w:line="117" w:lineRule="exact"/>
        <w:rPr>
          <w:rFonts w:ascii="Arial" w:cs="Arial" w:eastAsia="Arial" w:hAnsi="Arial"/>
          <w:sz w:val="18"/>
          <w:szCs w:val="18"/>
          <w:b w:val="1"/>
          <w:bCs w:val="1"/>
          <w:color w:val="auto"/>
        </w:rPr>
      </w:pPr>
    </w:p>
    <w:p>
      <w:pPr>
        <w:ind w:right="300" w:firstLine="990"/>
        <w:spacing w:after="0" w:line="255" w:lineRule="auto"/>
        <w:tabs>
          <w:tab w:leader="none" w:pos="1234" w:val="left"/>
        </w:tabs>
        <w:numPr>
          <w:ilvl w:val="1"/>
          <w:numId w:val="488"/>
        </w:numPr>
        <w:rPr>
          <w:rFonts w:ascii="Arial" w:cs="Arial" w:eastAsia="Arial" w:hAnsi="Arial"/>
          <w:sz w:val="18"/>
          <w:szCs w:val="18"/>
          <w:b w:val="1"/>
          <w:bCs w:val="1"/>
          <w:color w:val="auto"/>
        </w:rPr>
      </w:pPr>
      <w:r>
        <w:rPr>
          <w:rFonts w:ascii="Arial" w:cs="Arial" w:eastAsia="Arial" w:hAnsi="Arial"/>
          <w:sz w:val="18"/>
          <w:szCs w:val="18"/>
          <w:color w:val="auto"/>
        </w:rPr>
        <w:t>keep and notwithstanding termination of this Agreement, maintain and shall procure that each of its Sub-Licensees, and each of its Affiliates and their respective Sub-Licensees and subcontractors, as applicable, keep and maintain, for at least [***], complete and accurate accounts and records (including any underlying documents supporting such accounts and records) in sufficient detail to enable the amount of all sums payable under this Agreement to be determined;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68" w:right="499" w:bottom="1440" w:gutter="0" w:footer="0" w:header="0"/>
        </w:sectPr>
      </w:pPr>
    </w:p>
    <w:bookmarkStart w:id="566" w:name="page567"/>
    <w:bookmarkEnd w:id="566"/>
    <w:p>
      <w:pPr>
        <w:ind w:right="20" w:firstLine="990"/>
        <w:spacing w:after="0" w:line="286" w:lineRule="auto"/>
        <w:tabs>
          <w:tab w:leader="none" w:pos="1245" w:val="left"/>
        </w:tabs>
        <w:numPr>
          <w:ilvl w:val="0"/>
          <w:numId w:val="48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during the Term and thereafter until the said period of [***] relevant to the accounts and records has expired, at the reasonable request of CRT (subject to Clause 11.2) at the expense of CRT, permit or procure permission for an independent, chartered accountant nominated by CRT, and reasonably acceptable to the Company, to inspect the accounts and records kept pursuant to Clause 11.1(a) to confirm any payments due hereunder for a period covering not more than the preceding [***]. Such audits shall not be performed more frequently than [***], except in the event of a dispute under Clause 11.3 below, and no more frequently than once with respect to records covering any given period. Such audits may be exercised upon reasonable prior written notice to the other Party and shall be conducted during regular business hours. Subject to receiving not less than [***] written notice, the Company shall at the request of CRT assemble in one location all such relevant accounts and records of the Company, Affiliates and Sub-Licensees. All information disclosed in such audit shall be used only for the purpose of verifying payments or compliance with this Agreement and shall be treated as Confidential Information of the Party subject to audit, subject to the obligations of this Agreement.</w:t>
      </w:r>
    </w:p>
    <w:p>
      <w:pPr>
        <w:spacing w:after="0" w:line="163" w:lineRule="exact"/>
        <w:rPr>
          <w:sz w:val="20"/>
          <w:szCs w:val="20"/>
          <w:color w:val="auto"/>
        </w:rPr>
      </w:pPr>
    </w:p>
    <w:p>
      <w:pPr>
        <w:ind w:right="40" w:firstLine="436"/>
        <w:spacing w:after="0" w:line="273"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CRT shall bear the full cost of such audit; provided that if, following any inspection pursuant to Clause 11.1(b), CRT’s nominated accountant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certifies to CRT that the payments in respect of any Quarter or Year fall short of the sums which were properly payable in respect of that Quarter or Year under this Agreement, CRT shall send a copy of the certificate to the Company and the Company shall (subject to Clause 11.3) within [***] of the date of receipt the certificate pay the shortfall to CRT and, if the shortfall exceeds [***] per cent ([***]%) of the sum properly payable, the Company shall also reimburse to CRT the reasonable costs and expenses of CRT in making the inspection.</w:t>
      </w:r>
    </w:p>
    <w:p>
      <w:pPr>
        <w:spacing w:after="0" w:line="172"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If within [***] of the date of receipt by CRT of any certificate produced pursuant to Clause 11.2, Company notifies the other Party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disputes the certificate, then dispute shall be referred for resolution by Expert in accordance with Clause 32.1. For the duration of the Service Term and [***] thereafter, the ICR shall keep and maintain complete and accurate accounts and records (including any underlying documents supporting such accounts and records) of any outsourcing costs that ICR has incurred in the course of conducting the Programme in sufficient detail to enable the amount of all such sums reimbursed by Company under this Agreement to be determined. At Company’s request (not more than [***] during the Service Term and for [***] after), the ICR shall provide the Company with proof of the ICR having incurred any such outsourcing costs.</w:t>
      </w:r>
    </w:p>
    <w:p>
      <w:pPr>
        <w:spacing w:after="0" w:line="306" w:lineRule="exact"/>
        <w:rPr>
          <w:sz w:val="20"/>
          <w:szCs w:val="20"/>
          <w:color w:val="auto"/>
        </w:rPr>
      </w:pPr>
    </w:p>
    <w:p>
      <w:pPr>
        <w:ind w:left="440" w:hanging="433"/>
        <w:spacing w:after="0"/>
        <w:tabs>
          <w:tab w:leader="none" w:pos="44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PROTECTION, PROCEEDINGS AND COSTS</w:t>
      </w:r>
    </w:p>
    <w:p>
      <w:pPr>
        <w:spacing w:after="0" w:line="114" w:lineRule="exact"/>
        <w:rPr>
          <w:sz w:val="20"/>
          <w:szCs w:val="20"/>
          <w:color w:val="auto"/>
        </w:rPr>
      </w:pPr>
    </w:p>
    <w:p>
      <w:pPr>
        <w:ind w:right="20" w:firstLine="436"/>
        <w:spacing w:after="0" w:line="271"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Subject to Clause 12.2, 12.3 and 12.4, the Company shall have the first right, but not the obligation, for preparing; filing, prosecuting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maintaining (including any patent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reissue, revocation, opposition and appeal proceedings) any Programme Patents, which, during the Term, will be in accordance with the strategy agreed by the JSC. CRT and the ICR shall provide the Company all reasonable assistance and cooperation requested in the Programme Patent preparation, filing, prosecution and maintenance efforts provided in this Clause 12.1, including providing any reasonably necessary and suitably limited powers of attorney and assignments and executing any other required documents or instruments for such filing, prosecution and maintenance.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80" w:top="272" w:right="499" w:bottom="1440" w:gutter="0" w:footer="0" w:header="0"/>
        </w:sectPr>
      </w:pPr>
    </w:p>
    <w:bookmarkStart w:id="567" w:name="page568"/>
    <w:bookmarkEnd w:id="567"/>
    <w:p>
      <w:pPr>
        <w:ind w:firstLine="43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12.2 </w:t>
      </w:r>
      <w:r>
        <w:rPr>
          <w:rFonts w:ascii="Arial" w:cs="Arial" w:eastAsia="Arial" w:hAnsi="Arial"/>
          <w:sz w:val="18"/>
          <w:szCs w:val="18"/>
          <w:color w:val="auto"/>
        </w:rPr>
        <w:t>The Company shall keep CRT and the ICR reasonably informed as to the prosecution and maintenance status of the Programme Patents. At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sole discretion, Company shall be at liberty to instruct its patent agent to copy CRT and the ICR into correspondence sent by the patent agent in which case Company shall be deemed to have complied with this Clause 12.2.</w:t>
      </w:r>
    </w:p>
    <w:p>
      <w:pPr>
        <w:spacing w:after="0" w:line="181" w:lineRule="exact"/>
        <w:rPr>
          <w:sz w:val="20"/>
          <w:szCs w:val="20"/>
          <w:color w:val="auto"/>
        </w:rPr>
      </w:pPr>
    </w:p>
    <w:p>
      <w:pPr>
        <w:ind w:right="220" w:firstLine="436"/>
        <w:spacing w:after="0" w:line="261"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The following shall apply in respect of any part of the Programme Patents which directly relates to a Product discovered, developed and/or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in a specific drug discovery project which was initiated by the ICR pursuant to the conduct of the Programme (the “</w:t>
      </w:r>
      <w:r>
        <w:rPr>
          <w:rFonts w:ascii="Arial" w:cs="Arial" w:eastAsia="Arial" w:hAnsi="Arial"/>
          <w:sz w:val="18"/>
          <w:szCs w:val="18"/>
          <w:b w:val="1"/>
          <w:bCs w:val="1"/>
          <w:i w:val="1"/>
          <w:iCs w:val="1"/>
          <w:color w:val="auto"/>
        </w:rPr>
        <w:t>Selected Programme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p>
    <w:p>
      <w:pPr>
        <w:spacing w:after="0" w:line="78" w:lineRule="exact"/>
        <w:rPr>
          <w:sz w:val="20"/>
          <w:szCs w:val="20"/>
          <w:color w:val="auto"/>
        </w:rPr>
      </w:pPr>
    </w:p>
    <w:p>
      <w:pPr>
        <w:ind w:right="60" w:firstLine="990"/>
        <w:spacing w:after="0" w:line="253" w:lineRule="auto"/>
        <w:tabs>
          <w:tab w:leader="none" w:pos="1234" w:val="left"/>
        </w:tabs>
        <w:numPr>
          <w:ilvl w:val="0"/>
          <w:numId w:val="491"/>
        </w:numPr>
        <w:rPr>
          <w:rFonts w:ascii="Arial" w:cs="Arial" w:eastAsia="Arial" w:hAnsi="Arial"/>
          <w:sz w:val="18"/>
          <w:szCs w:val="18"/>
          <w:b w:val="1"/>
          <w:bCs w:val="1"/>
          <w:color w:val="auto"/>
        </w:rPr>
      </w:pPr>
      <w:r>
        <w:rPr>
          <w:rFonts w:ascii="Arial" w:cs="Arial" w:eastAsia="Arial" w:hAnsi="Arial"/>
          <w:sz w:val="18"/>
          <w:szCs w:val="18"/>
          <w:color w:val="auto"/>
        </w:rPr>
        <w:t>If Company elects to stop the prosecution and maintenance of any part of the Selected Programme Patents, Company shall notify CRT and ICR in writing of such decision (and (if applicable) any associated Commercial Delay Rationale (as defined below)), but no later than [***] prior to the expiration of any applicable time bars. During the aforementioned [***] notice period, Company shall retain the responsibility for the prosecution and maintenance of the Selected Programme Patent in question. On expiry of such notice period unless Company demonstrates to [***] (the “</w:t>
      </w:r>
      <w:r>
        <w:rPr>
          <w:rFonts w:ascii="Arial" w:cs="Arial" w:eastAsia="Arial" w:hAnsi="Arial"/>
          <w:sz w:val="18"/>
          <w:szCs w:val="18"/>
          <w:b w:val="1"/>
          <w:bCs w:val="1"/>
          <w:i w:val="1"/>
          <w:iCs w:val="1"/>
          <w:color w:val="auto"/>
        </w:rPr>
        <w:t>Commercial Delay Rationale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right="40" w:firstLine="1426"/>
        <w:spacing w:after="0" w:line="301" w:lineRule="auto"/>
        <w:tabs>
          <w:tab w:leader="none" w:pos="1632" w:val="left"/>
        </w:tabs>
        <w:numPr>
          <w:ilvl w:val="1"/>
          <w:numId w:val="491"/>
        </w:numPr>
        <w:rPr>
          <w:rFonts w:ascii="Arial" w:cs="Arial" w:eastAsia="Arial" w:hAnsi="Arial"/>
          <w:sz w:val="17"/>
          <w:szCs w:val="17"/>
          <w:b w:val="1"/>
          <w:bCs w:val="1"/>
          <w:color w:val="auto"/>
        </w:rPr>
      </w:pPr>
      <w:r>
        <w:rPr>
          <w:rFonts w:ascii="Arial" w:cs="Arial" w:eastAsia="Arial" w:hAnsi="Arial"/>
          <w:sz w:val="17"/>
          <w:szCs w:val="17"/>
          <w:color w:val="auto"/>
        </w:rPr>
        <w:t>Company shall, at CRT’s (of if CRT declines, ICR’s) request, promptly provide copies to CRT (or any person nominated by CRT, or if CRT declines, ICR) any and all documents and information in Company’s control relating to such Selected Programme Patents; and</w:t>
      </w:r>
    </w:p>
    <w:p>
      <w:pPr>
        <w:spacing w:after="0" w:line="151" w:lineRule="exact"/>
        <w:rPr>
          <w:rFonts w:ascii="Arial" w:cs="Arial" w:eastAsia="Arial" w:hAnsi="Arial"/>
          <w:sz w:val="17"/>
          <w:szCs w:val="17"/>
          <w:b w:val="1"/>
          <w:bCs w:val="1"/>
          <w:color w:val="auto"/>
        </w:rPr>
      </w:pPr>
    </w:p>
    <w:p>
      <w:pPr>
        <w:ind w:left="1680" w:hanging="254"/>
        <w:spacing w:after="0"/>
        <w:tabs>
          <w:tab w:leader="none" w:pos="1680" w:val="left"/>
        </w:tabs>
        <w:numPr>
          <w:ilvl w:val="1"/>
          <w:numId w:val="491"/>
        </w:numPr>
        <w:rPr>
          <w:rFonts w:ascii="Arial" w:cs="Arial" w:eastAsia="Arial" w:hAnsi="Arial"/>
          <w:sz w:val="16"/>
          <w:szCs w:val="16"/>
          <w:b w:val="1"/>
          <w:bCs w:val="1"/>
          <w:color w:val="auto"/>
        </w:rPr>
      </w:pPr>
      <w:r>
        <w:rPr>
          <w:rFonts w:ascii="Arial" w:cs="Arial" w:eastAsia="Arial" w:hAnsi="Arial"/>
          <w:sz w:val="16"/>
          <w:szCs w:val="16"/>
          <w:color w:val="auto"/>
        </w:rPr>
        <w:t>CRT (or if CRT declines, ICR) shall be free to prosecute or abandon such Selected Programme Patents at its sole discretion.</w:t>
      </w:r>
    </w:p>
    <w:p>
      <w:pPr>
        <w:spacing w:after="0" w:line="2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Should CRT and/or ICR dispute the Commercial Delay Rationale set out in the notice, the matter may be referred for determination in accordance with Clause 32.</w:t>
      </w:r>
    </w:p>
    <w:p>
      <w:pPr>
        <w:spacing w:after="0" w:line="171" w:lineRule="exact"/>
        <w:rPr>
          <w:sz w:val="20"/>
          <w:szCs w:val="20"/>
          <w:color w:val="auto"/>
        </w:rPr>
      </w:pPr>
    </w:p>
    <w:p>
      <w:pPr>
        <w:ind w:right="140" w:firstLine="436"/>
        <w:spacing w:after="0" w:line="257"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Each Party will notify the other, in writing as soon as reasonably practicable after it becomes aware that any claim is made or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CRT, the ICR, the Company or a Sub-Licensee (in the case of the latter, where this is made known to the Company) by any Third Party that the exercise by CRT, the ICR, the Company or such Sub-Licensee of the rights granted pursuant to this Agreement infringes any Patent or other rights of any Third Party.</w:t>
      </w:r>
    </w:p>
    <w:p>
      <w:pPr>
        <w:spacing w:after="0" w:line="183" w:lineRule="exact"/>
        <w:rPr>
          <w:sz w:val="20"/>
          <w:szCs w:val="20"/>
          <w:color w:val="auto"/>
        </w:rPr>
      </w:pPr>
    </w:p>
    <w:p>
      <w:pPr>
        <w:ind w:right="20" w:firstLine="436"/>
        <w:spacing w:after="0" w:line="273"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In the event of the circumstances described in Clause 12.5 arising, (a) the Company shall use Commercially Reasonable Efforts to take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steps as may be necessary in order to address as appropriate any such alleged infringement by the Company, its Affiliates or its Sub-Licensees, and CRT and the ICR shall, at the Company’s cost, give it all reasonable co-operation in this regard, and (b) each of CRT and the ICR shall use Commercially Reasonable Efforts take such steps as may be necessary in order to address as appropriate any such alleged infringement by CRT and/or the ICR, and the Company shall, at cost of CRT and the ICR, give them all reasonable co-operation in this regard.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68" w:right="499" w:bottom="1440" w:gutter="0" w:footer="0" w:header="0"/>
        </w:sectPr>
      </w:pPr>
    </w:p>
    <w:bookmarkStart w:id="568" w:name="page569"/>
    <w:bookmarkEnd w:id="568"/>
    <w:p>
      <w:pPr>
        <w:ind w:right="80" w:firstLine="43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12.6 </w:t>
      </w:r>
      <w:r>
        <w:rPr>
          <w:rFonts w:ascii="Arial" w:cs="Arial" w:eastAsia="Arial" w:hAnsi="Arial"/>
          <w:sz w:val="18"/>
          <w:szCs w:val="18"/>
          <w:color w:val="auto"/>
        </w:rPr>
        <w:t>Each Party will notify the other in writing as soon as it becomes aware of any infringement or suspected infringement by a third party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Programme Patents or any unauthorised use of the Programme Know How and/or Programme Materials and the Company shall have the sole right, but not the obligation to:</w:t>
      </w:r>
    </w:p>
    <w:p>
      <w:pPr>
        <w:spacing w:after="0" w:line="78" w:lineRule="exact"/>
        <w:rPr>
          <w:sz w:val="20"/>
          <w:szCs w:val="20"/>
          <w:color w:val="auto"/>
        </w:rPr>
      </w:pPr>
    </w:p>
    <w:p>
      <w:pPr>
        <w:ind w:right="1040" w:firstLine="990"/>
        <w:spacing w:after="0" w:line="301" w:lineRule="auto"/>
        <w:tabs>
          <w:tab w:leader="none" w:pos="1234"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at its own cost, and subject to Clause 8, bring proceedings in its own name for infringement of the Programme Patents or misappropriation of and/or unauthorized used the Programme Know How and/or Programme Materials; and</w:t>
      </w:r>
    </w:p>
    <w:p>
      <w:pPr>
        <w:spacing w:after="0" w:line="151" w:lineRule="exact"/>
        <w:rPr>
          <w:rFonts w:ascii="Arial" w:cs="Arial" w:eastAsia="Arial" w:hAnsi="Arial"/>
          <w:sz w:val="17"/>
          <w:szCs w:val="17"/>
          <w:b w:val="1"/>
          <w:bCs w:val="1"/>
          <w:color w:val="auto"/>
        </w:rPr>
      </w:pPr>
    </w:p>
    <w:p>
      <w:pPr>
        <w:ind w:right="160" w:firstLine="990"/>
        <w:spacing w:after="0" w:line="271" w:lineRule="auto"/>
        <w:tabs>
          <w:tab w:leader="none" w:pos="1245" w:val="left"/>
        </w:tabs>
        <w:numPr>
          <w:ilvl w:val="0"/>
          <w:numId w:val="492"/>
        </w:numPr>
        <w:rPr>
          <w:rFonts w:ascii="Arial" w:cs="Arial" w:eastAsia="Arial" w:hAnsi="Arial"/>
          <w:sz w:val="18"/>
          <w:szCs w:val="18"/>
          <w:b w:val="1"/>
          <w:bCs w:val="1"/>
          <w:color w:val="auto"/>
        </w:rPr>
      </w:pPr>
      <w:r>
        <w:rPr>
          <w:rFonts w:ascii="Arial" w:cs="Arial" w:eastAsia="Arial" w:hAnsi="Arial"/>
          <w:sz w:val="18"/>
          <w:szCs w:val="18"/>
          <w:color w:val="auto"/>
        </w:rPr>
        <w:t>in any such proceedings settle any claim for infringement of the Programme Patents or misappropriation of and/or unauthorized used the Programme Know How and/or Programme Materials.</w:t>
      </w:r>
    </w:p>
    <w:p>
      <w:pPr>
        <w:spacing w:after="0" w:line="17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In any such proceedings, CRT and the ICR shall, at the Company’s cost, promptly provide the Company with all documents and assistance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reasonably require, including joining in any such proceeding and/or providing any reasonably necessary and suitably limited powers of attorney. The Company shall promptly provide CRT and the ICR with notice of such proceedings, keep CRT and the ICR regularly informed of progress and promptly provide CRT and the ICR with such information as CRT and/or ICR may reasonably require, including copies of all documents filed at court or other tribunal in such proceedings. [***].</w:t>
      </w:r>
    </w:p>
    <w:p>
      <w:pPr>
        <w:spacing w:after="0" w:line="331" w:lineRule="exact"/>
        <w:rPr>
          <w:sz w:val="20"/>
          <w:szCs w:val="20"/>
          <w:color w:val="auto"/>
        </w:rPr>
      </w:pPr>
    </w:p>
    <w:p>
      <w:pPr>
        <w:ind w:left="440" w:hanging="433"/>
        <w:spacing w:after="0"/>
        <w:tabs>
          <w:tab w:leader="none" w:pos="4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Each Party represents and warrants to the other Parties that:</w:t>
      </w:r>
    </w:p>
    <w:p>
      <w:pPr>
        <w:spacing w:after="0" w:line="224" w:lineRule="exact"/>
        <w:rPr>
          <w:rFonts w:ascii="Arial" w:cs="Arial" w:eastAsia="Arial" w:hAnsi="Arial"/>
          <w:sz w:val="18"/>
          <w:szCs w:val="18"/>
          <w:b w:val="1"/>
          <w:bCs w:val="1"/>
          <w:color w:val="auto"/>
        </w:rPr>
      </w:pPr>
    </w:p>
    <w:p>
      <w:pPr>
        <w:ind w:left="1240" w:hanging="250"/>
        <w:spacing w:after="0"/>
        <w:tabs>
          <w:tab w:leader="none" w:pos="1240"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such Party has the full power and authority to enter into this Agreement and to carry out the provisions hereof;</w:t>
      </w:r>
    </w:p>
    <w:p>
      <w:pPr>
        <w:spacing w:after="0" w:line="220" w:lineRule="exact"/>
        <w:rPr>
          <w:rFonts w:ascii="Arial" w:cs="Arial" w:eastAsia="Arial" w:hAnsi="Arial"/>
          <w:sz w:val="18"/>
          <w:szCs w:val="18"/>
          <w:b w:val="1"/>
          <w:bCs w:val="1"/>
          <w:color w:val="auto"/>
        </w:rPr>
      </w:pPr>
    </w:p>
    <w:p>
      <w:pPr>
        <w:ind w:right="140" w:firstLine="990"/>
        <w:spacing w:after="0" w:line="271" w:lineRule="auto"/>
        <w:tabs>
          <w:tab w:leader="none" w:pos="1245"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such Party has taken all necessary action on its part to authorize the execution and delivery of this Agreement and the performance of its obligations hereunder;</w:t>
      </w:r>
    </w:p>
    <w:p>
      <w:pPr>
        <w:spacing w:after="0" w:line="174" w:lineRule="exact"/>
        <w:rPr>
          <w:rFonts w:ascii="Arial" w:cs="Arial" w:eastAsia="Arial" w:hAnsi="Arial"/>
          <w:sz w:val="18"/>
          <w:szCs w:val="18"/>
          <w:b w:val="1"/>
          <w:bCs w:val="1"/>
          <w:color w:val="auto"/>
        </w:rPr>
      </w:pPr>
    </w:p>
    <w:p>
      <w:pPr>
        <w:ind w:right="620" w:firstLine="990"/>
        <w:spacing w:after="0" w:line="271" w:lineRule="auto"/>
        <w:tabs>
          <w:tab w:leader="none" w:pos="1224"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this Agreement has been duly executed and delivered on behalf of such Party, and constitutes a legal, valid, binding obligation, enforceable against it in accordance with the terms hereof;</w:t>
      </w:r>
    </w:p>
    <w:p>
      <w:pPr>
        <w:spacing w:after="0" w:line="174" w:lineRule="exact"/>
        <w:rPr>
          <w:rFonts w:ascii="Arial" w:cs="Arial" w:eastAsia="Arial" w:hAnsi="Arial"/>
          <w:sz w:val="18"/>
          <w:szCs w:val="18"/>
          <w:b w:val="1"/>
          <w:bCs w:val="1"/>
          <w:color w:val="auto"/>
        </w:rPr>
      </w:pPr>
    </w:p>
    <w:p>
      <w:pPr>
        <w:ind w:right="40" w:firstLine="990"/>
        <w:spacing w:after="0" w:line="259" w:lineRule="auto"/>
        <w:tabs>
          <w:tab w:leader="none" w:pos="1245"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by such Party does not conflict in a material manner with any agreement or any provision thereof, or any instrument or written understanding to which it is a party or by which it is bound, nor violate any law or regulation of any court, governmental body or administrative or other agency having jurisdiction over such Party;</w:t>
      </w:r>
    </w:p>
    <w:p>
      <w:pPr>
        <w:spacing w:after="0" w:line="185" w:lineRule="exact"/>
        <w:rPr>
          <w:rFonts w:ascii="Arial" w:cs="Arial" w:eastAsia="Arial" w:hAnsi="Arial"/>
          <w:sz w:val="18"/>
          <w:szCs w:val="18"/>
          <w:b w:val="1"/>
          <w:bCs w:val="1"/>
          <w:color w:val="auto"/>
        </w:rPr>
      </w:pPr>
    </w:p>
    <w:p>
      <w:pPr>
        <w:ind w:right="400" w:firstLine="990"/>
        <w:spacing w:after="0" w:line="259" w:lineRule="auto"/>
        <w:tabs>
          <w:tab w:leader="none" w:pos="1224"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department, commission, board, bureau, agency or instrumentality, domestic or foreign, under any applicable laws, rules or regulations currently in effect, is or will be necessary for the execution of this Agreement; and</w:t>
      </w:r>
    </w:p>
    <w:p>
      <w:pPr>
        <w:spacing w:after="0" w:line="185" w:lineRule="exact"/>
        <w:rPr>
          <w:rFonts w:ascii="Arial" w:cs="Arial" w:eastAsia="Arial" w:hAnsi="Arial"/>
          <w:sz w:val="18"/>
          <w:szCs w:val="18"/>
          <w:b w:val="1"/>
          <w:bCs w:val="1"/>
          <w:color w:val="auto"/>
        </w:rPr>
      </w:pPr>
    </w:p>
    <w:p>
      <w:pPr>
        <w:ind w:right="300" w:firstLine="990"/>
        <w:spacing w:after="0" w:line="253" w:lineRule="auto"/>
        <w:tabs>
          <w:tab w:leader="none" w:pos="1205" w:val="left"/>
        </w:tabs>
        <w:numPr>
          <w:ilvl w:val="1"/>
          <w:numId w:val="493"/>
        </w:numPr>
        <w:rPr>
          <w:rFonts w:ascii="Arial" w:cs="Arial" w:eastAsia="Arial" w:hAnsi="Arial"/>
          <w:sz w:val="18"/>
          <w:szCs w:val="18"/>
          <w:b w:val="1"/>
          <w:bCs w:val="1"/>
          <w:color w:val="auto"/>
        </w:rPr>
      </w:pPr>
      <w:r>
        <w:rPr>
          <w:rFonts w:ascii="Arial" w:cs="Arial" w:eastAsia="Arial" w:hAnsi="Arial"/>
          <w:sz w:val="18"/>
          <w:szCs w:val="18"/>
          <w:color w:val="auto"/>
        </w:rPr>
        <w:t>in respect of the subject-matter of this Agreement, it will not employ any individual or entity debarred by the FDA (or subject to a similar sanction of any equivalent Competent Authority outside the United States of America) or, to its knowledge, that is the subject of any FDA debarment investigation or proceeding (or similar proceeding of any equivalent Competent Authority outside the United States of America), it being understood that details of the subjects of FDA debarment investigations are not published and a Party would not make any particular enquiries of relevant individuals outside such Party’s standard policies and procedures.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480" w:top="268" w:right="519" w:bottom="1440" w:gutter="0" w:footer="0" w:header="0"/>
        </w:sectPr>
      </w:pPr>
    </w:p>
    <w:bookmarkStart w:id="569" w:name="page570"/>
    <w:bookmarkEnd w:id="569"/>
    <w:p>
      <w:pPr>
        <w:ind w:right="260" w:firstLine="43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13.2 </w:t>
      </w:r>
      <w:r>
        <w:rPr>
          <w:rFonts w:ascii="Arial" w:cs="Arial" w:eastAsia="Arial" w:hAnsi="Arial"/>
          <w:sz w:val="18"/>
          <w:szCs w:val="18"/>
          <w:color w:val="auto"/>
        </w:rPr>
        <w:t>Except as otherwise expressly set forth in this Agreement, NO PARTY MAKES ANY REPRESENTATION OR EXTENDS ANY</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OF ANY KIND, EITHER EXPRESS OR IMPLIED, INCLUDING ANY WARRANTY THAT THEIR EXERCISE OF ANY INTELLECTUAL PROPERTY RIGHT UNDER THIS AGREEMENT DOES NOT INFRINGE ANY INTELLECTUAL PROPERTY RIGHTS OF THIRD PARTIES, AND EXPRESSLY DISCLAIMS ALL WARRANTIES OF MERCHANTABILITY AND FITNESS FOR A PARTICULAR PURPOSE.</w:t>
      </w:r>
    </w:p>
    <w:p>
      <w:pPr>
        <w:spacing w:after="0" w:line="184" w:lineRule="exact"/>
        <w:rPr>
          <w:sz w:val="20"/>
          <w:szCs w:val="20"/>
          <w:color w:val="auto"/>
        </w:rPr>
      </w:pPr>
    </w:p>
    <w:p>
      <w:pPr>
        <w:ind w:right="180" w:firstLine="436"/>
        <w:spacing w:after="0" w:line="261"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No claim for breach of any of the representations or warranties in Clause 13.1 may be brought against CRT, the ICR or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after [***] has elapsed from the Services Expiry Date, after which date CRT, the ICR and the Company shall each be fully and completely discharged from any liability for breach of any of the representations or warranties in Clause 13.1.</w:t>
      </w:r>
    </w:p>
    <w:p>
      <w:pPr>
        <w:spacing w:after="0" w:line="181"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The Company’s aggregate liability, and CRT’s and the ICR’s combined aggregate liability, for breach of one or more of the representations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in Clause 13.1 and clause 6 of the License Agreement shall be limited to [***], provided that CRT’s and the ICR’s liability shall be several and not joint.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13.5 Covenants of the Parties</w:t>
      </w:r>
      <w:r>
        <w:rPr>
          <w:rFonts w:ascii="Arial" w:cs="Arial" w:eastAsia="Arial" w:hAnsi="Arial"/>
          <w:sz w:val="16"/>
          <w:szCs w:val="16"/>
          <w:color w:val="auto"/>
        </w:rPr>
        <w:t>. The Company covenants to CRT and the ICR, and each of CRT and the ICR covenants to the Company, that:</w:t>
      </w:r>
    </w:p>
    <w:p>
      <w:pPr>
        <w:spacing w:after="0" w:line="141" w:lineRule="exact"/>
        <w:rPr>
          <w:sz w:val="20"/>
          <w:szCs w:val="20"/>
          <w:color w:val="auto"/>
        </w:rPr>
      </w:pPr>
    </w:p>
    <w:p>
      <w:pPr>
        <w:ind w:right="80" w:firstLine="990"/>
        <w:spacing w:after="0" w:line="259" w:lineRule="auto"/>
        <w:tabs>
          <w:tab w:leader="none" w:pos="1234" w:val="left"/>
        </w:tabs>
        <w:numPr>
          <w:ilvl w:val="1"/>
          <w:numId w:val="494"/>
        </w:numPr>
        <w:rPr>
          <w:rFonts w:ascii="Arial" w:cs="Arial" w:eastAsia="Arial" w:hAnsi="Arial"/>
          <w:sz w:val="18"/>
          <w:szCs w:val="18"/>
          <w:b w:val="1"/>
          <w:bCs w:val="1"/>
          <w:color w:val="auto"/>
        </w:rPr>
      </w:pPr>
      <w:r>
        <w:rPr>
          <w:rFonts w:ascii="Arial" w:cs="Arial" w:eastAsia="Arial" w:hAnsi="Arial"/>
          <w:sz w:val="18"/>
          <w:szCs w:val="18"/>
          <w:color w:val="auto"/>
        </w:rPr>
        <w:t>all employees, agents or subcontractors of such Party or its Affiliates conduct activities under the Programme will be under the obligation to assign all right, title and interest in and to their inventions and discoveries, whether or not patentable, made, generated or developed in the course and as a result of such work to such Party as the sole owner thereof;</w:t>
      </w:r>
    </w:p>
    <w:p>
      <w:pPr>
        <w:spacing w:after="0" w:line="185" w:lineRule="exact"/>
        <w:rPr>
          <w:rFonts w:ascii="Arial" w:cs="Arial" w:eastAsia="Arial" w:hAnsi="Arial"/>
          <w:sz w:val="18"/>
          <w:szCs w:val="18"/>
          <w:b w:val="1"/>
          <w:bCs w:val="1"/>
          <w:color w:val="auto"/>
        </w:rPr>
      </w:pPr>
    </w:p>
    <w:p>
      <w:pPr>
        <w:ind w:right="120" w:firstLine="990"/>
        <w:spacing w:after="0" w:line="259" w:lineRule="auto"/>
        <w:tabs>
          <w:tab w:leader="none" w:pos="1245" w:val="left"/>
        </w:tabs>
        <w:numPr>
          <w:ilvl w:val="1"/>
          <w:numId w:val="494"/>
        </w:numPr>
        <w:rPr>
          <w:rFonts w:ascii="Arial" w:cs="Arial" w:eastAsia="Arial" w:hAnsi="Arial"/>
          <w:sz w:val="18"/>
          <w:szCs w:val="18"/>
          <w:b w:val="1"/>
          <w:bCs w:val="1"/>
          <w:color w:val="auto"/>
        </w:rPr>
      </w:pPr>
      <w:r>
        <w:rPr>
          <w:rFonts w:ascii="Arial" w:cs="Arial" w:eastAsia="Arial" w:hAnsi="Arial"/>
          <w:sz w:val="18"/>
          <w:szCs w:val="18"/>
          <w:color w:val="auto"/>
        </w:rPr>
        <w:t>Such Party shall perform its activities pursuant to this Agreement in compliance (and shall ensure compliance by any of its subcontractors) in all material respects with all applicable laws, in each case as applicable under the applicable laws and regulations of the country and the state and local government wherein such activities are conducted.</w:t>
      </w:r>
    </w:p>
    <w:p>
      <w:pPr>
        <w:spacing w:after="0" w:line="328" w:lineRule="exact"/>
        <w:rPr>
          <w:rFonts w:ascii="Arial" w:cs="Arial" w:eastAsia="Arial" w:hAnsi="Arial"/>
          <w:sz w:val="18"/>
          <w:szCs w:val="18"/>
          <w:b w:val="1"/>
          <w:bCs w:val="1"/>
          <w:color w:val="auto"/>
        </w:rPr>
      </w:pPr>
    </w:p>
    <w:p>
      <w:pPr>
        <w:ind w:left="440" w:hanging="433"/>
        <w:spacing w:after="0"/>
        <w:tabs>
          <w:tab w:leader="none" w:pos="44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The Company shall indemnify and hold harmless the Indemnified Parties from and against any and all liabilities, losses, damages, costs and</w:t>
      </w:r>
    </w:p>
    <w:p>
      <w:pPr>
        <w:spacing w:after="0" w:line="4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expenses, including, without limitation, reasonable legal fees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arising out of or resulting from any and all Third Party suits, claims, actions, proceedings, investigations or demands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in connection with the exercise by the Company or a Sub-Licensee of any rights to the Programme Intellectual Property, or based upon or in connection with the development, manufacture or commercialization of any and all Products by or on behalf of the Company or any of its Affiliates or Sub-Licensees, except, in each case to the extent such Losses arise from (a) the gross negligence or willful misconduct of such Indemnitee; or (b) a material breach of any representation, warranty, covenant or obligations under this Agreement by CRT or the ICR.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480" w:top="267" w:right="539" w:bottom="1440" w:gutter="0" w:footer="0" w:header="0"/>
        </w:sectPr>
      </w:pPr>
    </w:p>
    <w:bookmarkStart w:id="570" w:name="page571"/>
    <w:bookmarkEnd w:id="570"/>
    <w:p>
      <w:pPr>
        <w:ind w:firstLine="43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14.2 </w:t>
      </w:r>
      <w:r>
        <w:rPr>
          <w:rFonts w:ascii="Arial" w:cs="Arial" w:eastAsia="Arial" w:hAnsi="Arial"/>
          <w:sz w:val="16"/>
          <w:szCs w:val="16"/>
          <w:color w:val="auto"/>
        </w:rPr>
        <w:t>Promptly after receipt by the Company of any claim or alleged claim or notice of the commencement of any action, administrative or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investigation to which the indemnity provided for in this Clause 14 may apply, the Company shall give written notice to CRT and the ICR of such fact. In the event that any Indemnitee entitled to indemnification under Clause 14.1 is seeking such indemnification, such Indemnitee shall</w:t>
      </w:r>
    </w:p>
    <w:p>
      <w:pPr>
        <w:spacing w:after="0" w:line="1" w:lineRule="exact"/>
        <w:rPr>
          <w:sz w:val="20"/>
          <w:szCs w:val="20"/>
          <w:color w:val="auto"/>
        </w:rPr>
      </w:pPr>
    </w:p>
    <w:p>
      <w:pPr>
        <w:ind w:right="40" w:firstLine="7"/>
        <w:spacing w:after="0" w:line="283" w:lineRule="auto"/>
        <w:tabs>
          <w:tab w:leader="none" w:pos="24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give written notice to the Company of the Claim as soon as reasonably practicable after such Indemnitee receives notice of such Claim, (b) permit the Company to assume the direction and control of the defence of such Claim (including the sole right to settle it at the sole discretion of the Company, taking into consideration in good faith any reasonable concerns or objections raised by the Indemnitee; provided that such settlement does not impose any obligation on, or otherwise adversely affect, the Indemnitee or other Party), (c) cooperate as reasonably requested (at the expense of the Company) in the defence of such Claim, and (d) undertake all reasonable steps to mitigate any loss, damage or expense with respect to such Claim. If the Company fails to assume the defence thereof by providing the relevant Indemnitee notice of such election in writing within [***] after receipt by the Company of notice of such Claim, the Indemnitee may assume such defence and for the avoidance of doubt the indemnity in Clause 14.1 shall extend to the reasonable legal and other expenses consequently incurred in connection with such defence to the extent such Indemnitee is entitled to indemnification under Clause 14.1. The Company and the relevant Indemnitee will co-operate in good faith in the conduct of any defence, provide such reasonable assistance as may be required to enable any claim properly to be defended and the Party with conduct of the action shall provide promptly to the other Party copies of all correspondence and documents and notice in writing of the substance of all oral communications relating to such action.</w:t>
      </w:r>
    </w:p>
    <w:p>
      <w:pPr>
        <w:spacing w:after="0" w:line="164" w:lineRule="exact"/>
        <w:rPr>
          <w:sz w:val="20"/>
          <w:szCs w:val="20"/>
          <w:color w:val="auto"/>
        </w:rPr>
      </w:pPr>
    </w:p>
    <w:p>
      <w:pPr>
        <w:ind w:right="40" w:firstLine="436"/>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Should the Company assume conduct of the defence, the Indemnitee may retain separate legal advisers, at its sole cost and expense, save that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wrongly denies the applicability of the indemnity or reserves its position in relation to the same, the indemnity in this Clause 7 shall extend to the Indemnified Party’ reasonable costs and expenses so incurred.</w:t>
      </w:r>
    </w:p>
    <w:p>
      <w:pPr>
        <w:spacing w:after="0" w:line="328" w:lineRule="exact"/>
        <w:rPr>
          <w:sz w:val="20"/>
          <w:szCs w:val="20"/>
          <w:color w:val="auto"/>
        </w:rPr>
      </w:pPr>
    </w:p>
    <w:p>
      <w:pPr>
        <w:ind w:left="440" w:hanging="433"/>
        <w:spacing w:after="0"/>
        <w:tabs>
          <w:tab w:leader="none" w:pos="44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Reasonably prior to Commencement of a Phase I Trial, the Company shall put in place and thereafter maintain in accordance with the terms of this Clause 15, at its own cost, comprehensive product liability insurance and general commercial liability insurance. The Company shall ensure at CRT’s and/or the ICR’s request, that CRT and/or the ICR interest as co-assured be noted on the policy or policies. Within [***] of the Effective Date and of the beginning of each policy period, the Company shall, upon the reasonable request of CRT and/or the ICR, provide CRT and/or the ICR with a certificate evidencing the coverage required hereby, and the amount hereof and the noting of CRT and/or the ICR’s interest. Such insurance shall be with a reputable insurance company and shall be maintained for not less than [***] following the expiration/termination of this Agreement for any reason or, if such coverage is of the “claims made” type, for [***] following the expiration or termination of this Agreement for any reason.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80" w:top="268" w:right="499" w:bottom="1440" w:gutter="0" w:footer="0" w:header="0"/>
        </w:sectPr>
      </w:pPr>
    </w:p>
    <w:bookmarkStart w:id="571" w:name="page572"/>
    <w:bookmarkEnd w:id="571"/>
    <w:p>
      <w:pPr>
        <w:ind w:left="440" w:hanging="433"/>
        <w:spacing w:after="0"/>
        <w:tabs>
          <w:tab w:leader="none" w:pos="44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LIMITATION OF LIABILITY</w:t>
      </w:r>
    </w:p>
    <w:p>
      <w:pPr>
        <w:spacing w:after="0" w:line="114" w:lineRule="exact"/>
        <w:rPr>
          <w:sz w:val="20"/>
          <w:szCs w:val="20"/>
          <w:color w:val="auto"/>
        </w:rPr>
      </w:pPr>
    </w:p>
    <w:p>
      <w:pPr>
        <w:ind w:firstLine="436"/>
        <w:spacing w:after="0" w:line="250"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EXCEPT AS SET FORTH IN CLAUSE 16.2, NO PARTY, NOR CRUK, NOR THEIR RESPECTIVE OFFICERS,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SHALL HAVE LIABILITY WHETHER UNDER STATUTE OR IN TORT (INCLUDING BUT NOT LIMITED TO NEGLIGENCE), CONTRACT OR OTHERWISE TO ANY OTHER PARTY AND/OR CRUK IN RESPECT OF ANY CONSEQUENTIAL, INDIRECT OR PUNITIVE DAMAGES IN CONNECTION WITH THIS AGREEMENT, INCLUDING LOSS OF GOODWILL, OPPORTUNITY, PROFIT OR CONTRACT; PROVIDED THAT, BECAUSE MONETARY DAMAGES MAY NOT ADEQUATELY COMPENSATE A PARTY FOR A BREACH OF THE CONFIDENTIALITY PROVISIONS OF CLAUSE 17 BY ANY OTHER PARTY AND REMEDIES UNDER CLAUSE 17.6 MAY BE INADEQUATE OR UNAVAILABLE WITH RESPECT TO SUCH A BREACH, THE FOREGOING LIMITATION ON LIABILITY WILL NOT LIMIT A PARTY’S RIGHT TO RECOVER FROM ANY OTHER PARTY CONSEQUENTIAL OR INDIRECT DAMAGES (BUT NOT PUNITIVE DAMAGES) SUSTAINED AS A RESULT OF BREACH BY SUCH OTHER PARTY OF THE CONFIDENTIALITY PROVISIONS OF CLAUSE 17, BUT TO THE EXTENT ANY SUCH DAMAGES ARISE AS A RESULT OF A BREACH OF CLAUSE 17, THE BREACHING PARTY’S LIABILITY FOR ANY SUCH DAMAGES SHALL BE LIMITED TO [***] AND CRT’S AND THE ICR’S LIABILITY FOR ANY SUCH DAMAGES SHALL BE SEVERAL AND NOT JOINT.</w:t>
      </w:r>
    </w:p>
    <w:p>
      <w:pPr>
        <w:spacing w:after="0" w:line="194" w:lineRule="exact"/>
        <w:rPr>
          <w:sz w:val="20"/>
          <w:szCs w:val="20"/>
          <w:color w:val="auto"/>
        </w:rPr>
      </w:pPr>
    </w:p>
    <w:p>
      <w:pPr>
        <w:jc w:val="both"/>
        <w:ind w:right="120" w:firstLine="436"/>
        <w:spacing w:after="0" w:line="340"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color w:val="auto"/>
        </w:rPr>
        <w:t>Nothing in this Agreement shall be construed as excluding or limiting the liability of any Party or CRUK or any of their respective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agents to the other Party for death or personal injury of any person resulting from the negligence or willful misconduct of such persons.</w:t>
      </w:r>
    </w:p>
    <w:p>
      <w:pPr>
        <w:spacing w:after="0" w:line="268" w:lineRule="exact"/>
        <w:rPr>
          <w:sz w:val="20"/>
          <w:szCs w:val="20"/>
          <w:color w:val="auto"/>
        </w:rPr>
      </w:pPr>
    </w:p>
    <w:p>
      <w:pPr>
        <w:ind w:left="440" w:hanging="433"/>
        <w:spacing w:after="0"/>
        <w:tabs>
          <w:tab w:leader="none" w:pos="44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4" w:lineRule="exact"/>
        <w:rPr>
          <w:sz w:val="20"/>
          <w:szCs w:val="20"/>
          <w:color w:val="auto"/>
        </w:rPr>
      </w:pPr>
    </w:p>
    <w:p>
      <w:pPr>
        <w:ind w:right="120" w:firstLine="436"/>
        <w:spacing w:after="0" w:line="309"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Pursuant to Clause 18, each Party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shall keep, and it shall cause its respective directors, employees, agents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keep, secret and confidential all Confidential Information of any other Party which is disclosed to it by or on behalf of the other Party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and shall not use or disclose to any person whatsoever such Confidential I formation or any part of it, other than:</w:t>
      </w:r>
    </w:p>
    <w:p>
      <w:pPr>
        <w:spacing w:after="0" w:line="149" w:lineRule="exact"/>
        <w:rPr>
          <w:sz w:val="20"/>
          <w:szCs w:val="20"/>
          <w:color w:val="auto"/>
        </w:rPr>
      </w:pPr>
    </w:p>
    <w:p>
      <w:pPr>
        <w:ind w:right="180" w:firstLine="990"/>
        <w:spacing w:after="0" w:line="259" w:lineRule="auto"/>
        <w:tabs>
          <w:tab w:leader="none" w:pos="1234" w:val="left"/>
        </w:tabs>
        <w:numPr>
          <w:ilvl w:val="0"/>
          <w:numId w:val="500"/>
        </w:numPr>
        <w:rPr>
          <w:rFonts w:ascii="Arial" w:cs="Arial" w:eastAsia="Arial" w:hAnsi="Arial"/>
          <w:sz w:val="18"/>
          <w:szCs w:val="18"/>
          <w:b w:val="1"/>
          <w:bCs w:val="1"/>
          <w:color w:val="auto"/>
        </w:rPr>
      </w:pPr>
      <w:r>
        <w:rPr>
          <w:rFonts w:ascii="Arial" w:cs="Arial" w:eastAsia="Arial" w:hAnsi="Arial"/>
          <w:sz w:val="18"/>
          <w:szCs w:val="18"/>
          <w:color w:val="auto"/>
        </w:rPr>
        <w:t>in the case of the- Company, disclosure to Sub-Licensees and Third Party Service Providers, subject to compliance with Clause 22.3, provided that each such person shall be bound by obligations of non-disclosure and non-use no less stringent than those in this Agreement, and as necessary in communications with Competent Authorities in the Territory relating to Products;</w:t>
      </w:r>
    </w:p>
    <w:p>
      <w:pPr>
        <w:spacing w:after="0" w:line="185" w:lineRule="exact"/>
        <w:rPr>
          <w:rFonts w:ascii="Arial" w:cs="Arial" w:eastAsia="Arial" w:hAnsi="Arial"/>
          <w:sz w:val="18"/>
          <w:szCs w:val="18"/>
          <w:b w:val="1"/>
          <w:bCs w:val="1"/>
          <w:color w:val="auto"/>
        </w:rPr>
      </w:pPr>
    </w:p>
    <w:p>
      <w:pPr>
        <w:jc w:val="both"/>
        <w:ind w:right="800" w:firstLine="990"/>
        <w:spacing w:after="0" w:line="259" w:lineRule="auto"/>
        <w:tabs>
          <w:tab w:leader="none" w:pos="1245" w:val="left"/>
        </w:tabs>
        <w:numPr>
          <w:ilvl w:val="0"/>
          <w:numId w:val="500"/>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each Party, to its Affiliates and their respective directors, officers, employees or agents, in connection with the performance of its obligations or exercise of its rights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person shall be bound by obligations of non-disclosure and non-use no less stringent than those in this Agreement;</w:t>
      </w:r>
    </w:p>
    <w:p>
      <w:pPr>
        <w:spacing w:after="0" w:line="185" w:lineRule="exact"/>
        <w:rPr>
          <w:rFonts w:ascii="Arial" w:cs="Arial" w:eastAsia="Arial" w:hAnsi="Arial"/>
          <w:sz w:val="18"/>
          <w:szCs w:val="18"/>
          <w:b w:val="1"/>
          <w:bCs w:val="1"/>
          <w:color w:val="auto"/>
        </w:rPr>
      </w:pPr>
    </w:p>
    <w:p>
      <w:pPr>
        <w:jc w:val="both"/>
        <w:ind w:right="20" w:firstLine="990"/>
        <w:spacing w:after="0" w:line="255" w:lineRule="auto"/>
        <w:tabs>
          <w:tab w:leader="none" w:pos="1224" w:val="left"/>
        </w:tabs>
        <w:numPr>
          <w:ilvl w:val="0"/>
          <w:numId w:val="500"/>
        </w:numPr>
        <w:rPr>
          <w:rFonts w:ascii="Arial" w:cs="Arial" w:eastAsia="Arial" w:hAnsi="Arial"/>
          <w:sz w:val="18"/>
          <w:szCs w:val="18"/>
          <w:b w:val="1"/>
          <w:bCs w:val="1"/>
          <w:color w:val="auto"/>
        </w:rPr>
      </w:pPr>
      <w:r>
        <w:rPr>
          <w:rFonts w:ascii="Arial" w:cs="Arial" w:eastAsia="Arial" w:hAnsi="Arial"/>
          <w:sz w:val="18"/>
          <w:szCs w:val="18"/>
          <w:color w:val="auto"/>
        </w:rPr>
        <w:t>in the case of the Company, to potential or actual acquirers, merger candidates or investors or venture capital firms, investment bankers or other financial institutions or investors, provided that in connection with such disclosure, the Company shall inform each disclosee of the confidential nature of such Confidential Information and cause each disclosee to treat such Confidential Information obligations of non-disclosure and non-use no less stringent than those in this Agreement;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80" w:top="268" w:right="519" w:bottom="1440" w:gutter="0" w:footer="0" w:header="0"/>
        </w:sectPr>
      </w:pPr>
    </w:p>
    <w:bookmarkStart w:id="572" w:name="page573"/>
    <w:bookmarkEnd w:id="572"/>
    <w:p>
      <w:pPr>
        <w:ind w:left="1260" w:hanging="270"/>
        <w:spacing w:after="0"/>
        <w:tabs>
          <w:tab w:leader="none" w:pos="1260" w:val="left"/>
        </w:tabs>
        <w:numPr>
          <w:ilvl w:val="0"/>
          <w:numId w:val="5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case of CRT and ICR, to CRT/ICR Reviewers in accordance with Clause 17.4;</w:t>
      </w:r>
    </w:p>
    <w:p>
      <w:pPr>
        <w:spacing w:after="0" w:line="220" w:lineRule="exact"/>
        <w:rPr>
          <w:rFonts w:ascii="Arial" w:cs="Arial" w:eastAsia="Arial" w:hAnsi="Arial"/>
          <w:sz w:val="18"/>
          <w:szCs w:val="18"/>
          <w:b w:val="1"/>
          <w:bCs w:val="1"/>
          <w:color w:val="auto"/>
        </w:rPr>
      </w:pPr>
    </w:p>
    <w:p>
      <w:pPr>
        <w:ind w:right="20" w:firstLine="990"/>
        <w:spacing w:after="0" w:line="259" w:lineRule="auto"/>
        <w:tabs>
          <w:tab w:leader="none" w:pos="1224" w:val="left"/>
        </w:tabs>
        <w:numPr>
          <w:ilvl w:val="0"/>
          <w:numId w:val="501"/>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CRT and ICR, to any actual or potential royalty purchaser contemplated by Clause 22.2;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chemical structures shall be disclosed to any or all such disclosees and each such disclosee shall be bound by written obligations of non-disclosure and non-use no less stringent than those in this Agreement; or</w:t>
      </w:r>
    </w:p>
    <w:p>
      <w:pPr>
        <w:spacing w:after="0" w:line="185" w:lineRule="exact"/>
        <w:rPr>
          <w:rFonts w:ascii="Arial" w:cs="Arial" w:eastAsia="Arial" w:hAnsi="Arial"/>
          <w:sz w:val="18"/>
          <w:szCs w:val="18"/>
          <w:b w:val="1"/>
          <w:bCs w:val="1"/>
          <w:color w:val="auto"/>
        </w:rPr>
      </w:pPr>
    </w:p>
    <w:p>
      <w:pPr>
        <w:ind w:left="1220" w:hanging="230"/>
        <w:spacing w:after="0"/>
        <w:tabs>
          <w:tab w:leader="none" w:pos="1220" w:val="left"/>
        </w:tabs>
        <w:numPr>
          <w:ilvl w:val="0"/>
          <w:numId w:val="501"/>
        </w:numPr>
        <w:rPr>
          <w:rFonts w:ascii="Arial" w:cs="Arial" w:eastAsia="Arial" w:hAnsi="Arial"/>
          <w:sz w:val="18"/>
          <w:szCs w:val="18"/>
          <w:b w:val="1"/>
          <w:bCs w:val="1"/>
          <w:color w:val="auto"/>
        </w:rPr>
      </w:pPr>
      <w:r>
        <w:rPr>
          <w:rFonts w:ascii="Arial" w:cs="Arial" w:eastAsia="Arial" w:hAnsi="Arial"/>
          <w:sz w:val="18"/>
          <w:szCs w:val="18"/>
          <w:color w:val="auto"/>
        </w:rPr>
        <w:t>to the .extent expressly authorized by this Agreement or otherwise agreed to in writing.</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respect of any disclosures of any Confidential Information made by a Party to such Party’s directors, officers, employees or agents, subcontractors or, in the case of the Company, Sub-Licensees, Third Party Service Providers, potential or actual acquirers, merger candidates or investors or venture capital firms, investment bankers or other financial institutions or investors, the Disclosing Party shall be responsible for any failure by such recipient to treat the disclosed Confidential Information as required under this Clause 17.</w:t>
      </w:r>
    </w:p>
    <w:p>
      <w:pPr>
        <w:spacing w:after="0" w:line="186" w:lineRule="exact"/>
        <w:rPr>
          <w:sz w:val="20"/>
          <w:szCs w:val="20"/>
          <w:color w:val="auto"/>
        </w:rPr>
      </w:pPr>
    </w:p>
    <w:p>
      <w:pPr>
        <w:ind w:right="660" w:firstLine="436"/>
        <w:spacing w:after="0" w:line="275"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The provisions of Clause 17.1 shall not apply to any Confidential Information of the Disclosing Party which the Receiving Party can</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 by competent evidence:</w:t>
      </w:r>
    </w:p>
    <w:p>
      <w:pPr>
        <w:spacing w:after="0" w:line="65" w:lineRule="exact"/>
        <w:rPr>
          <w:sz w:val="20"/>
          <w:szCs w:val="20"/>
          <w:color w:val="auto"/>
        </w:rPr>
      </w:pPr>
    </w:p>
    <w:p>
      <w:pPr>
        <w:ind w:left="1240" w:hanging="250"/>
        <w:spacing w:after="0"/>
        <w:tabs>
          <w:tab w:leader="none" w:pos="1240" w:val="left"/>
        </w:tabs>
        <w:numPr>
          <w:ilvl w:val="0"/>
          <w:numId w:val="502"/>
        </w:numPr>
        <w:rPr>
          <w:rFonts w:ascii="Arial" w:cs="Arial" w:eastAsia="Arial" w:hAnsi="Arial"/>
          <w:sz w:val="17"/>
          <w:szCs w:val="17"/>
          <w:b w:val="1"/>
          <w:bCs w:val="1"/>
          <w:color w:val="auto"/>
        </w:rPr>
      </w:pPr>
      <w:r>
        <w:rPr>
          <w:rFonts w:ascii="Arial" w:cs="Arial" w:eastAsia="Arial" w:hAnsi="Arial"/>
          <w:sz w:val="17"/>
          <w:szCs w:val="17"/>
          <w:color w:val="auto"/>
        </w:rPr>
        <w:t>was in its possession (other than under an obligation of confidence to any other Party or to a Third Party) at the date of receipt;</w:t>
      </w:r>
    </w:p>
    <w:p>
      <w:pPr>
        <w:spacing w:after="0" w:line="232" w:lineRule="exact"/>
        <w:rPr>
          <w:rFonts w:ascii="Arial" w:cs="Arial" w:eastAsia="Arial" w:hAnsi="Arial"/>
          <w:sz w:val="17"/>
          <w:szCs w:val="17"/>
          <w:b w:val="1"/>
          <w:bCs w:val="1"/>
          <w:color w:val="auto"/>
        </w:rPr>
      </w:pPr>
    </w:p>
    <w:p>
      <w:pPr>
        <w:ind w:left="1260" w:hanging="270"/>
        <w:spacing w:after="0"/>
        <w:tabs>
          <w:tab w:leader="none" w:pos="1260" w:val="left"/>
        </w:tabs>
        <w:numPr>
          <w:ilvl w:val="0"/>
          <w:numId w:val="502"/>
        </w:numPr>
        <w:rPr>
          <w:rFonts w:ascii="Arial" w:cs="Arial" w:eastAsia="Arial" w:hAnsi="Arial"/>
          <w:sz w:val="17"/>
          <w:szCs w:val="17"/>
          <w:b w:val="1"/>
          <w:bCs w:val="1"/>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2" w:lineRule="exact"/>
        <w:rPr>
          <w:rFonts w:ascii="Arial" w:cs="Arial" w:eastAsia="Arial" w:hAnsi="Arial"/>
          <w:sz w:val="17"/>
          <w:szCs w:val="17"/>
          <w:b w:val="1"/>
          <w:bCs w:val="1"/>
          <w:color w:val="auto"/>
        </w:rPr>
      </w:pPr>
    </w:p>
    <w:p>
      <w:pPr>
        <w:ind w:right="320" w:firstLine="990"/>
        <w:spacing w:after="0" w:line="259" w:lineRule="auto"/>
        <w:tabs>
          <w:tab w:leader="none" w:pos="1224" w:val="left"/>
        </w:tabs>
        <w:numPr>
          <w:ilvl w:val="0"/>
          <w:numId w:val="502"/>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enters the public domain after its disclosure and other than through any act or omission of the Receiving Party in breach of this Agreement or any other obligation of confidentiality owed to the Party communicating such information to the other; and/or</w:t>
      </w:r>
    </w:p>
    <w:p>
      <w:pPr>
        <w:spacing w:after="0" w:line="185" w:lineRule="exact"/>
        <w:rPr>
          <w:rFonts w:ascii="Arial" w:cs="Arial" w:eastAsia="Arial" w:hAnsi="Arial"/>
          <w:sz w:val="18"/>
          <w:szCs w:val="18"/>
          <w:b w:val="1"/>
          <w:bCs w:val="1"/>
          <w:color w:val="auto"/>
        </w:rPr>
      </w:pPr>
    </w:p>
    <w:p>
      <w:pPr>
        <w:ind w:right="60" w:firstLine="990"/>
        <w:spacing w:after="0" w:line="259" w:lineRule="auto"/>
        <w:tabs>
          <w:tab w:leader="none" w:pos="1245" w:val="left"/>
        </w:tabs>
        <w:numPr>
          <w:ilvl w:val="0"/>
          <w:numId w:val="502"/>
        </w:numPr>
        <w:rPr>
          <w:rFonts w:ascii="Arial" w:cs="Arial" w:eastAsia="Arial" w:hAnsi="Arial"/>
          <w:sz w:val="18"/>
          <w:szCs w:val="18"/>
          <w:b w:val="1"/>
          <w:bCs w:val="1"/>
          <w:color w:val="auto"/>
        </w:rPr>
      </w:pPr>
      <w:r>
        <w:rPr>
          <w:rFonts w:ascii="Arial" w:cs="Arial" w:eastAsia="Arial" w:hAnsi="Arial"/>
          <w:sz w:val="18"/>
          <w:szCs w:val="18"/>
          <w:color w:val="auto"/>
        </w:rPr>
        <w:t xml:space="preserve">was developed independently by the Receiving Party, as evidenced by its contemporaneous written records,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Programme Materials and Programme Know How shall be deemed the Confidential Information of the Company and the Company the Disclosing Party and each of CRT and the ICR the Receiving Party with respect thereto.</w:t>
      </w:r>
    </w:p>
    <w:p>
      <w:pPr>
        <w:spacing w:after="0" w:line="182" w:lineRule="exact"/>
        <w:rPr>
          <w:sz w:val="20"/>
          <w:szCs w:val="20"/>
          <w:color w:val="auto"/>
        </w:rPr>
      </w:pPr>
    </w:p>
    <w:p>
      <w:pPr>
        <w:ind w:right="20" w:firstLine="436"/>
        <w:spacing w:after="0" w:line="291" w:lineRule="auto"/>
        <w:rPr>
          <w:sz w:val="20"/>
          <w:szCs w:val="20"/>
          <w:color w:val="auto"/>
        </w:rPr>
      </w:pPr>
      <w:r>
        <w:rPr>
          <w:rFonts w:ascii="Arial" w:cs="Arial" w:eastAsia="Arial" w:hAnsi="Arial"/>
          <w:sz w:val="16"/>
          <w:szCs w:val="16"/>
          <w:b w:val="1"/>
          <w:bCs w:val="1"/>
          <w:color w:val="auto"/>
        </w:rPr>
        <w:t xml:space="preserve">17.3 </w:t>
      </w:r>
      <w:r>
        <w:rPr>
          <w:rFonts w:ascii="Arial" w:cs="Arial" w:eastAsia="Arial" w:hAnsi="Arial"/>
          <w:sz w:val="16"/>
          <w:szCs w:val="16"/>
          <w:color w:val="auto"/>
        </w:rPr>
        <w:t>Notwithstanding the provisions of Clause 17.1, the Receiving Party may disclose Confidential Information, without violating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this Agreement, to the extent the disclosure is required by a valid order of a court or other governmental body of competent jurisdiction or is otherwise required by law or regulation,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Receiving Party shall give reasonable prior written notice to the Disclosing Party of such required disclosure and, at the Disclosing Party’s request and expense, shall cooperate with the Disclosing Party’s efforts to contest such requirement, to obtain a protective order requiring that the Confidential Information so disclosed be used only for the purposes for which the order was issued or the law or regulation required, and/or to obtain other confidential treatment of such Confidential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80" w:top="272" w:right="499" w:bottom="1440" w:gutter="0" w:footer="0" w:header="0"/>
        </w:sectPr>
      </w:pPr>
    </w:p>
    <w:bookmarkStart w:id="573" w:name="page574"/>
    <w:bookmarkEnd w:id="573"/>
    <w:p>
      <w:pPr>
        <w:ind w:firstLine="43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17.4 </w:t>
      </w:r>
      <w:r>
        <w:rPr>
          <w:rFonts w:ascii="Arial" w:cs="Arial" w:eastAsia="Arial" w:hAnsi="Arial"/>
          <w:sz w:val="16"/>
          <w:szCs w:val="16"/>
          <w:color w:val="auto"/>
        </w:rPr>
        <w:t>CRT and ICR shall provide the Company, upon reasonable notice, the opportunity to review and comment on any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to be disclosed to CRT/ICR Reviewers and shall give due consideration to any comments received from the Company. CRT and ICR recognise the need to protect the confidentiality of the chemical structures of the Compound Library and pre-clinical candidates, and the Programme Know How that is the data associating that Unencumbered CRT/ICR Background Hit Compounds (where identified by chemical structure) bind CRBN. Prior to disclosing the chemical structure of any pre-clinical candidate (to the extent not already in the public domain), CRT and ICR shall, where practicable, limit the content of materials disclosed to CRT/ICR Reviewers to (in the following order of priority): [***]. CRT and ICR will use reasonable endeavours to ensure that any such disclosure to CRT/ICR Reviewers is made in confidence (whether under the terms of an appropriate confidential disclosure agreement with CRT, CRUK or otherwise which has a minimum confidentiality term of [***] from the date of disclosure).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Subject to Clause 17.4, the provisions of this Clause 17 shall remain in force for a period of [***] from the date of disclosure.</w:t>
      </w:r>
    </w:p>
    <w:p>
      <w:pPr>
        <w:spacing w:after="0" w:line="221"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Given the nature of the Confidential Information and the competitive damage that a party would suffer upon unauthorized disclosure,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its Confidential Information to any Third Party, the Parties agree that monetary damages would not necessarily be a sufficient remedy for any breach of this Clause 17. In addition to all other remedies, a Party shall be entitled to specific performance and injunctive and other equitable relief as a remedy for any breach or threatened breach of this Clause 17.</w:t>
      </w:r>
    </w:p>
    <w:p>
      <w:pPr>
        <w:spacing w:after="0" w:line="330" w:lineRule="exact"/>
        <w:rPr>
          <w:sz w:val="20"/>
          <w:szCs w:val="20"/>
          <w:color w:val="auto"/>
        </w:rPr>
      </w:pPr>
    </w:p>
    <w:p>
      <w:pPr>
        <w:ind w:left="440" w:hanging="433"/>
        <w:spacing w:after="0"/>
        <w:tabs>
          <w:tab w:leader="none" w:pos="44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PUBLICATIONS</w:t>
      </w:r>
    </w:p>
    <w:p>
      <w:pPr>
        <w:spacing w:after="0" w:line="114" w:lineRule="exact"/>
        <w:rPr>
          <w:sz w:val="20"/>
          <w:szCs w:val="20"/>
          <w:color w:val="auto"/>
        </w:rPr>
      </w:pPr>
    </w:p>
    <w:p>
      <w:pPr>
        <w:jc w:val="both"/>
        <w:ind w:right="40" w:firstLine="436"/>
        <w:spacing w:after="0" w:line="284" w:lineRule="auto"/>
        <w:rPr>
          <w:sz w:val="20"/>
          <w:szCs w:val="20"/>
          <w:color w:val="auto"/>
        </w:rPr>
      </w:pPr>
      <w:r>
        <w:rPr>
          <w:rFonts w:ascii="Arial" w:cs="Arial" w:eastAsia="Arial" w:hAnsi="Arial"/>
          <w:sz w:val="16"/>
          <w:szCs w:val="16"/>
          <w:b w:val="1"/>
          <w:bCs w:val="1"/>
          <w:color w:val="auto"/>
        </w:rPr>
        <w:t xml:space="preserve">18.1 </w:t>
      </w:r>
      <w:r>
        <w:rPr>
          <w:rFonts w:ascii="Arial" w:cs="Arial" w:eastAsia="Arial" w:hAnsi="Arial"/>
          <w:sz w:val="16"/>
          <w:szCs w:val="16"/>
          <w:color w:val="auto"/>
        </w:rPr>
        <w:t>Any publication of Programme Intellectual Property generated by the ICR will be led by the ICR. Each proposed presentation or publication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details of work or results of the Programme shall be sent to a reviewer appointed by each the Company, CRT and the ICR at the first meeting of the JSC (the “</w:t>
      </w:r>
      <w:r>
        <w:rPr>
          <w:rFonts w:ascii="Arial" w:cs="Arial" w:eastAsia="Arial" w:hAnsi="Arial"/>
          <w:sz w:val="16"/>
          <w:szCs w:val="16"/>
          <w:b w:val="1"/>
          <w:bCs w:val="1"/>
          <w:i w:val="1"/>
          <w:iCs w:val="1"/>
          <w:color w:val="auto"/>
        </w:rPr>
        <w:t>Reviewers</w:t>
      </w:r>
      <w:r>
        <w:rPr>
          <w:rFonts w:ascii="Arial" w:cs="Arial" w:eastAsia="Arial" w:hAnsi="Arial"/>
          <w:sz w:val="16"/>
          <w:szCs w:val="16"/>
          <w:color w:val="auto"/>
        </w:rPr>
        <w:t>”) for review prior to submission to any Third Party for presentation or publication. Each Party shall have the right to replace its Reviewer upon written notice to the other Parties. The Reviewers shall review each such presentation or publication within [***] of its receipt.</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Whether or not such presentation or publication is to be permitted, with or without amendments, shall be subject to the unanimous, written consent of the Reviewers, taking into account the patentability of the proposed subject matter of disclosure and the value of such information as secret and confidential information. Notwithstanding the foregoing or anything to the contrary herein, at the request of the Company, any Confidential Information of Company which is not Programme Intellectual Property generated by or on behalf of the ICR contained within such proposed presentation or publication shall be removed prior to its submission for presentation or publication by the Party submitting such presentation or publication for review. The Reviewers may decide to postpone presentation or publication by up to [***] to allow for the filing of a patent application or the taking of such other measures as the Reviewers deem appropriate to establish and preserve any proprietary rights in the information in the proposed presentation or publication. If the Reviewers disagree whether such publication should be permitted the dispute shall be referred to the JSC and in the event of a continuing dispute, publication shall be permitted no later than [***] following receipt of the proposal by the Reviewers for review, provided that no scientific paper shall be restricted for publication on the basis that it contains information which is also contained in a patent application, the specification of which has been published.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480" w:top="268" w:right="519" w:bottom="1440" w:gutter="0" w:footer="0" w:header="0"/>
        </w:sectPr>
      </w:pPr>
    </w:p>
    <w:bookmarkStart w:id="574" w:name="page575"/>
    <w:bookmarkEnd w:id="574"/>
    <w:p>
      <w:pPr>
        <w:ind w:firstLine="436"/>
        <w:spacing w:after="0" w:line="25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18.2 </w:t>
      </w:r>
      <w:r>
        <w:rPr>
          <w:rFonts w:ascii="Arial" w:cs="Arial" w:eastAsia="Arial" w:hAnsi="Arial"/>
          <w:sz w:val="18"/>
          <w:szCs w:val="18"/>
          <w:color w:val="auto"/>
        </w:rPr>
        <w:t>The Company and CRT acknowledge the importance of publications to the academic standing of the ICR. Accordingly, each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CRT and the ICR shall use Commercially Reasonable Efforts to facilitate publication of the results of the Programme. Publications shall make an appropriate acknowledgment of the respective contributions of the Parties, which may be by co-authorship of the publication as may be scientifically appropriate or customary or as otherwise agreed, on a publication by publication basis.</w:t>
      </w:r>
    </w:p>
    <w:p>
      <w:pPr>
        <w:spacing w:after="0" w:line="330" w:lineRule="exact"/>
        <w:rPr>
          <w:sz w:val="20"/>
          <w:szCs w:val="20"/>
          <w:color w:val="auto"/>
        </w:rPr>
      </w:pPr>
    </w:p>
    <w:p>
      <w:pPr>
        <w:ind w:left="440" w:hanging="433"/>
        <w:spacing w:after="0"/>
        <w:tabs>
          <w:tab w:leader="none" w:pos="440"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4" w:lineRule="exact"/>
        <w:rPr>
          <w:sz w:val="20"/>
          <w:szCs w:val="20"/>
          <w:color w:val="auto"/>
        </w:rPr>
      </w:pPr>
    </w:p>
    <w:p>
      <w:pPr>
        <w:ind w:right="80" w:firstLine="436"/>
        <w:spacing w:after="0" w:line="275"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-This Agreement will become effective on the Effective Date and shall remain in full force and effect until terminated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Clause 19.</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Without prejudice to any other rights of the Parties, this Agreement may be terminated by notice in writing:</w:t>
      </w:r>
    </w:p>
    <w:p>
      <w:pPr>
        <w:spacing w:after="0" w:line="118" w:lineRule="exact"/>
        <w:rPr>
          <w:sz w:val="20"/>
          <w:szCs w:val="20"/>
          <w:color w:val="auto"/>
        </w:rPr>
      </w:pPr>
    </w:p>
    <w:p>
      <w:pPr>
        <w:ind w:right="20" w:firstLine="990"/>
        <w:spacing w:after="0" w:line="287" w:lineRule="auto"/>
        <w:tabs>
          <w:tab w:leader="none" w:pos="1234" w:val="left"/>
        </w:tabs>
        <w:numPr>
          <w:ilvl w:val="0"/>
          <w:numId w:val="505"/>
        </w:numPr>
        <w:rPr>
          <w:rFonts w:ascii="Arial" w:cs="Arial" w:eastAsia="Arial" w:hAnsi="Arial"/>
          <w:sz w:val="16"/>
          <w:szCs w:val="16"/>
          <w:b w:val="1"/>
          <w:bCs w:val="1"/>
          <w:color w:val="auto"/>
        </w:rPr>
      </w:pPr>
      <w:r>
        <w:rPr>
          <w:rFonts w:ascii="Arial" w:cs="Arial" w:eastAsia="Arial" w:hAnsi="Arial"/>
          <w:sz w:val="16"/>
          <w:szCs w:val="16"/>
          <w:color w:val="auto"/>
        </w:rPr>
        <w:t>by the Company or by CRT and the ICR (acting together) if the Company, in the case of CRT and the ICR as the terminating Party, or if either CRT and/or the ICR, in the case of the Company as the terminating Party, is in material breach of any of its obligations under this Agreement, for the avoidance of doubt including those of Clause 8, and in the case of a remediable breach fails to remedy such breach within [***] of written notice to the breaching Party containing particulars of such breach and requiring it to be remedied and copied to any other non-breaching Party; provided, however, that if any breach other than a payment breach) is not reasonably curable within [***] and if the breaching Party has provided a reasonable plan for cure of such breach during such [***] period and is making a bona fide effort to cure such breach by diligently implementing such plan, such cure period will be extended for a time period to be agreed by the Parties (but in no event more than an additional [***]) in order to permit the breaching Party a reasonable period of time to cure such breach in accordance with such plan;</w:t>
      </w:r>
    </w:p>
    <w:p>
      <w:pPr>
        <w:spacing w:after="0" w:line="165" w:lineRule="exact"/>
        <w:rPr>
          <w:rFonts w:ascii="Arial" w:cs="Arial" w:eastAsia="Arial" w:hAnsi="Arial"/>
          <w:sz w:val="16"/>
          <w:szCs w:val="16"/>
          <w:b w:val="1"/>
          <w:bCs w:val="1"/>
          <w:color w:val="auto"/>
        </w:rPr>
      </w:pPr>
    </w:p>
    <w:p>
      <w:pPr>
        <w:ind w:right="20" w:firstLine="990"/>
        <w:spacing w:after="0" w:line="253" w:lineRule="auto"/>
        <w:tabs>
          <w:tab w:leader="none" w:pos="1245" w:val="left"/>
        </w:tabs>
        <w:numPr>
          <w:ilvl w:val="0"/>
          <w:numId w:val="505"/>
        </w:numPr>
        <w:rPr>
          <w:rFonts w:ascii="Arial" w:cs="Arial" w:eastAsia="Arial" w:hAnsi="Arial"/>
          <w:sz w:val="18"/>
          <w:szCs w:val="18"/>
          <w:b w:val="1"/>
          <w:bCs w:val="1"/>
          <w:color w:val="auto"/>
        </w:rPr>
      </w:pPr>
      <w:r>
        <w:rPr>
          <w:rFonts w:ascii="Arial" w:cs="Arial" w:eastAsia="Arial" w:hAnsi="Arial"/>
          <w:sz w:val="18"/>
          <w:szCs w:val="18"/>
          <w:color w:val="auto"/>
        </w:rPr>
        <w:t>by CRT and the ICR (acting together) forthwith if a voluntary arrangement is proposed or approved or an administration order is made, or a receiver or administrative receiver is appointed of any of the Company’s assets or undertakings or a winding-up resolution or petition is passed (otherwise than for the purpose of solvent reconstruction or amalgamation) or similar or equivalent action is taken against or by the Company by reason of its insolvency or in consequence of debt, in each case, which is not dismissed, discharged, bonded or stayed within [***] after the filing thereof or initiation of such action;</w:t>
      </w:r>
    </w:p>
    <w:p>
      <w:pPr>
        <w:spacing w:after="0" w:line="192" w:lineRule="exact"/>
        <w:rPr>
          <w:rFonts w:ascii="Arial" w:cs="Arial" w:eastAsia="Arial" w:hAnsi="Arial"/>
          <w:sz w:val="18"/>
          <w:szCs w:val="18"/>
          <w:b w:val="1"/>
          <w:bCs w:val="1"/>
          <w:color w:val="auto"/>
        </w:rPr>
      </w:pPr>
    </w:p>
    <w:p>
      <w:pPr>
        <w:ind w:left="1240" w:hanging="250"/>
        <w:spacing w:after="0"/>
        <w:tabs>
          <w:tab w:leader="none" w:pos="1240" w:val="left"/>
        </w:tabs>
        <w:numPr>
          <w:ilvl w:val="0"/>
          <w:numId w:val="505"/>
        </w:numPr>
        <w:rPr>
          <w:rFonts w:ascii="Arial" w:cs="Arial" w:eastAsia="Arial" w:hAnsi="Arial"/>
          <w:sz w:val="18"/>
          <w:szCs w:val="18"/>
          <w:b w:val="1"/>
          <w:bCs w:val="1"/>
          <w:color w:val="auto"/>
        </w:rPr>
      </w:pPr>
      <w:r>
        <w:rPr>
          <w:rFonts w:ascii="Arial" w:cs="Arial" w:eastAsia="Arial" w:hAnsi="Arial"/>
          <w:sz w:val="18"/>
          <w:szCs w:val="18"/>
          <w:color w:val="auto"/>
        </w:rPr>
        <w:t>by the Company forthwith if the circumstances described in Clause 19.2(b) apply to the ICR during the Services Term;</w:t>
      </w:r>
    </w:p>
    <w:p>
      <w:pPr>
        <w:spacing w:after="0" w:line="220" w:lineRule="exact"/>
        <w:rPr>
          <w:rFonts w:ascii="Arial" w:cs="Arial" w:eastAsia="Arial" w:hAnsi="Arial"/>
          <w:sz w:val="18"/>
          <w:szCs w:val="18"/>
          <w:b w:val="1"/>
          <w:bCs w:val="1"/>
          <w:color w:val="auto"/>
        </w:rPr>
      </w:pPr>
    </w:p>
    <w:p>
      <w:pPr>
        <w:ind w:right="140" w:firstLine="990"/>
        <w:spacing w:after="0" w:line="259" w:lineRule="auto"/>
        <w:tabs>
          <w:tab w:leader="none" w:pos="1245" w:val="left"/>
        </w:tabs>
        <w:numPr>
          <w:ilvl w:val="0"/>
          <w:numId w:val="505"/>
        </w:numPr>
        <w:rPr>
          <w:rFonts w:ascii="Arial" w:cs="Arial" w:eastAsia="Arial" w:hAnsi="Arial"/>
          <w:sz w:val="18"/>
          <w:szCs w:val="18"/>
          <w:b w:val="1"/>
          <w:bCs w:val="1"/>
          <w:color w:val="auto"/>
        </w:rPr>
      </w:pPr>
      <w:r>
        <w:rPr>
          <w:rFonts w:ascii="Arial" w:cs="Arial" w:eastAsia="Arial" w:hAnsi="Arial"/>
          <w:sz w:val="18"/>
          <w:szCs w:val="18"/>
          <w:color w:val="auto"/>
        </w:rPr>
        <w:t>by the Company upon [***] written notice to CRT and the ICR if CRT and/or the ICR challenges or seeks to challenge the validity of the Programme Patents or any of them and each of CRT and the ICR shall forthwith in writing notify the Company of any decision to challenge the Programme Patents or any of them which it makes or of which it becomes aware;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480" w:top="268" w:right="499" w:bottom="1440" w:gutter="0" w:footer="0" w:header="0"/>
        </w:sectPr>
      </w:pPr>
    </w:p>
    <w:bookmarkStart w:id="575" w:name="page576"/>
    <w:bookmarkEnd w:id="575"/>
    <w:p>
      <w:pPr>
        <w:ind w:right="560" w:firstLine="990"/>
        <w:spacing w:after="0" w:line="335" w:lineRule="auto"/>
        <w:tabs>
          <w:tab w:leader="none" w:pos="1224" w:val="left"/>
        </w:tabs>
        <w:numPr>
          <w:ilvl w:val="1"/>
          <w:numId w:val="50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CRT and the ICR (acting together) forthwith upon written notice to the Company in the event of any transaction between the Company and a Tobacco Party in which a Tobacco Party acquires more than [***] of the voting equity securities of the Company;</w:t>
      </w:r>
    </w:p>
    <w:p>
      <w:pPr>
        <w:spacing w:after="0" w:line="128" w:lineRule="exact"/>
        <w:rPr>
          <w:rFonts w:ascii="Arial" w:cs="Arial" w:eastAsia="Arial" w:hAnsi="Arial"/>
          <w:sz w:val="16"/>
          <w:szCs w:val="16"/>
          <w:b w:val="1"/>
          <w:bCs w:val="1"/>
          <w:color w:val="auto"/>
        </w:rPr>
      </w:pPr>
    </w:p>
    <w:p>
      <w:pPr>
        <w:ind w:right="40" w:firstLine="990"/>
        <w:spacing w:after="0" w:line="253" w:lineRule="auto"/>
        <w:tabs>
          <w:tab w:leader="none" w:pos="1205" w:val="left"/>
        </w:tabs>
        <w:numPr>
          <w:ilvl w:val="1"/>
          <w:numId w:val="506"/>
        </w:numPr>
        <w:rPr>
          <w:rFonts w:ascii="Arial" w:cs="Arial" w:eastAsia="Arial" w:hAnsi="Arial"/>
          <w:sz w:val="18"/>
          <w:szCs w:val="18"/>
          <w:b w:val="1"/>
          <w:bCs w:val="1"/>
          <w:color w:val="auto"/>
        </w:rPr>
      </w:pPr>
      <w:r>
        <w:rPr>
          <w:rFonts w:ascii="Arial" w:cs="Arial" w:eastAsia="Arial" w:hAnsi="Arial"/>
          <w:sz w:val="18"/>
          <w:szCs w:val="18"/>
          <w:color w:val="auto"/>
        </w:rPr>
        <w:t>by CRT and the ICR (acting together) upon [***] written notice to the Company if the Company permanently abandons all discovery, development and commercialization efforts for all Products (i) as indicated in a written notice by the Company to the ICR and CRT or (ii) as demonstrated by failure by the Company and its Affiliates and any Sub-Licensees to conduct any such efforts for a consecutive [***] period or longer, unless the Company provides reasonable evidence to CRT and the ICR within such [***] period showing that it or any of its Affiliates or Sub-Licensees has conducted any such efforts during the prior [***] period; or</w:t>
      </w:r>
    </w:p>
    <w:p>
      <w:pPr>
        <w:spacing w:after="0" w:line="192" w:lineRule="exact"/>
        <w:rPr>
          <w:rFonts w:ascii="Arial" w:cs="Arial" w:eastAsia="Arial" w:hAnsi="Arial"/>
          <w:sz w:val="18"/>
          <w:szCs w:val="18"/>
          <w:b w:val="1"/>
          <w:bCs w:val="1"/>
          <w:color w:val="auto"/>
        </w:rPr>
      </w:pPr>
    </w:p>
    <w:p>
      <w:pPr>
        <w:ind w:right="540" w:firstLine="990"/>
        <w:spacing w:after="0" w:line="301" w:lineRule="auto"/>
        <w:tabs>
          <w:tab w:leader="none" w:pos="1234" w:val="left"/>
        </w:tabs>
        <w:numPr>
          <w:ilvl w:val="1"/>
          <w:numId w:val="506"/>
        </w:numPr>
        <w:rPr>
          <w:rFonts w:ascii="Arial" w:cs="Arial" w:eastAsia="Arial" w:hAnsi="Arial"/>
          <w:sz w:val="17"/>
          <w:szCs w:val="17"/>
          <w:b w:val="1"/>
          <w:bCs w:val="1"/>
          <w:color w:val="auto"/>
        </w:rPr>
      </w:pPr>
      <w:r>
        <w:rPr>
          <w:rFonts w:ascii="Arial" w:cs="Arial" w:eastAsia="Arial" w:hAnsi="Arial"/>
          <w:sz w:val="17"/>
          <w:szCs w:val="17"/>
          <w:color w:val="auto"/>
        </w:rPr>
        <w:t>by the Company upon [***] written notice to CRT and the ICR if the JSC determines that the continuation of the Programme or development of Products would be commercially unreasonable, scientifically unviable, illegal, unethical or impossible; or</w:t>
      </w:r>
    </w:p>
    <w:p>
      <w:pPr>
        <w:spacing w:after="0" w:line="151" w:lineRule="exact"/>
        <w:rPr>
          <w:rFonts w:ascii="Arial" w:cs="Arial" w:eastAsia="Arial" w:hAnsi="Arial"/>
          <w:sz w:val="17"/>
          <w:szCs w:val="17"/>
          <w:b w:val="1"/>
          <w:bCs w:val="1"/>
          <w:color w:val="auto"/>
        </w:rPr>
      </w:pPr>
    </w:p>
    <w:p>
      <w:pPr>
        <w:ind w:left="1260" w:hanging="270"/>
        <w:spacing w:after="0"/>
        <w:tabs>
          <w:tab w:leader="none" w:pos="1260" w:val="left"/>
        </w:tabs>
        <w:numPr>
          <w:ilvl w:val="1"/>
          <w:numId w:val="506"/>
        </w:numPr>
        <w:rPr>
          <w:rFonts w:ascii="Arial" w:cs="Arial" w:eastAsia="Arial" w:hAnsi="Arial"/>
          <w:sz w:val="18"/>
          <w:szCs w:val="18"/>
          <w:b w:val="1"/>
          <w:bCs w:val="1"/>
          <w:color w:val="auto"/>
        </w:rPr>
      </w:pPr>
      <w:r>
        <w:rPr>
          <w:rFonts w:ascii="Arial" w:cs="Arial" w:eastAsia="Arial" w:hAnsi="Arial"/>
          <w:sz w:val="18"/>
          <w:szCs w:val="18"/>
          <w:color w:val="auto"/>
        </w:rPr>
        <w:t>for any and/or no reason, by the written agreement of the Parties.</w:t>
      </w:r>
    </w:p>
    <w:p>
      <w:pPr>
        <w:spacing w:after="0" w:line="364" w:lineRule="exact"/>
        <w:rPr>
          <w:rFonts w:ascii="Arial" w:cs="Arial" w:eastAsia="Arial" w:hAnsi="Arial"/>
          <w:sz w:val="18"/>
          <w:szCs w:val="18"/>
          <w:b w:val="1"/>
          <w:bCs w:val="1"/>
          <w:color w:val="auto"/>
        </w:rPr>
      </w:pPr>
    </w:p>
    <w:p>
      <w:pPr>
        <w:ind w:left="440" w:hanging="433"/>
        <w:spacing w:after="0"/>
        <w:tabs>
          <w:tab w:leader="none" w:pos="44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TERMINATION</w:t>
      </w:r>
    </w:p>
    <w:p>
      <w:pPr>
        <w:spacing w:after="0" w:line="11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Upon the termination of this Agreement for any reason:</w:t>
      </w:r>
    </w:p>
    <w:p>
      <w:pPr>
        <w:spacing w:after="0" w:line="117" w:lineRule="exact"/>
        <w:rPr>
          <w:rFonts w:ascii="Arial" w:cs="Arial" w:eastAsia="Arial" w:hAnsi="Arial"/>
          <w:sz w:val="18"/>
          <w:szCs w:val="18"/>
          <w:b w:val="1"/>
          <w:bCs w:val="1"/>
          <w:color w:val="auto"/>
        </w:rPr>
      </w:pPr>
    </w:p>
    <w:p>
      <w:pPr>
        <w:ind w:left="1240" w:hanging="250"/>
        <w:spacing w:after="0"/>
        <w:tabs>
          <w:tab w:leader="none" w:pos="1240" w:val="left"/>
        </w:tabs>
        <w:numPr>
          <w:ilvl w:val="1"/>
          <w:numId w:val="507"/>
        </w:numPr>
        <w:rPr>
          <w:rFonts w:ascii="Arial" w:cs="Arial" w:eastAsia="Arial" w:hAnsi="Arial"/>
          <w:sz w:val="16"/>
          <w:szCs w:val="16"/>
          <w:b w:val="1"/>
          <w:bCs w:val="1"/>
          <w:color w:val="auto"/>
        </w:rPr>
      </w:pPr>
      <w:r>
        <w:rPr>
          <w:rFonts w:ascii="Arial" w:cs="Arial" w:eastAsia="Arial" w:hAnsi="Arial"/>
          <w:sz w:val="16"/>
          <w:szCs w:val="16"/>
          <w:color w:val="auto"/>
        </w:rPr>
        <w:t>to the extent not already paid by the Company, the Company shall be obligated to make payment to the ICR of the amounts specified in</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Clause 3.3;</w:t>
      </w:r>
    </w:p>
    <w:p>
      <w:pPr>
        <w:spacing w:after="0" w:line="208" w:lineRule="exact"/>
        <w:rPr>
          <w:rFonts w:ascii="Arial" w:cs="Arial" w:eastAsia="Arial" w:hAnsi="Arial"/>
          <w:sz w:val="16"/>
          <w:szCs w:val="16"/>
          <w:b w:val="1"/>
          <w:bCs w:val="1"/>
          <w:color w:val="auto"/>
        </w:rPr>
      </w:pPr>
    </w:p>
    <w:p>
      <w:pPr>
        <w:ind w:right="280" w:firstLine="990"/>
        <w:spacing w:after="0" w:line="271" w:lineRule="auto"/>
        <w:tabs>
          <w:tab w:leader="none" w:pos="1245" w:val="left"/>
        </w:tabs>
        <w:numPr>
          <w:ilvl w:val="1"/>
          <w:numId w:val="507"/>
        </w:numPr>
        <w:rPr>
          <w:rFonts w:ascii="Arial" w:cs="Arial" w:eastAsia="Arial" w:hAnsi="Arial"/>
          <w:sz w:val="18"/>
          <w:szCs w:val="18"/>
          <w:b w:val="1"/>
          <w:bCs w:val="1"/>
          <w:color w:val="auto"/>
        </w:rPr>
      </w:pPr>
      <w:r>
        <w:rPr>
          <w:rFonts w:ascii="Arial" w:cs="Arial" w:eastAsia="Arial" w:hAnsi="Arial"/>
          <w:sz w:val="18"/>
          <w:szCs w:val="18"/>
          <w:color w:val="auto"/>
        </w:rPr>
        <w:t>the Company shall, within [***] of notice of termination of this Agreement provide CRT with a final written statement detailing, in respect of the time elapsed since the last report under Clause 10.7, the matters set out in Clause 10.7;</w:t>
      </w:r>
    </w:p>
    <w:p>
      <w:pPr>
        <w:spacing w:after="0" w:line="174" w:lineRule="exact"/>
        <w:rPr>
          <w:rFonts w:ascii="Arial" w:cs="Arial" w:eastAsia="Arial" w:hAnsi="Arial"/>
          <w:sz w:val="18"/>
          <w:szCs w:val="18"/>
          <w:b w:val="1"/>
          <w:bCs w:val="1"/>
          <w:color w:val="auto"/>
        </w:rPr>
      </w:pPr>
    </w:p>
    <w:p>
      <w:pPr>
        <w:ind w:right="140" w:firstLine="990"/>
        <w:spacing w:after="0" w:line="255" w:lineRule="auto"/>
        <w:tabs>
          <w:tab w:leader="none" w:pos="1224" w:val="left"/>
        </w:tabs>
        <w:numPr>
          <w:ilvl w:val="1"/>
          <w:numId w:val="507"/>
        </w:numPr>
        <w:rPr>
          <w:rFonts w:ascii="Arial" w:cs="Arial" w:eastAsia="Arial" w:hAnsi="Arial"/>
          <w:sz w:val="18"/>
          <w:szCs w:val="18"/>
          <w:b w:val="1"/>
          <w:bCs w:val="1"/>
          <w:color w:val="auto"/>
        </w:rPr>
      </w:pPr>
      <w:r>
        <w:rPr>
          <w:rFonts w:ascii="Arial" w:cs="Arial" w:eastAsia="Arial" w:hAnsi="Arial"/>
          <w:sz w:val="18"/>
          <w:szCs w:val="18"/>
          <w:color w:val="auto"/>
        </w:rPr>
        <w:t>except to the extent that a Party obtains or retains the right to use Confidential Information of another Party pursuant to the terms of this Agreement, each Party shall promptly return to the other Party, or delete or destroy, all relevant records and materials in such Party’s possession or control containing Confidential Information of another Party; provided that such Party may keep one (1) copy of such materials for archival purposes only subject to continuing confidentiality obligations; and</w:t>
      </w:r>
    </w:p>
    <w:p>
      <w:pPr>
        <w:spacing w:after="0" w:line="190" w:lineRule="exact"/>
        <w:rPr>
          <w:rFonts w:ascii="Arial" w:cs="Arial" w:eastAsia="Arial" w:hAnsi="Arial"/>
          <w:sz w:val="18"/>
          <w:szCs w:val="18"/>
          <w:b w:val="1"/>
          <w:bCs w:val="1"/>
          <w:color w:val="auto"/>
        </w:rPr>
      </w:pPr>
    </w:p>
    <w:p>
      <w:pPr>
        <w:ind w:right="120" w:firstLine="990"/>
        <w:spacing w:after="0" w:line="271" w:lineRule="auto"/>
        <w:tabs>
          <w:tab w:leader="none" w:pos="1245" w:val="left"/>
        </w:tabs>
        <w:numPr>
          <w:ilvl w:val="1"/>
          <w:numId w:val="507"/>
        </w:numPr>
        <w:rPr>
          <w:rFonts w:ascii="Arial" w:cs="Arial" w:eastAsia="Arial" w:hAnsi="Arial"/>
          <w:sz w:val="18"/>
          <w:szCs w:val="18"/>
          <w:b w:val="1"/>
          <w:bCs w:val="1"/>
          <w:color w:val="auto"/>
        </w:rPr>
      </w:pPr>
      <w:r>
        <w:rPr>
          <w:rFonts w:ascii="Arial" w:cs="Arial" w:eastAsia="Arial" w:hAnsi="Arial"/>
          <w:sz w:val="18"/>
          <w:szCs w:val="18"/>
          <w:color w:val="auto"/>
        </w:rPr>
        <w:t>all other rights and obligations of the Parties shall terminate forthwith, except for those rights and obligations that survive termination of this Agreement as otherwise provided in this Clause 20.</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480" w:top="272" w:right="519" w:bottom="1440" w:gutter="0" w:footer="0" w:header="0"/>
        </w:sectPr>
      </w:pPr>
    </w:p>
    <w:bookmarkStart w:id="576" w:name="page577"/>
    <w:bookmarkEnd w:id="576"/>
    <w:p>
      <w:pPr>
        <w:ind w:right="40" w:firstLine="436"/>
        <w:spacing w:after="0" w:line="26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20.2 </w:t>
      </w:r>
      <w:r>
        <w:rPr>
          <w:rFonts w:ascii="Arial" w:cs="Arial" w:eastAsia="Arial" w:hAnsi="Arial"/>
          <w:sz w:val="17"/>
          <w:szCs w:val="17"/>
          <w:color w:val="auto"/>
        </w:rPr>
        <w:t>Upon termination of this Agreement by CRT and the ICR (acting together) pursuant to Clause 19.2(a), 19.2(b), 19.2(e) or 19.2(f),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pursuant to 19.2(g) or on mutual agreement pursuant to Clause 19.2(h), effective as of such termination, at the written request of CRT or ICR, the Company shall, and it hereby does, automatically grant to CRT and the ICR (acting together), a right of first negotiation, exercisable within [***] after the termination date, upon commercially reasonable terms and conditions (taking into account CRT and the ICR’s needs for drug development and commercialization), which may include revenue-sharing arrangements (which amongst any other relevant factors shall take into account each Party’s contribution to the relevant intellectual property), to be negotiated in good faith by the Parties for up to one hundred and [***] from the date of exercise, or for up to an additional [***] period at the election of CRT and the ICR, to obtain a license, under the Company’s rights in the Programme Intellectual Property, the CRT/ICR Existing Intellectual Property, the CRT/ICR Existing Compound Library, the ICR Internal Research Program Hits, ICR Research Target IP, if applicable, and any other intellectual property rights owned or in the control of the Company that are reasonably necessary for the development, manufacture or commercialization of any Product, to research, develop, make, have made, market, use and sell Products. If the Parties have not completed a licence agreement by the end of the initial one hundred and [***] period, at the election of CRT and the ICR, the Parties shall seek to resolve any dispute and finalise the licence agreement by escalating to the Executive Officers of the Parties who shall also meet in the first instance (whether in person or via teleconference) within [***] of CRT’s or the ICR’s communication of such election to the Company to seek resolution in good faith.</w:t>
      </w:r>
    </w:p>
    <w:p>
      <w:pPr>
        <w:spacing w:after="0" w:line="177" w:lineRule="exact"/>
        <w:rPr>
          <w:sz w:val="20"/>
          <w:szCs w:val="20"/>
          <w:color w:val="auto"/>
        </w:rPr>
      </w:pPr>
    </w:p>
    <w:p>
      <w:pPr>
        <w:ind w:right="80" w:firstLine="436"/>
        <w:spacing w:after="0" w:line="277"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color w:val="auto"/>
        </w:rPr>
        <w:t>Upon termination of this Agreement by the Company pursuant to Clause 19.2(a), 19.2(c) or 19.2(d), the licences granted to the ICR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Clause 7.3 shall terminate forthwith, provided that the ICR shall have the right to complete the ICR Internal Research with respect to any drug discovery program initiated by the ICR and approved by the JSC prior to the effective date of such termination, subject to the ICR’s and the CRT’s continued compliance with the terms and conditions of this Agreement, including Clause 5.</w:t>
      </w:r>
    </w:p>
    <w:p>
      <w:pPr>
        <w:spacing w:after="0" w:line="167"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The termination of this Agreement howsoever arising, will be without prejudice to the rights and duties of any Party accrued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The following Clauses will continue to be enforceable notwithstanding termination: Clauses 1, 6, 7.4, 7.5, 7.6, 7.7, 8, 9, 10, 11 (for the period specified therein), 12, 13.2, 14, 15 (for the period specified therein), 16, 17 (for the period specified therein), 20 (including any clauses referenced therein), 21, 22, 23, 24, 25, 27, 28, 29, 31, 32, 33 and 34.</w:t>
      </w:r>
    </w:p>
    <w:p>
      <w:pPr>
        <w:spacing w:after="0" w:line="183" w:lineRule="exact"/>
        <w:rPr>
          <w:sz w:val="20"/>
          <w:szCs w:val="20"/>
          <w:color w:val="auto"/>
        </w:rPr>
      </w:pPr>
    </w:p>
    <w:p>
      <w:pPr>
        <w:ind w:right="380" w:firstLine="436"/>
        <w:spacing w:after="0" w:line="261"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color w:val="auto"/>
        </w:rPr>
        <w:t>In the event that Company were to decide that it wanted to destroy quantities of the Compound Library (i.e. the physical material),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use reasonable endeavors to notify CRT and the ICR and, at CRT’s and/or ICR’s request and expense, transfer such quantities of the Compound Library to the ICR.</w:t>
      </w:r>
    </w:p>
    <w:p>
      <w:pPr>
        <w:spacing w:after="0" w:line="328" w:lineRule="exact"/>
        <w:rPr>
          <w:sz w:val="20"/>
          <w:szCs w:val="20"/>
          <w:color w:val="auto"/>
        </w:rPr>
      </w:pPr>
    </w:p>
    <w:p>
      <w:pPr>
        <w:ind w:left="440" w:hanging="433"/>
        <w:spacing w:after="0"/>
        <w:tabs>
          <w:tab w:leader="none" w:pos="44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14" w:lineRule="exact"/>
        <w:rPr>
          <w:sz w:val="20"/>
          <w:szCs w:val="20"/>
          <w:color w:val="auto"/>
        </w:rPr>
      </w:pPr>
    </w:p>
    <w:p>
      <w:pPr>
        <w:ind w:right="120" w:firstLine="436"/>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No Party shall be liable for any delay or failure in performance if such delays are caused by strike, riot, civil commotion, fire, acts of God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circumstances beyond its reasonable control which circumstance that Party could not reasonably have been expected to take into account at the Effective Date and provided that:</w:t>
      </w:r>
    </w:p>
    <w:p>
      <w:pPr>
        <w:spacing w:after="0" w:line="78" w:lineRule="exact"/>
        <w:rPr>
          <w:sz w:val="20"/>
          <w:szCs w:val="20"/>
          <w:color w:val="auto"/>
        </w:rPr>
      </w:pPr>
    </w:p>
    <w:p>
      <w:pPr>
        <w:ind w:left="1240" w:hanging="250"/>
        <w:spacing w:after="0"/>
        <w:tabs>
          <w:tab w:leader="none" w:pos="1240"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the Party so affected shall give prompt notice thereof to the other Parties;</w:t>
      </w:r>
    </w:p>
    <w:p>
      <w:pPr>
        <w:spacing w:after="0" w:line="220" w:lineRule="exact"/>
        <w:rPr>
          <w:rFonts w:ascii="Arial" w:cs="Arial" w:eastAsia="Arial" w:hAnsi="Arial"/>
          <w:sz w:val="18"/>
          <w:szCs w:val="18"/>
          <w:b w:val="1"/>
          <w:bCs w:val="1"/>
          <w:color w:val="auto"/>
        </w:rPr>
      </w:pPr>
    </w:p>
    <w:p>
      <w:pPr>
        <w:ind w:left="1260" w:hanging="270"/>
        <w:spacing w:after="0"/>
        <w:tabs>
          <w:tab w:leader="none" w:pos="1260"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the suspension of performance is no greater scope than is required by the Force Majeure; and</w:t>
      </w:r>
    </w:p>
    <w:p>
      <w:pPr>
        <w:spacing w:after="0" w:line="220" w:lineRule="exact"/>
        <w:rPr>
          <w:rFonts w:ascii="Arial" w:cs="Arial" w:eastAsia="Arial" w:hAnsi="Arial"/>
          <w:sz w:val="18"/>
          <w:szCs w:val="18"/>
          <w:b w:val="1"/>
          <w:bCs w:val="1"/>
          <w:color w:val="auto"/>
        </w:rPr>
      </w:pPr>
    </w:p>
    <w:p>
      <w:pPr>
        <w:ind w:left="5360" w:right="2100" w:hanging="4370"/>
        <w:spacing w:after="0" w:line="441" w:lineRule="auto"/>
        <w:tabs>
          <w:tab w:leader="none" w:pos="1239"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lack of funds shall not be interpreted as an event or circumstance beyond the reasonable control of a Party. 40.</w:t>
      </w:r>
    </w:p>
    <w:p>
      <w:pPr>
        <w:sectPr>
          <w:pgSz w:w="11900" w:h="16838" w:orient="portrait"/>
          <w:cols w:equalWidth="0" w:num="1">
            <w:col w:w="10920"/>
          </w:cols>
          <w:pgMar w:left="480" w:top="268" w:right="499" w:bottom="1440" w:gutter="0" w:footer="0" w:header="0"/>
        </w:sectPr>
      </w:pPr>
    </w:p>
    <w:bookmarkStart w:id="577" w:name="page578"/>
    <w:bookmarkEnd w:id="577"/>
    <w:p>
      <w:pPr>
        <w:ind w:right="60" w:firstLine="436"/>
        <w:spacing w:after="0" w:line="30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21.2 </w:t>
      </w:r>
      <w:r>
        <w:rPr>
          <w:rFonts w:ascii="Arial" w:cs="Arial" w:eastAsia="Arial" w:hAnsi="Arial"/>
          <w:sz w:val="17"/>
          <w:szCs w:val="17"/>
          <w:color w:val="auto"/>
        </w:rPr>
        <w:t>Subject to Clause 21.3 below, the Party giving such notice shall be excused from such of its obligations hereunder for as long as it continues</w:t>
      </w:r>
      <w:r>
        <w:rPr>
          <w:rFonts w:ascii="Arial" w:cs="Arial" w:eastAsia="Arial" w:hAnsi="Arial"/>
          <w:sz w:val="17"/>
          <w:szCs w:val="17"/>
          <w:b w:val="1"/>
          <w:bCs w:val="1"/>
          <w:color w:val="auto"/>
        </w:rPr>
        <w:t xml:space="preserve"> </w:t>
      </w:r>
      <w:r>
        <w:rPr>
          <w:rFonts w:ascii="Arial" w:cs="Arial" w:eastAsia="Arial" w:hAnsi="Arial"/>
          <w:sz w:val="17"/>
          <w:szCs w:val="17"/>
          <w:color w:val="auto"/>
        </w:rPr>
        <w:t>to be so affected and shall perform its obligations as soon as such circumstances shall cease to affect its operations.</w:t>
      </w:r>
    </w:p>
    <w:p>
      <w:pPr>
        <w:spacing w:after="0" w:line="143" w:lineRule="exact"/>
        <w:rPr>
          <w:sz w:val="20"/>
          <w:szCs w:val="20"/>
          <w:color w:val="auto"/>
        </w:rPr>
      </w:pPr>
    </w:p>
    <w:p>
      <w:pPr>
        <w:ind w:right="180" w:firstLine="436"/>
        <w:spacing w:after="0" w:line="26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If such force majeure continues unabated for a period of at least [***], the Parties will meet to discuss in good faith what actions to take or</w:t>
      </w:r>
      <w:r>
        <w:rPr>
          <w:rFonts w:ascii="Arial" w:cs="Arial" w:eastAsia="Arial" w:hAnsi="Arial"/>
          <w:sz w:val="18"/>
          <w:szCs w:val="18"/>
          <w:b w:val="1"/>
          <w:bCs w:val="1"/>
          <w:color w:val="auto"/>
        </w:rPr>
        <w:t xml:space="preserve"> </w:t>
      </w:r>
      <w:r>
        <w:rPr>
          <w:rFonts w:ascii="Arial" w:cs="Arial" w:eastAsia="Arial" w:hAnsi="Arial"/>
          <w:sz w:val="18"/>
          <w:szCs w:val="18"/>
          <w:color w:val="auto"/>
        </w:rPr>
        <w:t>what modifications should be made to this Agreement as a consequence of such force majeure in order to alleviate its consequences on the affected Parties.</w:t>
      </w:r>
    </w:p>
    <w:p>
      <w:pPr>
        <w:spacing w:after="0" w:line="328" w:lineRule="exact"/>
        <w:rPr>
          <w:sz w:val="20"/>
          <w:szCs w:val="20"/>
          <w:color w:val="auto"/>
        </w:rPr>
      </w:pPr>
    </w:p>
    <w:p>
      <w:pPr>
        <w:ind w:left="440" w:hanging="433"/>
        <w:spacing w:after="0"/>
        <w:tabs>
          <w:tab w:leader="none" w:pos="44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SUB-CONTRACTING</w:t>
      </w:r>
    </w:p>
    <w:p>
      <w:pPr>
        <w:spacing w:after="0" w:line="114" w:lineRule="exact"/>
        <w:rPr>
          <w:sz w:val="20"/>
          <w:szCs w:val="20"/>
          <w:color w:val="auto"/>
        </w:rPr>
      </w:pPr>
    </w:p>
    <w:p>
      <w:pPr>
        <w:ind w:right="220" w:firstLine="436"/>
        <w:spacing w:after="0" w:line="275"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This Agreement shall be binding upon and inure to the benefit of the Parties, their permitted successors and assigns.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only be assignable:</w:t>
      </w:r>
    </w:p>
    <w:p>
      <w:pPr>
        <w:spacing w:after="0" w:line="65" w:lineRule="exact"/>
        <w:rPr>
          <w:sz w:val="20"/>
          <w:szCs w:val="20"/>
          <w:color w:val="auto"/>
        </w:rPr>
      </w:pPr>
    </w:p>
    <w:p>
      <w:pPr>
        <w:ind w:left="1240" w:hanging="250"/>
        <w:spacing w:after="0"/>
        <w:tabs>
          <w:tab w:leader="none" w:pos="1240" w:val="left"/>
        </w:tabs>
        <w:numPr>
          <w:ilvl w:val="0"/>
          <w:numId w:val="511"/>
        </w:numPr>
        <w:rPr>
          <w:rFonts w:ascii="Arial" w:cs="Arial" w:eastAsia="Arial" w:hAnsi="Arial"/>
          <w:sz w:val="17"/>
          <w:szCs w:val="17"/>
          <w:b w:val="1"/>
          <w:bCs w:val="1"/>
          <w:color w:val="auto"/>
        </w:rPr>
      </w:pPr>
      <w:r>
        <w:rPr>
          <w:rFonts w:ascii="Arial" w:cs="Arial" w:eastAsia="Arial" w:hAnsi="Arial"/>
          <w:sz w:val="17"/>
          <w:szCs w:val="17"/>
          <w:color w:val="auto"/>
        </w:rPr>
        <w:t>by any Party to any of Affiliate of such Party without the consent of the other Parties provided that such Affiliate is not a Tobacco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8" w:lineRule="exact"/>
        <w:rPr>
          <w:sz w:val="20"/>
          <w:szCs w:val="20"/>
          <w:color w:val="auto"/>
        </w:rPr>
      </w:pPr>
    </w:p>
    <w:p>
      <w:pPr>
        <w:ind w:left="1260" w:hanging="270"/>
        <w:spacing w:after="0"/>
        <w:tabs>
          <w:tab w:leader="none" w:pos="1260" w:val="left"/>
        </w:tabs>
        <w:numPr>
          <w:ilvl w:val="0"/>
          <w:numId w:val="512"/>
        </w:numPr>
        <w:rPr>
          <w:rFonts w:ascii="Arial" w:cs="Arial" w:eastAsia="Arial" w:hAnsi="Arial"/>
          <w:sz w:val="18"/>
          <w:szCs w:val="18"/>
          <w:b w:val="1"/>
          <w:bCs w:val="1"/>
          <w:color w:val="auto"/>
        </w:rPr>
      </w:pPr>
      <w:r>
        <w:rPr>
          <w:rFonts w:ascii="Arial" w:cs="Arial" w:eastAsia="Arial" w:hAnsi="Arial"/>
          <w:sz w:val="18"/>
          <w:szCs w:val="18"/>
          <w:color w:val="auto"/>
        </w:rPr>
        <w:t>by any Party with the written consent of the others; or</w:t>
      </w:r>
    </w:p>
    <w:p>
      <w:pPr>
        <w:spacing w:after="0" w:line="220" w:lineRule="exact"/>
        <w:rPr>
          <w:rFonts w:ascii="Arial" w:cs="Arial" w:eastAsia="Arial" w:hAnsi="Arial"/>
          <w:sz w:val="18"/>
          <w:szCs w:val="18"/>
          <w:b w:val="1"/>
          <w:bCs w:val="1"/>
          <w:color w:val="auto"/>
        </w:rPr>
      </w:pPr>
    </w:p>
    <w:p>
      <w:pPr>
        <w:ind w:right="120" w:firstLine="990"/>
        <w:spacing w:after="0" w:line="271" w:lineRule="auto"/>
        <w:tabs>
          <w:tab w:leader="none" w:pos="1224" w:val="left"/>
        </w:tabs>
        <w:numPr>
          <w:ilvl w:val="0"/>
          <w:numId w:val="512"/>
        </w:numPr>
        <w:rPr>
          <w:rFonts w:ascii="Arial" w:cs="Arial" w:eastAsia="Arial" w:hAnsi="Arial"/>
          <w:sz w:val="18"/>
          <w:szCs w:val="18"/>
          <w:b w:val="1"/>
          <w:bCs w:val="1"/>
          <w:color w:val="auto"/>
        </w:rPr>
      </w:pPr>
      <w:r>
        <w:rPr>
          <w:rFonts w:ascii="Arial" w:cs="Arial" w:eastAsia="Arial" w:hAnsi="Arial"/>
          <w:sz w:val="18"/>
          <w:szCs w:val="18"/>
          <w:color w:val="auto"/>
        </w:rPr>
        <w:t>by any Party without the consent of the other Parties, to any successor to all or substantially all the assets of its business to which this Agreement relates provided that it is not a Tobacco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Any purported assignment in violation of this Clause 22.1 shall be null and void.</w:t>
      </w:r>
    </w:p>
    <w:p>
      <w:pPr>
        <w:spacing w:after="0" w:line="217" w:lineRule="exact"/>
        <w:rPr>
          <w:sz w:val="20"/>
          <w:szCs w:val="20"/>
          <w:color w:val="auto"/>
        </w:rPr>
      </w:pPr>
    </w:p>
    <w:p>
      <w:pPr>
        <w:ind w:right="40" w:firstLine="436"/>
        <w:spacing w:after="0" w:line="261"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Notwithstanding the foregoing, the rights of CRT to Milestone Payments and/or royalties under this Agreement (but, for the avoidance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doubt, not any obligations or duties of CRT) shall be assignable by CRT solely in connection with a transaction with an assignee concerning such rights of CRT’s.</w:t>
      </w:r>
    </w:p>
    <w:p>
      <w:pPr>
        <w:spacing w:after="0" w:line="181"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b w:val="1"/>
          <w:bCs w:val="1"/>
          <w:color w:val="auto"/>
        </w:rPr>
        <w:t xml:space="preserve">22.3 </w:t>
      </w:r>
      <w:r>
        <w:rPr>
          <w:rFonts w:ascii="Arial" w:cs="Arial" w:eastAsia="Arial" w:hAnsi="Arial"/>
          <w:sz w:val="16"/>
          <w:szCs w:val="16"/>
          <w:color w:val="auto"/>
        </w:rPr>
        <w:t>No Party may sub-contract its obligations under this Agreement to any Third Party without the prior written consent of the other Parties,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the Company may sub-contract its obligations under this Agreement to an Affiliate of the Company or a Third Party Service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consent of the other Parties, and (ii) the ICR may sub-contract its obligations under this Agreement to a Third Party Service Provider without the consent of the other Parties. Each Party shall ensure that an appropriate written agreement is put in place with each permitted subcontractor, and/or in the case of the Company, Third Party Service Provider. Any act or omission of an Affiliate of a Party (and/or a Third Party Service Provider of the Company), which, if it were the act or omission of such Party (and/or the Company, as applicable) would be a breach of any of the provisions of this Agreement, will be deemed to be a breach of this Agreement by such Party who will be liable to the other Parties accordingly.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60"/>
          </w:cols>
          <w:pgMar w:left="480" w:top="269" w:right="559" w:bottom="1440" w:gutter="0" w:footer="0" w:header="0"/>
        </w:sectPr>
      </w:pPr>
    </w:p>
    <w:bookmarkStart w:id="578" w:name="page579"/>
    <w:bookmarkEnd w:id="578"/>
    <w:p>
      <w:pPr>
        <w:ind w:left="440" w:hanging="433"/>
        <w:spacing w:after="0"/>
        <w:tabs>
          <w:tab w:leader="none" w:pos="44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NOTICES</w:t>
      </w:r>
    </w:p>
    <w:p>
      <w:pPr>
        <w:spacing w:after="0" w:line="118"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All notices shall be in writing and sent by hand, facsimile, or post and shall be deemed to be properly served (i) if sent by hand on [***], when delivered at the relevant address and if delivered at any other time, on [***]; (ii) if sent by post, [***] after posting; (iii) if sent by facsimile on [***], when transmitted and if sent at any other time, on [***], provided a confirmatory copy is sent by post within [***] of transmission, and shall be sent to the following addresses or facsimile numbers as may be amended by the relevant Party in writing:</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attention of:</w:t>
      </w:r>
    </w:p>
    <w:p>
      <w:pPr>
        <w:sectPr>
          <w:pgSz w:w="11900" w:h="16838" w:orient="portrait"/>
          <w:cols w:equalWidth="0" w:num="1">
            <w:col w:w="10760"/>
          </w:cols>
          <w:pgMar w:left="480" w:top="268" w:right="659" w:bottom="1440" w:gutter="0" w:footer="0" w:header="0"/>
        </w:sectPr>
      </w:pP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Chief Executive Officer</w:t>
      </w:r>
    </w:p>
    <w:p>
      <w:pPr>
        <w:spacing w:after="0" w:line="200" w:lineRule="exact"/>
        <w:rPr>
          <w:sz w:val="20"/>
          <w:szCs w:val="20"/>
          <w:color w:val="auto"/>
        </w:rPr>
      </w:pPr>
    </w:p>
    <w:p>
      <w:pPr>
        <w:sectPr>
          <w:pgSz w:w="11900" w:h="16838" w:orient="portrait"/>
          <w:cols w:equalWidth="0" w:num="2">
            <w:col w:w="2880" w:space="720"/>
            <w:col w:w="7160"/>
          </w:cols>
          <w:pgMar w:left="480" w:top="268" w:right="659" w:bottom="1440" w:gutter="0" w:footer="0" w:header="0"/>
          <w:type w:val="continuous"/>
        </w:sectPr>
      </w:pPr>
    </w:p>
    <w:p>
      <w:pPr>
        <w:spacing w:after="0" w:line="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Angel Building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407 St John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EC1V 4AD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The Chief Executive Officer</w:t>
      </w:r>
    </w:p>
    <w:p>
      <w:pPr>
        <w:spacing w:after="0" w:line="200" w:lineRule="exact"/>
        <w:rPr>
          <w:sz w:val="20"/>
          <w:szCs w:val="20"/>
          <w:color w:val="auto"/>
        </w:rPr>
      </w:pPr>
    </w:p>
    <w:p>
      <w:pPr>
        <w:sectPr>
          <w:pgSz w:w="11900" w:h="16838" w:orient="portrait"/>
          <w:cols w:equalWidth="0" w:num="2">
            <w:col w:w="2880" w:space="720"/>
            <w:col w:w="7160"/>
          </w:cols>
          <w:pgMar w:left="480" w:top="268" w:right="659" w:bottom="1440" w:gutter="0" w:footer="0" w:header="0"/>
          <w:type w:val="continuous"/>
        </w:sectPr>
      </w:pPr>
    </w:p>
    <w:p>
      <w:pPr>
        <w:spacing w:after="0" w:line="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ICR: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Institute of Cancer Research: Royal Cancer Hospital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123 Old Brompton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SW7 3RP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The Director of Enterprise</w:t>
      </w:r>
    </w:p>
    <w:p>
      <w:pPr>
        <w:spacing w:after="0" w:line="200" w:lineRule="exact"/>
        <w:rPr>
          <w:sz w:val="20"/>
          <w:szCs w:val="20"/>
          <w:color w:val="auto"/>
        </w:rPr>
      </w:pPr>
    </w:p>
    <w:p>
      <w:pPr>
        <w:sectPr>
          <w:pgSz w:w="11900" w:h="16838" w:orient="portrait"/>
          <w:cols w:equalWidth="0" w:num="2">
            <w:col w:w="2880" w:space="720"/>
            <w:col w:w="7160"/>
          </w:cols>
          <w:pgMar w:left="480" w:top="268" w:right="659" w:bottom="1440" w:gutter="0" w:footer="0" w:header="0"/>
          <w:type w:val="continuous"/>
        </w:sectPr>
      </w:pPr>
    </w:p>
    <w:p>
      <w:pPr>
        <w:spacing w:after="0" w:line="2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Versant Ventures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Versant Ventures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Chief Executive Officer</w:t>
      </w:r>
    </w:p>
    <w:p>
      <w:pPr>
        <w:spacing w:after="0" w:line="200" w:lineRule="exact"/>
        <w:rPr>
          <w:sz w:val="20"/>
          <w:szCs w:val="20"/>
          <w:color w:val="auto"/>
        </w:rPr>
      </w:pPr>
    </w:p>
    <w:p>
      <w:pPr>
        <w:sectPr>
          <w:pgSz w:w="11900" w:h="16838" w:orient="portrait"/>
          <w:cols w:equalWidth="0" w:num="2">
            <w:col w:w="2880" w:space="720"/>
            <w:col w:w="7160"/>
          </w:cols>
          <w:pgMar w:left="480" w:top="268" w:right="659" w:bottom="1440" w:gutter="0" w:footer="0" w:header="0"/>
          <w:type w:val="continuous"/>
        </w:sectPr>
      </w:pPr>
    </w:p>
    <w:p>
      <w:pPr>
        <w:spacing w:after="0" w:line="188" w:lineRule="exact"/>
        <w:rPr>
          <w:sz w:val="20"/>
          <w:szCs w:val="20"/>
          <w:color w:val="auto"/>
        </w:rPr>
      </w:pPr>
    </w:p>
    <w:p>
      <w:pPr>
        <w:ind w:left="440" w:hanging="433"/>
        <w:spacing w:after="0"/>
        <w:tabs>
          <w:tab w:leader="none" w:pos="44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18"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 variation, modification, amendment, extension or release from any provision hereof shall be effective unless it is in writing, signed by the Parties.</w:t>
      </w:r>
    </w:p>
    <w:p>
      <w:pPr>
        <w:spacing w:after="0" w:line="318" w:lineRule="exact"/>
        <w:rPr>
          <w:sz w:val="20"/>
          <w:szCs w:val="20"/>
          <w:color w:val="auto"/>
        </w:rPr>
      </w:pPr>
    </w:p>
    <w:p>
      <w:pPr>
        <w:ind w:left="440" w:hanging="433"/>
        <w:spacing w:after="0"/>
        <w:tabs>
          <w:tab w:leader="none" w:pos="44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14" w:lineRule="exact"/>
        <w:rPr>
          <w:sz w:val="20"/>
          <w:szCs w:val="20"/>
          <w:color w:val="auto"/>
        </w:rPr>
      </w:pPr>
    </w:p>
    <w:p>
      <w:pPr>
        <w:jc w:val="both"/>
        <w:ind w:right="60" w:firstLine="436"/>
        <w:spacing w:after="0" w:line="261"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Each of the Parties confirms that the Agreement (including all Schedules hereto), together with the Transaction Documents,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understanding, and constitutes the whole agreement, in relation to its subject matter and supersedes any previous agreement between the Parties with respect thereto.</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60"/>
          </w:cols>
          <w:pgMar w:left="480" w:top="268" w:right="659" w:bottom="1440" w:gutter="0" w:footer="0" w:header="0"/>
          <w:type w:val="continuous"/>
        </w:sectPr>
      </w:pPr>
    </w:p>
    <w:bookmarkStart w:id="579" w:name="page580"/>
    <w:bookmarkEnd w:id="57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25.2 </w:t>
      </w:r>
      <w:r>
        <w:rPr>
          <w:rFonts w:ascii="Arial" w:cs="Arial" w:eastAsia="Arial" w:hAnsi="Arial"/>
          <w:sz w:val="18"/>
          <w:szCs w:val="18"/>
          <w:color w:val="auto"/>
        </w:rPr>
        <w:t>Each Party confirms that:</w:t>
      </w:r>
    </w:p>
    <w:p>
      <w:pPr>
        <w:spacing w:after="0" w:line="118" w:lineRule="exact"/>
        <w:rPr>
          <w:sz w:val="20"/>
          <w:szCs w:val="20"/>
          <w:color w:val="auto"/>
        </w:rPr>
      </w:pPr>
    </w:p>
    <w:p>
      <w:pPr>
        <w:ind w:left="1240" w:hanging="250"/>
        <w:spacing w:after="0"/>
        <w:tabs>
          <w:tab w:leader="none" w:pos="1240" w:val="left"/>
        </w:tabs>
        <w:numPr>
          <w:ilvl w:val="1"/>
          <w:numId w:val="516"/>
        </w:numPr>
        <w:rPr>
          <w:rFonts w:ascii="Arial" w:cs="Arial" w:eastAsia="Arial" w:hAnsi="Arial"/>
          <w:sz w:val="17"/>
          <w:szCs w:val="17"/>
          <w:b w:val="1"/>
          <w:bCs w:val="1"/>
          <w:color w:val="auto"/>
        </w:rPr>
      </w:pPr>
      <w:r>
        <w:rPr>
          <w:rFonts w:ascii="Arial" w:cs="Arial" w:eastAsia="Arial" w:hAnsi="Arial"/>
          <w:sz w:val="17"/>
          <w:szCs w:val="17"/>
          <w:color w:val="auto"/>
        </w:rPr>
        <w:t>in entering into this Agreement it has not relied on any representation or warranty or undertaking which is not contained in this</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 and</w:t>
      </w:r>
    </w:p>
    <w:p>
      <w:pPr>
        <w:spacing w:after="0" w:line="208" w:lineRule="exact"/>
        <w:rPr>
          <w:rFonts w:ascii="Arial" w:cs="Arial" w:eastAsia="Arial" w:hAnsi="Arial"/>
          <w:sz w:val="17"/>
          <w:szCs w:val="17"/>
          <w:b w:val="1"/>
          <w:bCs w:val="1"/>
          <w:color w:val="auto"/>
        </w:rPr>
      </w:pPr>
    </w:p>
    <w:p>
      <w:pPr>
        <w:ind w:right="40" w:firstLine="990"/>
        <w:spacing w:after="0" w:line="259" w:lineRule="auto"/>
        <w:tabs>
          <w:tab w:leader="none" w:pos="1245" w:val="left"/>
        </w:tabs>
        <w:numPr>
          <w:ilvl w:val="1"/>
          <w:numId w:val="516"/>
        </w:numPr>
        <w:rPr>
          <w:rFonts w:ascii="Arial" w:cs="Arial" w:eastAsia="Arial" w:hAnsi="Arial"/>
          <w:sz w:val="18"/>
          <w:szCs w:val="18"/>
          <w:b w:val="1"/>
          <w:bCs w:val="1"/>
          <w:color w:val="auto"/>
        </w:rPr>
      </w:pPr>
      <w:r>
        <w:rPr>
          <w:rFonts w:ascii="Arial" w:cs="Arial" w:eastAsia="Arial" w:hAnsi="Arial"/>
          <w:sz w:val="18"/>
          <w:szCs w:val="18"/>
          <w:color w:val="auto"/>
        </w:rPr>
        <w:t>in any event, without prejudice to any liability for fraudulent misrepresentation or fraudulent misstatement, no Party shall be under any liability or shall have any remedy in respect of misrepresentation or untrue statement unless and to the extent that a claim lies under this Agreement or any Transaction Document.</w:t>
      </w:r>
    </w:p>
    <w:p>
      <w:pPr>
        <w:spacing w:after="0" w:line="328" w:lineRule="exact"/>
        <w:rPr>
          <w:rFonts w:ascii="Arial" w:cs="Arial" w:eastAsia="Arial" w:hAnsi="Arial"/>
          <w:sz w:val="18"/>
          <w:szCs w:val="18"/>
          <w:b w:val="1"/>
          <w:bCs w:val="1"/>
          <w:color w:val="auto"/>
        </w:rPr>
      </w:pPr>
    </w:p>
    <w:p>
      <w:pPr>
        <w:ind w:left="440" w:hanging="433"/>
        <w:spacing w:after="0"/>
        <w:tabs>
          <w:tab w:leader="none" w:pos="4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4"/>
          <w:szCs w:val="14"/>
          <w:color w:val="auto"/>
        </w:rPr>
        <w:t>The Parties hereby undertake to do all such other acts and things, and execute and provide all such documents at the requesting Party’s cost as may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be necessary or desirable to give effect to the purposes of this Agreement.</w:t>
      </w:r>
    </w:p>
    <w:p>
      <w:pPr>
        <w:spacing w:after="0" w:line="351" w:lineRule="exact"/>
        <w:rPr>
          <w:sz w:val="20"/>
          <w:szCs w:val="20"/>
          <w:color w:val="auto"/>
        </w:rPr>
      </w:pPr>
    </w:p>
    <w:p>
      <w:pPr>
        <w:ind w:left="440" w:hanging="433"/>
        <w:spacing w:after="0"/>
        <w:tabs>
          <w:tab w:leader="none" w:pos="44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18" w:lineRule="exact"/>
        <w:rPr>
          <w:sz w:val="20"/>
          <w:szCs w:val="20"/>
          <w:color w:val="auto"/>
        </w:rPr>
      </w:pPr>
    </w:p>
    <w:p>
      <w:pPr>
        <w:ind w:right="100" w:firstLine="436"/>
        <w:spacing w:after="0" w:line="253" w:lineRule="auto"/>
        <w:rPr>
          <w:sz w:val="20"/>
          <w:szCs w:val="20"/>
          <w:color w:val="auto"/>
        </w:rPr>
      </w:pPr>
      <w:r>
        <w:rPr>
          <w:rFonts w:ascii="Arial" w:cs="Arial" w:eastAsia="Arial" w:hAnsi="Arial"/>
          <w:sz w:val="18"/>
          <w:szCs w:val="18"/>
          <w:color w:val="auto"/>
        </w:rPr>
        <w:t>No waiver, release, relaxation, forbearance or indulgence by any Party in enforcing any of the terms or conditions of this Agreement or the granting of time by any Party to any other shall prejudice, affect or restrict the rights and powers of such Party. The waiver of any breach of any term or any condition of this Agreement shall not be construed as a waiver of any subsequent breach of a term or condition of the same or of a different nature. Any waiver by a Party of a particular provision or right shall be in writing, shall be as to a particular matter and, if applicable, for a particular period of time and shall be signed by such Party.</w:t>
      </w:r>
    </w:p>
    <w:p>
      <w:pPr>
        <w:spacing w:after="0" w:line="336" w:lineRule="exact"/>
        <w:rPr>
          <w:sz w:val="20"/>
          <w:szCs w:val="20"/>
          <w:color w:val="auto"/>
        </w:rPr>
      </w:pPr>
    </w:p>
    <w:p>
      <w:pPr>
        <w:ind w:left="440" w:hanging="433"/>
        <w:spacing w:after="0"/>
        <w:tabs>
          <w:tab w:leader="none" w:pos="44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14" w:lineRule="exact"/>
        <w:rPr>
          <w:sz w:val="20"/>
          <w:szCs w:val="20"/>
          <w:color w:val="auto"/>
        </w:rPr>
      </w:pPr>
    </w:p>
    <w:p>
      <w:pPr>
        <w:ind w:right="360" w:firstLine="436"/>
        <w:spacing w:after="0" w:line="275" w:lineRule="auto"/>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color w:val="auto"/>
        </w:rPr>
        <w:t>If the whole or any part of this Agreement is or becomes or is declared illegal, invalid or unenforceable in any jurisdiction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by reason of the provisions of any legislation and/or by reason of any court of competent jurisdiction):</w:t>
      </w:r>
    </w:p>
    <w:p>
      <w:pPr>
        <w:spacing w:after="0" w:line="172" w:lineRule="exact"/>
        <w:rPr>
          <w:sz w:val="20"/>
          <w:szCs w:val="20"/>
          <w:color w:val="auto"/>
        </w:rPr>
      </w:pPr>
    </w:p>
    <w:p>
      <w:pPr>
        <w:ind w:right="540" w:firstLine="990"/>
        <w:spacing w:after="0" w:line="271" w:lineRule="auto"/>
        <w:tabs>
          <w:tab w:leader="none" w:pos="1234"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in the case of the illegality, invalidity or unenforceability of the whole of this Agreement it shall terminate only in relation to the jurisdiction in question; or</w:t>
      </w:r>
    </w:p>
    <w:p>
      <w:pPr>
        <w:spacing w:after="0" w:line="174" w:lineRule="exact"/>
        <w:rPr>
          <w:rFonts w:ascii="Arial" w:cs="Arial" w:eastAsia="Arial" w:hAnsi="Arial"/>
          <w:sz w:val="18"/>
          <w:szCs w:val="18"/>
          <w:b w:val="1"/>
          <w:bCs w:val="1"/>
          <w:color w:val="auto"/>
        </w:rPr>
      </w:pPr>
    </w:p>
    <w:p>
      <w:pPr>
        <w:ind w:right="120" w:firstLine="990"/>
        <w:spacing w:after="0" w:line="255" w:lineRule="auto"/>
        <w:tabs>
          <w:tab w:leader="none" w:pos="1245"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in the case of the illegality, invalidity or unenforceability of a part of this Agreement that part shall be severed from this Agreement in the jurisdiction in question and that illegality, invalidity or unenforceability shall not in any way whatsoever prejudice or affect the remaining parts of this Agreement which shall continue in full force and effect and in no circumstances shall sums paid by the Company to CRT or the ICR under this Agreement be repayable.</w:t>
      </w:r>
    </w:p>
    <w:p>
      <w:pPr>
        <w:spacing w:after="0" w:line="186" w:lineRule="exact"/>
        <w:rPr>
          <w:sz w:val="20"/>
          <w:szCs w:val="20"/>
          <w:color w:val="auto"/>
        </w:rPr>
      </w:pPr>
    </w:p>
    <w:p>
      <w:pPr>
        <w:ind w:right="220" w:firstLine="436"/>
        <w:spacing w:after="0" w:line="275"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If in the reasonable opinion of any Party any severance under this Clause 28 materially affects the commercial basis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discuss, in good faith, ways to eliminate the material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80" w:top="268" w:right="499" w:bottom="1440" w:gutter="0" w:footer="0" w:header="0"/>
        </w:sectPr>
      </w:pPr>
    </w:p>
    <w:bookmarkStart w:id="580" w:name="page581"/>
    <w:bookmarkEnd w:id="580"/>
    <w:p>
      <w:pPr>
        <w:ind w:left="440" w:hanging="433"/>
        <w:spacing w:after="0"/>
        <w:tabs>
          <w:tab w:leader="none" w:pos="44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LAW AND JURISDICTION</w:t>
      </w:r>
    </w:p>
    <w:p>
      <w:pPr>
        <w:spacing w:after="0" w:line="118"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England and Wales. The Parties agree, subject to Clause 32 below, to submit to the exclusive jurisdiction of the English courts in respect of any dispute arising out of or in connection with this Agreement (except in respect of disputes under Clause 17 where jurisdiction is non-exclusive).</w:t>
      </w:r>
    </w:p>
    <w:p>
      <w:pPr>
        <w:spacing w:after="0" w:line="329" w:lineRule="exact"/>
        <w:rPr>
          <w:sz w:val="20"/>
          <w:szCs w:val="20"/>
          <w:color w:val="auto"/>
        </w:rPr>
      </w:pPr>
    </w:p>
    <w:p>
      <w:pPr>
        <w:ind w:left="440" w:hanging="433"/>
        <w:spacing w:after="0"/>
        <w:tabs>
          <w:tab w:leader="none" w:pos="440"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118" w:lineRule="exact"/>
        <w:rPr>
          <w:sz w:val="20"/>
          <w:szCs w:val="20"/>
          <w:color w:val="auto"/>
        </w:rPr>
      </w:pPr>
    </w:p>
    <w:p>
      <w:pPr>
        <w:ind w:right="160" w:firstLine="436"/>
        <w:spacing w:after="0" w:line="335" w:lineRule="auto"/>
        <w:rPr>
          <w:sz w:val="20"/>
          <w:szCs w:val="20"/>
          <w:color w:val="auto"/>
        </w:rPr>
      </w:pPr>
      <w:r>
        <w:rPr>
          <w:rFonts w:ascii="Arial" w:cs="Arial" w:eastAsia="Arial" w:hAnsi="Arial"/>
          <w:sz w:val="16"/>
          <w:szCs w:val="16"/>
          <w:color w:val="auto"/>
        </w:rPr>
        <w:t>This Agreement may be executed in any one or more number of counterpart agreements each of which, when executed, shall be deemed to form part of and together constitute this Agreement. Facsimile signatures and signatures transmitted via PDF shall be treated as original signatures.</w:t>
      </w:r>
    </w:p>
    <w:p>
      <w:pPr>
        <w:spacing w:after="0" w:line="271" w:lineRule="exact"/>
        <w:rPr>
          <w:sz w:val="20"/>
          <w:szCs w:val="20"/>
          <w:color w:val="auto"/>
        </w:rPr>
      </w:pPr>
    </w:p>
    <w:p>
      <w:pPr>
        <w:ind w:left="440" w:hanging="433"/>
        <w:spacing w:after="0"/>
        <w:tabs>
          <w:tab w:leader="none" w:pos="44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USE OF NAMES</w:t>
      </w:r>
    </w:p>
    <w:p>
      <w:pPr>
        <w:spacing w:after="0" w:line="114" w:lineRule="exact"/>
        <w:rPr>
          <w:sz w:val="20"/>
          <w:szCs w:val="20"/>
          <w:color w:val="auto"/>
        </w:rPr>
      </w:pPr>
    </w:p>
    <w:p>
      <w:pPr>
        <w:ind w:right="140" w:firstLine="436"/>
        <w:spacing w:after="0" w:line="261"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Save as provided in Clause 31.2 no Party shall make, or procure or permit the making of, any press release or other public announcement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this Agreement without first obtaining the written approval of the other Parties to any such release or announcement, which shall not unreasonably be withheld, conditioned or delayed.</w:t>
      </w:r>
    </w:p>
    <w:p>
      <w:pPr>
        <w:spacing w:after="0" w:line="181"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Each Party agrees that it may make any announcement with respect to this Agreement or any ancillary matter as shall be required by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regulations of any stock exchange to which it is subject, without the other Parties’ consent (which shall not unreasonably be withheld, conditioned or delayed) provided it has used reasonable endeavours in the time available to consult with the other Parties on the terms of any such announcement beforehand.</w:t>
      </w:r>
    </w:p>
    <w:p>
      <w:pPr>
        <w:spacing w:after="0" w:line="183" w:lineRule="exact"/>
        <w:rPr>
          <w:sz w:val="20"/>
          <w:szCs w:val="20"/>
          <w:color w:val="auto"/>
        </w:rPr>
      </w:pPr>
    </w:p>
    <w:p>
      <w:pPr>
        <w:ind w:right="140" w:firstLine="436"/>
        <w:spacing w:after="0" w:line="291" w:lineRule="auto"/>
        <w:rPr>
          <w:sz w:val="20"/>
          <w:szCs w:val="20"/>
          <w:color w:val="auto"/>
        </w:rPr>
      </w:pPr>
      <w:r>
        <w:rPr>
          <w:rFonts w:ascii="Arial" w:cs="Arial" w:eastAsia="Arial" w:hAnsi="Arial"/>
          <w:sz w:val="16"/>
          <w:szCs w:val="16"/>
          <w:b w:val="1"/>
          <w:bCs w:val="1"/>
          <w:color w:val="auto"/>
        </w:rPr>
        <w:t xml:space="preserve">31.3 </w:t>
      </w:r>
      <w:r>
        <w:rPr>
          <w:rFonts w:ascii="Arial" w:cs="Arial" w:eastAsia="Arial" w:hAnsi="Arial"/>
          <w:sz w:val="16"/>
          <w:szCs w:val="16"/>
          <w:color w:val="auto"/>
        </w:rPr>
        <w:t>No Party shall use the name of the other (including in the case where the other is CRT, that of CRUK ( or its successor)) other than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Clause 31.1 and 31.2 without the prior written consent of such Party, which shall be at such Party’s sole discretion. Notwithstanding the foregoing, (a) to the extent information regarding this Agreement has already been publicly disclosed in accordance with Clause 31.1 and 31.2, a Party may subsequently disclose the same information to the public without the consent of the other Parties, and (b) the Company shall also be permitted to disclose the terms of this Agreement, in each case under appropriate confidentiality provisions substantially equivalent to those of this Agreement, to any actual or potential acquirers, investors, Sub-Licensees, collaborators, and/or professional advisors.</w:t>
      </w:r>
    </w:p>
    <w:p>
      <w:pPr>
        <w:spacing w:after="0" w:line="306" w:lineRule="exact"/>
        <w:rPr>
          <w:sz w:val="20"/>
          <w:szCs w:val="20"/>
          <w:color w:val="auto"/>
        </w:rPr>
      </w:pPr>
    </w:p>
    <w:p>
      <w:pPr>
        <w:ind w:left="440" w:hanging="433"/>
        <w:spacing w:after="0"/>
        <w:tabs>
          <w:tab w:leader="none" w:pos="44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14" w:lineRule="exact"/>
        <w:rPr>
          <w:sz w:val="20"/>
          <w:szCs w:val="20"/>
          <w:color w:val="auto"/>
        </w:rPr>
      </w:pPr>
    </w:p>
    <w:p>
      <w:pPr>
        <w:ind w:right="20" w:firstLine="436"/>
        <w:spacing w:after="0" w:line="277"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color w:val="auto"/>
        </w:rPr>
        <w:t>Insofar as this Agreement provides that a matter shall be resolved by Expert, the opinion of such expert (who shall act as an expert and not as</w:t>
      </w:r>
      <w:r>
        <w:rPr>
          <w:rFonts w:ascii="Arial" w:cs="Arial" w:eastAsia="Arial" w:hAnsi="Arial"/>
          <w:sz w:val="17"/>
          <w:szCs w:val="17"/>
          <w:b w:val="1"/>
          <w:bCs w:val="1"/>
          <w:color w:val="auto"/>
        </w:rPr>
        <w:t xml:space="preserve"> </w:t>
      </w:r>
      <w:r>
        <w:rPr>
          <w:rFonts w:ascii="Arial" w:cs="Arial" w:eastAsia="Arial" w:hAnsi="Arial"/>
          <w:sz w:val="17"/>
          <w:szCs w:val="17"/>
          <w:color w:val="auto"/>
        </w:rPr>
        <w:t>an arbitrator) shall be final and binding on the Parties. In the event of a Party seeking an Expert under this Agreement, each Party shall make written submissions to the expert so appointed and to the other involved Party or Parties within [***] of the appointment. Each involved Party shall have [***] to respond to the other’s submissions and the Expert shall be provided within a further [***].</w:t>
      </w:r>
    </w:p>
    <w:p>
      <w:pPr>
        <w:spacing w:after="0" w:line="167"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color w:val="auto"/>
        </w:rPr>
        <w:t>It shall be a condition precedent to the commencement of any action in court or other tribunal (save an action for specific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injunctive or other equitable relief in accordance with Clause 17.6) in respect of any dispute relating to this Agreement and to the seeking of an Expert that the Parties have sought to resolve the dispute by one or more Parties notifying it in writing for resolution to the Executive Officers of the Parties who shall meet (whether in person or via teleconference) within [***] of such notice to seek resolution in good faith. If the Executive Officers fail to resolve the dispute within [***] of such meeting the Parties may, but shall not be obliged, to try in good faith to settle the matter by mediation in London under the rules of the Centre for Effective Dispute Resolution.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480" w:top="268" w:right="519" w:bottom="1440" w:gutter="0" w:footer="0" w:header="0"/>
        </w:sectPr>
      </w:pPr>
    </w:p>
    <w:bookmarkStart w:id="581" w:name="page582"/>
    <w:bookmarkEnd w:id="581"/>
    <w:p>
      <w:pPr>
        <w:ind w:left="440" w:hanging="433"/>
        <w:spacing w:after="0"/>
        <w:tabs>
          <w:tab w:leader="none" w:pos="44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THIRD PARTY BENEFICIARIES</w:t>
      </w:r>
    </w:p>
    <w:p>
      <w:pPr>
        <w:spacing w:after="0" w:line="118" w:lineRule="exact"/>
        <w:rPr>
          <w:sz w:val="20"/>
          <w:szCs w:val="20"/>
          <w:color w:val="auto"/>
        </w:rPr>
      </w:pPr>
    </w:p>
    <w:p>
      <w:pPr>
        <w:ind w:right="360" w:firstLine="436"/>
        <w:spacing w:after="0" w:line="252" w:lineRule="auto"/>
        <w:rPr>
          <w:sz w:val="20"/>
          <w:szCs w:val="20"/>
          <w:color w:val="auto"/>
        </w:rPr>
      </w:pPr>
      <w:r>
        <w:rPr>
          <w:rFonts w:ascii="Arial" w:cs="Arial" w:eastAsia="Arial" w:hAnsi="Arial"/>
          <w:sz w:val="18"/>
          <w:szCs w:val="18"/>
          <w:color w:val="auto"/>
        </w:rPr>
        <w:t xml:space="preserve">Except for the Third Parties and the respective rights referred to in Clause 5.2(c)(iii) and Clause 14 (Indemnity) and Clause 16 (Limitation of Liability) this Agreement is neither expressly nor impliedly made for the benefit of any party other than those executing it whether pursuant.to the Contract (Rights of Third Parties) Act 1999 or otherwise. Notwithstanding the provisions of this Clause 33, the Parties shall be entitled to amend, suspend, cancel or terminate this Agreement or any part of it in accordance with Clause 19, without the consent of any Third Party including those referred to in this Clause 33;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prior written consent of Versant Ventures shall be required for any amendment, suspension, or cancellation of Clause 5.</w:t>
      </w:r>
    </w:p>
    <w:p>
      <w:pPr>
        <w:spacing w:after="0" w:line="337" w:lineRule="exact"/>
        <w:rPr>
          <w:sz w:val="20"/>
          <w:szCs w:val="20"/>
          <w:color w:val="auto"/>
        </w:rPr>
      </w:pPr>
    </w:p>
    <w:p>
      <w:pPr>
        <w:ind w:left="440" w:hanging="433"/>
        <w:spacing w:after="0"/>
        <w:tabs>
          <w:tab w:leader="none" w:pos="44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LANGUAGE; AUTHORSHIP</w:t>
      </w:r>
    </w:p>
    <w:p>
      <w:pPr>
        <w:spacing w:after="0" w:line="118"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This Agreement has been prepared in the English language, and the English language shall control its interpretation. In addition, all notices required or permitted to be given hereunder, and all written, electronic, oral or other communications among the Parties regarding this Agreement, shall be in the English language.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or disfavoring any party by virtue of the authorship of any provisions of this Agreement.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60"/>
          </w:cols>
          <w:pgMar w:left="480" w:top="268" w:right="559" w:bottom="1440" w:gutter="0" w:footer="0" w:header="0"/>
        </w:sectPr>
      </w:pPr>
    </w:p>
    <w:bookmarkStart w:id="582" w:name="page583"/>
    <w:bookmarkEnd w:id="58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caused this Agreement to be executed by their duly authorized representatives as of the Effective Date.</w:t>
      </w:r>
    </w:p>
    <w:p>
      <w:pPr>
        <w:sectPr>
          <w:pgSz w:w="11900" w:h="16838" w:orient="portrait"/>
          <w:cols w:equalWidth="0" w:num="1">
            <w:col w:w="10380"/>
          </w:cols>
          <w:pgMar w:left="920" w:top="268" w:right="599" w:bottom="1440" w:gutter="0" w:footer="0" w:header="0"/>
        </w:sectPr>
      </w:pP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11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 xml:space="preserve">Company Secretary: </w:t>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-11430</wp:posOffset>
            </wp:positionV>
            <wp:extent cx="13049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9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 April 4, 2018</w:t>
      </w: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NSTITUTE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OYAL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ANCER</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OSPITAL</w:t>
      </w:r>
    </w:p>
    <w:p>
      <w:pPr>
        <w:spacing w:after="0" w:line="10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 xml:space="preserve">Authorized Signatory: </w:t>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-11430</wp:posOffset>
            </wp:positionV>
            <wp:extent cx="13049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9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 April 6, 2018</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[Signature page to Collaboration and Option Agreement]</w:t>
      </w:r>
    </w:p>
    <w:p>
      <w:pPr>
        <w:sectPr>
          <w:pgSz w:w="11900" w:h="16838" w:orient="portrait"/>
          <w:cols w:equalWidth="0" w:num="1">
            <w:col w:w="10380"/>
          </w:cols>
          <w:pgMar w:left="920" w:top="268" w:right="599" w:bottom="1440" w:gutter="0" w:footer="0" w:header="0"/>
          <w:type w:val="continuous"/>
        </w:sectPr>
      </w:pPr>
    </w:p>
    <w:bookmarkStart w:id="583" w:name="page584"/>
    <w:bookmarkEnd w:id="58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w:t>
      </w:r>
      <w:r>
        <w:rPr>
          <w:rFonts w:ascii="Arial" w:cs="Arial" w:eastAsia="Arial" w:hAnsi="Arial"/>
          <w:sz w:val="14"/>
          <w:szCs w:val="14"/>
          <w:b w:val="1"/>
          <w:bCs w:val="1"/>
          <w:color w:val="auto"/>
        </w:rPr>
        <w:t>ONTE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AG</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 formation)</w:t>
      </w:r>
    </w:p>
    <w:p>
      <w:pPr>
        <w:spacing w:after="0" w:line="22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249682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Director</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April 6, 2018</w:t>
      </w:r>
    </w:p>
    <w:p>
      <w:pPr>
        <w:spacing w:after="0" w:line="22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249682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Professor</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April 6, 2018</w:t>
      </w:r>
    </w:p>
    <w:p>
      <w:pPr>
        <w:spacing w:after="0" w:line="22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249682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Company Secretary, Cancer Research Technology</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Limited</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April 4, 2018</w:t>
      </w:r>
    </w:p>
    <w:p>
      <w:pPr>
        <w:spacing w:after="0" w:line="22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249682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Illegible</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Director, ICR</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April 6, 2018</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Versant Venture Capital VI, L.P.</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Versant Ventures VI GP, L.P.</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Versant Ventures VI, GP-GP, LLC</w:t>
      </w:r>
    </w:p>
    <w:p>
      <w:pPr>
        <w:spacing w:after="0" w:line="208"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24968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Bradley J. Bolzon</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5080</wp:posOffset>
            </wp:positionV>
            <wp:extent cx="249682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13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 page to Collaboration and Option Agreement]</w:t>
      </w:r>
    </w:p>
    <w:p>
      <w:pPr>
        <w:sectPr>
          <w:pgSz w:w="11900" w:h="16838" w:orient="portrait"/>
          <w:cols w:equalWidth="0" w:num="1">
            <w:col w:w="9600"/>
          </w:cols>
          <w:pgMar w:left="1440" w:top="268" w:right="859" w:bottom="1440" w:gutter="0" w:footer="0" w:header="0"/>
        </w:sectPr>
      </w:pPr>
    </w:p>
    <w:bookmarkStart w:id="584" w:name="page585"/>
    <w:bookmarkEnd w:id="5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SCHEDULE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8" w:right="1440" w:bottom="1440" w:gutter="0" w:footer="0" w:header="0"/>
        </w:sectPr>
      </w:pPr>
    </w:p>
    <w:bookmarkStart w:id="585" w:name="page586"/>
    <w:bookmarkEnd w:id="5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PROGRAMME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7" w:right="1440" w:bottom="1440" w:gutter="0" w:footer="0" w:header="0"/>
        </w:sectPr>
      </w:pPr>
    </w:p>
    <w:bookmarkStart w:id="586" w:name="page587"/>
    <w:bookmarkEnd w:id="58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3</w:t>
      </w:r>
    </w:p>
    <w:p>
      <w:pPr>
        <w:sectPr>
          <w:pgSz w:w="11900" w:h="16838" w:orient="portrait"/>
          <w:cols w:equalWidth="0" w:num="1">
            <w:col w:w="9019"/>
          </w:cols>
          <w:pgMar w:left="1440" w:top="267" w:right="1440"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CRITERIA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7" w:right="1440" w:bottom="1440" w:gutter="0" w:footer="0" w:header="0"/>
          <w:type w:val="continuous"/>
        </w:sectPr>
      </w:pPr>
    </w:p>
    <w:bookmarkStart w:id="587" w:name="page588"/>
    <w:bookmarkEnd w:id="5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Institute of Cancer Research: Royal Cancer Hospital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123 Old Brampton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SW7 3RP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8AAB"/>
        </w:rPr>
        <w:t>Cancer Research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-805815</wp:posOffset>
            </wp:positionV>
            <wp:extent cx="1638935" cy="56896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638935" cy="56896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8AAB"/>
        </w:rPr>
        <w:t>Angel Building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407 St John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London EC1V 4AD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United Kingdom</w:t>
      </w:r>
    </w:p>
    <w:p>
      <w:pPr>
        <w:spacing w:after="0" w:line="413" w:lineRule="exact"/>
        <w:rPr>
          <w:sz w:val="20"/>
          <w:szCs w:val="20"/>
          <w:color w:val="auto"/>
        </w:rPr>
      </w:pPr>
    </w:p>
    <w:p>
      <w:pPr>
        <w:sectPr>
          <w:pgSz w:w="11900" w:h="16838" w:orient="portrait"/>
          <w:cols w:equalWidth="0" w:num="2">
            <w:col w:w="7260" w:space="720"/>
            <w:col w:w="2840"/>
          </w:cols>
          <w:pgMar w:left="480" w:top="1395" w:right="59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Alexander Mayweg, Member of the Board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25th February 2019</w:t>
      </w:r>
    </w:p>
    <w:p>
      <w:pPr>
        <w:sectPr>
          <w:pgSz w:w="11900" w:h="16838" w:orient="portrait"/>
          <w:cols w:equalWidth="0" w:num="1">
            <w:col w:w="10820"/>
          </w:cols>
          <w:pgMar w:left="480" w:top="1395" w:right="59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Licence Agreement between Cancer Research Technology Limited (“CRT”), Institute of cancer Research: Royal Cancer Hospital (“ICR”)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Monte Rosa Therapeutics AG (“Company”) dated 26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April 2018 (the “License Agreement”)</w:t>
      </w:r>
    </w:p>
    <w:p>
      <w:pPr>
        <w:spacing w:after="0" w:line="20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Parties wish to modify the Licence Agreement pursuant to this letter of amendment (“</w:t>
      </w:r>
      <w:r>
        <w:rPr>
          <w:rFonts w:ascii="Arial" w:cs="Arial" w:eastAsia="Arial" w:hAnsi="Arial"/>
          <w:sz w:val="18"/>
          <w:szCs w:val="18"/>
          <w:b w:val="1"/>
          <w:bCs w:val="1"/>
          <w:color w:val="auto"/>
        </w:rPr>
        <w:t>Amendment 1</w:t>
      </w:r>
      <w:r>
        <w:rPr>
          <w:rFonts w:ascii="Arial" w:cs="Arial" w:eastAsia="Arial" w:hAnsi="Arial"/>
          <w:sz w:val="18"/>
          <w:szCs w:val="18"/>
          <w:color w:val="auto"/>
        </w:rPr>
        <w:t>”). Unless indicated otherwise, all capitalised terms used in this Amendment 1 shall have the meanings given to such terms in the License Agreement.</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CRT, the ICR and the Company hereby agree to amend the Agreement, which shall be effective from the date of this letter as follows. For avoidance of doubt, the effective date as particularised under Clause </w:t>
      </w:r>
      <w:r>
        <w:rPr>
          <w:rFonts w:ascii="Arial" w:cs="Arial" w:eastAsia="Arial" w:hAnsi="Arial"/>
          <w:sz w:val="18"/>
          <w:szCs w:val="18"/>
          <w:i w:val="1"/>
          <w:iCs w:val="1"/>
          <w:color w:val="auto"/>
        </w:rPr>
        <w:t>U.1</w:t>
      </w:r>
      <w:r>
        <w:rPr>
          <w:rFonts w:ascii="Arial" w:cs="Arial" w:eastAsia="Arial" w:hAnsi="Arial"/>
          <w:sz w:val="18"/>
          <w:szCs w:val="18"/>
          <w:color w:val="auto"/>
        </w:rPr>
        <w:t xml:space="preserve"> of the license Agreement remains unchanged.</w:t>
      </w:r>
    </w:p>
    <w:p>
      <w:pPr>
        <w:spacing w:after="0" w:line="201" w:lineRule="exact"/>
        <w:rPr>
          <w:sz w:val="20"/>
          <w:szCs w:val="20"/>
          <w:color w:val="auto"/>
        </w:rPr>
      </w:pPr>
    </w:p>
    <w:p>
      <w:pPr>
        <w:ind w:left="440" w:right="4980" w:hanging="433"/>
        <w:spacing w:after="0" w:line="372" w:lineRule="auto"/>
        <w:tabs>
          <w:tab w:leader="none" w:pos="432"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xml:space="preserve">Clause 1.1 shall be amended to include the following additional definitions: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w:t>
      </w:r>
    </w:p>
    <w:p>
      <w:pPr>
        <w:ind w:left="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w:t>
      </w:r>
    </w:p>
    <w:p>
      <w:pPr>
        <w:spacing w:after="0" w:line="113" w:lineRule="exact"/>
        <w:rPr>
          <w:rFonts w:ascii="Arial" w:cs="Arial" w:eastAsia="Arial" w:hAnsi="Arial"/>
          <w:sz w:val="18"/>
          <w:szCs w:val="18"/>
          <w:color w:val="auto"/>
        </w:rPr>
      </w:pPr>
    </w:p>
    <w:p>
      <w:pPr>
        <w:ind w:left="440" w:right="6480"/>
        <w:spacing w:after="0" w:line="418"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“Protein Degradation Product Library” </w:t>
      </w:r>
      <w:r>
        <w:rPr>
          <w:rFonts w:ascii="Arial" w:cs="Arial" w:eastAsia="Arial" w:hAnsi="Arial"/>
          <w:sz w:val="16"/>
          <w:szCs w:val="16"/>
          <w:color w:val="auto"/>
        </w:rPr>
        <w:t>means [***].</w:t>
      </w:r>
      <w:r>
        <w:rPr>
          <w:rFonts w:ascii="Arial" w:cs="Arial" w:eastAsia="Arial" w:hAnsi="Arial"/>
          <w:sz w:val="16"/>
          <w:szCs w:val="16"/>
          <w:b w:val="1"/>
          <w:bCs w:val="1"/>
          <w:i w:val="1"/>
          <w:iCs w:val="1"/>
          <w:color w:val="auto"/>
        </w:rPr>
        <w:t xml:space="preserve"> “Protein Degradation Product HTS” </w:t>
      </w:r>
      <w:r>
        <w:rPr>
          <w:rFonts w:ascii="Arial" w:cs="Arial" w:eastAsia="Arial" w:hAnsi="Arial"/>
          <w:sz w:val="16"/>
          <w:szCs w:val="16"/>
          <w:color w:val="auto"/>
        </w:rPr>
        <w:t>means [***].</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“Services Term” </w:t>
      </w:r>
      <w:r>
        <w:rPr>
          <w:rFonts w:ascii="Arial" w:cs="Arial" w:eastAsia="Arial" w:hAnsi="Arial"/>
          <w:sz w:val="18"/>
          <w:szCs w:val="18"/>
          <w:color w:val="auto"/>
        </w:rPr>
        <w:t>has the meaning given in the Collaboration and Option Agreement.</w:t>
      </w:r>
    </w:p>
    <w:p>
      <w:pPr>
        <w:spacing w:after="0" w:line="247" w:lineRule="exact"/>
        <w:rPr>
          <w:rFonts w:ascii="Arial" w:cs="Arial" w:eastAsia="Arial" w:hAnsi="Arial"/>
          <w:sz w:val="18"/>
          <w:szCs w:val="18"/>
          <w:color w:val="auto"/>
        </w:rPr>
      </w:pPr>
    </w:p>
    <w:p>
      <w:pPr>
        <w:ind w:left="440" w:right="5340" w:hanging="433"/>
        <w:spacing w:after="0" w:line="474" w:lineRule="auto"/>
        <w:tabs>
          <w:tab w:leader="none" w:pos="432"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Clause 2.1(d) shall be amended by including </w:t>
      </w:r>
      <w:r>
        <w:rPr>
          <w:rFonts w:ascii="Arial" w:cs="Arial" w:eastAsia="Arial" w:hAnsi="Arial"/>
          <w:sz w:val="16"/>
          <w:szCs w:val="16"/>
          <w:i w:val="1"/>
          <w:iCs w:val="1"/>
          <w:color w:val="auto"/>
        </w:rPr>
        <w:t>“and”</w:t>
      </w:r>
      <w:r>
        <w:rPr>
          <w:rFonts w:ascii="Arial" w:cs="Arial" w:eastAsia="Arial" w:hAnsi="Arial"/>
          <w:sz w:val="16"/>
          <w:szCs w:val="16"/>
          <w:color w:val="auto"/>
        </w:rPr>
        <w:t xml:space="preserve"> to read as follows: “(d) a non-exclusive fully-paid ... in the Field in the Territory; and”</w:t>
      </w:r>
    </w:p>
    <w:p>
      <w:pPr>
        <w:spacing w:after="0" w:line="48" w:lineRule="exact"/>
        <w:rPr>
          <w:rFonts w:ascii="Arial" w:cs="Arial" w:eastAsia="Arial" w:hAnsi="Arial"/>
          <w:sz w:val="16"/>
          <w:szCs w:val="16"/>
          <w:color w:val="auto"/>
        </w:rPr>
      </w:pPr>
    </w:p>
    <w:p>
      <w:pPr>
        <w:ind w:left="440" w:hanging="433"/>
        <w:spacing w:after="0"/>
        <w:tabs>
          <w:tab w:leader="none" w:pos="44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Clause 2.1 shall be amended after paragraph (d) to include the following:</w:t>
      </w:r>
    </w:p>
    <w:p>
      <w:pPr>
        <w:spacing w:after="0" w:line="113" w:lineRule="exact"/>
        <w:rPr>
          <w:rFonts w:ascii="Arial" w:cs="Arial" w:eastAsia="Arial" w:hAnsi="Arial"/>
          <w:sz w:val="18"/>
          <w:szCs w:val="18"/>
          <w:color w:val="auto"/>
        </w:rPr>
      </w:pPr>
    </w:p>
    <w:p>
      <w:pPr>
        <w:ind w:left="440" w:right="140"/>
        <w:spacing w:after="0" w:line="255" w:lineRule="auto"/>
        <w:rPr>
          <w:rFonts w:ascii="Arial" w:cs="Arial" w:eastAsia="Arial" w:hAnsi="Arial"/>
          <w:sz w:val="18"/>
          <w:szCs w:val="18"/>
          <w:color w:val="auto"/>
        </w:rPr>
      </w:pPr>
      <w:r>
        <w:rPr>
          <w:rFonts w:ascii="Arial" w:cs="Arial" w:eastAsia="Arial" w:hAnsi="Arial"/>
          <w:sz w:val="18"/>
          <w:szCs w:val="18"/>
          <w:color w:val="auto"/>
        </w:rPr>
        <w:t>“(e) a non-exclusive fully-paid, irrevocable, perpetual licence, with the right to grant sub-licences as provided in Clause 2.2, under all of CRT’s and the ICR’s respective rights in and to the Non-Compound Intellectual Property listed in schedule 1A(iii) to discover, research, develop, have developed, use, keep, make, have made, market import, offer for sale, sell and otherwise dispose of Licensed Products that are Protein Degradation Products in the Field in the Territory.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Registered address: Cancer Research Technology Ltd, Angel Building, 407 St John Street, London EC1V 4AD.</w:t>
      </w:r>
    </w:p>
    <w:p>
      <w:pPr>
        <w:spacing w:after="0" w:line="219" w:lineRule="auto"/>
        <w:rPr>
          <w:sz w:val="20"/>
          <w:szCs w:val="20"/>
          <w:color w:val="auto"/>
        </w:rPr>
      </w:pPr>
      <w:r>
        <w:rPr>
          <w:rFonts w:ascii="Arial" w:cs="Arial" w:eastAsia="Arial" w:hAnsi="Arial"/>
          <w:sz w:val="14"/>
          <w:szCs w:val="14"/>
          <w:color w:val="auto"/>
        </w:rPr>
        <w:t>Registered In England (1626049). VAT registration number GB788 138678.</w:t>
      </w:r>
    </w:p>
    <w:p>
      <w:pPr>
        <w:spacing w:after="0"/>
        <w:rPr>
          <w:sz w:val="20"/>
          <w:szCs w:val="20"/>
          <w:color w:val="auto"/>
        </w:rPr>
      </w:pPr>
      <w:r>
        <w:rPr>
          <w:rFonts w:ascii="Arial" w:cs="Arial" w:eastAsia="Arial" w:hAnsi="Arial"/>
          <w:sz w:val="14"/>
          <w:szCs w:val="14"/>
          <w:color w:val="auto"/>
        </w:rPr>
        <w:t>A wholly-owned subsidiary of Cancer Research UK, registered charity in England and Wales (1089464), Scotland (SC041666) and the Isle of Man (1103).</w:t>
      </w:r>
    </w:p>
    <w:p>
      <w:pPr>
        <w:sectPr>
          <w:pgSz w:w="11900" w:h="16838" w:orient="portrait"/>
          <w:cols w:equalWidth="0" w:num="1">
            <w:col w:w="10820"/>
          </w:cols>
          <w:pgMar w:left="480" w:top="1395" w:right="599" w:bottom="1440" w:gutter="0" w:footer="0" w:header="0"/>
          <w:type w:val="continuous"/>
        </w:sectPr>
      </w:pPr>
    </w:p>
    <w:bookmarkStart w:id="588" w:name="page589"/>
    <w:bookmarkEnd w:id="588"/>
    <w:p>
      <w:pPr>
        <w:ind w:left="440" w:hanging="433"/>
        <w:spacing w:after="0"/>
        <w:tabs>
          <w:tab w:leader="none" w:pos="4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Clause 2 shall be amended after 2.6 to include the following:</w:t>
      </w:r>
    </w:p>
    <w:p>
      <w:pPr>
        <w:spacing w:after="0" w:line="127" w:lineRule="exact"/>
        <w:rPr>
          <w:rFonts w:ascii="Arial" w:cs="Arial" w:eastAsia="Arial" w:hAnsi="Arial"/>
          <w:sz w:val="18"/>
          <w:szCs w:val="18"/>
          <w:color w:val="auto"/>
        </w:rPr>
      </w:pPr>
    </w:p>
    <w:p>
      <w:pPr>
        <w:ind w:left="980" w:right="280" w:hanging="535"/>
        <w:spacing w:after="0" w:line="259" w:lineRule="auto"/>
        <w:rPr>
          <w:rFonts w:ascii="Arial" w:cs="Arial" w:eastAsia="Arial" w:hAnsi="Arial"/>
          <w:sz w:val="18"/>
          <w:szCs w:val="18"/>
          <w:color w:val="auto"/>
        </w:rPr>
      </w:pPr>
      <w:r>
        <w:rPr>
          <w:rFonts w:ascii="Arial" w:cs="Arial" w:eastAsia="Arial" w:hAnsi="Arial"/>
          <w:sz w:val="18"/>
          <w:szCs w:val="18"/>
          <w:color w:val="auto"/>
        </w:rPr>
        <w:t>“2.7 For the period of the Services Term only and-subject to Clause 2.8, the CTU shall not undertake any Protein Degradation Product HTS using the [***] outside of the Programme. For clarity, this clause shall terminate in the event any of the circumstances set forth in Clause 19.2 of the Collaboration and Option Agreement are invoked.</w:t>
      </w:r>
    </w:p>
    <w:p>
      <w:pPr>
        <w:spacing w:after="0" w:line="92" w:lineRule="exact"/>
        <w:rPr>
          <w:rFonts w:ascii="Arial" w:cs="Arial" w:eastAsia="Arial" w:hAnsi="Arial"/>
          <w:sz w:val="18"/>
          <w:szCs w:val="18"/>
          <w:color w:val="auto"/>
        </w:rPr>
      </w:pPr>
    </w:p>
    <w:p>
      <w:pPr>
        <w:ind w:left="980" w:right="60" w:hanging="535"/>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2.8 For the avoidance of doubt during the Services Term CTU shall be able to, and each of the ICR and/or CRT .shall be entitled to itself, and/or enable any of its partners or licensees (including by way of granting sub-licenses to the Protein Degradation Desmoplasia assay Know How) to,: (i) conduct any high- throughput screen using the [***] outside of a Protein Degradation Product HTS </w:t>
      </w:r>
      <w:r>
        <w:rPr>
          <w:rFonts w:ascii="Arial" w:cs="Arial" w:eastAsia="Arial" w:hAnsi="Arial"/>
          <w:sz w:val="18"/>
          <w:szCs w:val="18"/>
          <w:b w:val="1"/>
          <w:bCs w:val="1"/>
          <w:color w:val="auto"/>
        </w:rPr>
        <w:t>(“Other HTS</w:t>
      </w:r>
      <w:r>
        <w:rPr>
          <w:rFonts w:ascii="Arial" w:cs="Arial" w:eastAsia="Arial" w:hAnsi="Arial"/>
          <w:sz w:val="18"/>
          <w:szCs w:val="18"/>
          <w:color w:val="auto"/>
        </w:rPr>
        <w:t>”); and/or (ii) use the [***] to progress, develop and commercialise any compound(s) that is identified from an Other HTS or any other research activity conducted outside of the Programme that did not involve a Protein Degradation Product HTS, without any restrictions or obligations to the Company.</w:t>
      </w:r>
    </w:p>
    <w:p>
      <w:pPr>
        <w:spacing w:after="0" w:line="220" w:lineRule="exact"/>
        <w:rPr>
          <w:rFonts w:ascii="Arial" w:cs="Arial" w:eastAsia="Arial" w:hAnsi="Arial"/>
          <w:sz w:val="18"/>
          <w:szCs w:val="18"/>
          <w:color w:val="auto"/>
        </w:rPr>
      </w:pPr>
    </w:p>
    <w:p>
      <w:pPr>
        <w:ind w:left="440" w:hanging="433"/>
        <w:spacing w:after="0"/>
        <w:tabs>
          <w:tab w:leader="none" w:pos="4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Clause 13.1 shall be deleted and replaced with the following:</w:t>
      </w:r>
    </w:p>
    <w:p>
      <w:pPr>
        <w:spacing w:after="0" w:line="127" w:lineRule="exact"/>
        <w:rPr>
          <w:rFonts w:ascii="Arial" w:cs="Arial" w:eastAsia="Arial" w:hAnsi="Arial"/>
          <w:sz w:val="18"/>
          <w:szCs w:val="18"/>
          <w:color w:val="auto"/>
        </w:rPr>
      </w:pPr>
    </w:p>
    <w:p>
      <w:pPr>
        <w:ind w:left="980" w:right="120" w:hanging="535"/>
        <w:spacing w:after="0" w:line="259" w:lineRule="auto"/>
        <w:rPr>
          <w:rFonts w:ascii="Arial" w:cs="Arial" w:eastAsia="Arial" w:hAnsi="Arial"/>
          <w:sz w:val="18"/>
          <w:szCs w:val="18"/>
          <w:color w:val="auto"/>
        </w:rPr>
      </w:pPr>
      <w:r>
        <w:rPr>
          <w:rFonts w:ascii="Arial" w:cs="Arial" w:eastAsia="Arial" w:hAnsi="Arial"/>
          <w:sz w:val="18"/>
          <w:szCs w:val="18"/>
          <w:color w:val="auto"/>
        </w:rPr>
        <w:t>“13.1 The termination of this Agreement howsoever arising, will be without prejudice to the rights, obligations and duties of any Party accrued prior to termination. The following Clauses will continue to be enforceable notwithstanding termination: Clauses 2.1-2.6, 6.3, 7, 8, 9, 10, 11, and 13-27.”</w:t>
      </w:r>
    </w:p>
    <w:p>
      <w:pPr>
        <w:spacing w:after="0" w:line="212" w:lineRule="exact"/>
        <w:rPr>
          <w:rFonts w:ascii="Arial" w:cs="Arial" w:eastAsia="Arial" w:hAnsi="Arial"/>
          <w:sz w:val="18"/>
          <w:szCs w:val="18"/>
          <w:color w:val="auto"/>
        </w:rPr>
      </w:pPr>
    </w:p>
    <w:p>
      <w:pPr>
        <w:ind w:left="440" w:right="4080" w:hanging="433"/>
        <w:spacing w:after="0" w:line="387" w:lineRule="auto"/>
        <w:tabs>
          <w:tab w:leader="none" w:pos="4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Schedule 1 Part A shall be amended after last bullet point to (ii) to include the following: </w:t>
      </w:r>
      <w:r>
        <w:rPr>
          <w:rFonts w:ascii="Arial" w:cs="Arial" w:eastAsia="Arial" w:hAnsi="Arial"/>
          <w:sz w:val="18"/>
          <w:szCs w:val="18"/>
          <w:i w:val="1"/>
          <w:iCs w:val="1"/>
          <w:color w:val="auto"/>
        </w:rPr>
        <w:t xml:space="preserve">“(iii) </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47" w:lineRule="exact"/>
        <w:rPr>
          <w:rFonts w:ascii="Arial" w:cs="Arial" w:eastAsia="Arial" w:hAnsi="Arial"/>
          <w:sz w:val="18"/>
          <w:szCs w:val="18"/>
          <w:color w:val="auto"/>
        </w:rPr>
      </w:pPr>
    </w:p>
    <w:p>
      <w:pPr>
        <w:ind w:left="440" w:right="2420" w:hanging="433"/>
        <w:spacing w:after="0" w:line="431" w:lineRule="auto"/>
        <w:tabs>
          <w:tab w:leader="none" w:pos="43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Schedule 1 Part (A) shall be amended to include punctuation namely brackets for “i” and “ii” to read as follows: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32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Save as expressly varied by this letter of amendment to the licence Agreement, all other terms of the Licence Agreement remain the same. However, if there are any inconsistencies between the terms of this Amendment 1 and the provisions of the licence Agreement, then this Amendment 1 shall prevail.</w:t>
      </w:r>
    </w:p>
    <w:p>
      <w:pPr>
        <w:spacing w:after="0" w:line="128"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color w:val="auto"/>
        </w:rPr>
        <w:t>This Amendment 1 shall be governed by and construed in accordance with the laws of England and Wales and the Parties agree to submit to the exclusive jurisdiction of the English courts in respect of any dispute arising out of or in connection with this Amendment 1.</w:t>
      </w:r>
    </w:p>
    <w:p>
      <w:pPr>
        <w:spacing w:after="0" w:line="1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Please sign, and add the date of signature, below confirming ICR and Company’s agreement to be bound by the terms of this Amendment 1 and return three signed Amendment 1 to the undersigned.</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80" w:top="272" w:right="55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Illegible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Illegible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Countersigned by </w:t>
      </w:r>
      <w:r>
        <w:rPr>
          <w:rFonts w:ascii="Arial" w:cs="Arial" w:eastAsia="Arial" w:hAnsi="Arial"/>
          <w:sz w:val="18"/>
          <w:szCs w:val="18"/>
          <w:b w:val="1"/>
          <w:bCs w:val="1"/>
          <w:color w:val="auto"/>
        </w:rPr>
        <w:t>The Institute of Cancer Research: Royal Cancer Hospital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Illegible</w:t>
            </w:r>
          </w:p>
        </w:tc>
        <w:tc>
          <w:tcPr>
            <w:tcW w:w="1080" w:type="dxa"/>
            <w:vAlign w:val="bottom"/>
          </w:tcPr>
          <w:p>
            <w:pPr>
              <w:ind w:left="680"/>
              <w:spacing w:after="0"/>
              <w:rPr>
                <w:sz w:val="20"/>
                <w:szCs w:val="20"/>
                <w:color w:val="auto"/>
              </w:rPr>
            </w:pPr>
            <w:r>
              <w:rPr>
                <w:rFonts w:ascii="Arial" w:cs="Arial" w:eastAsia="Arial" w:hAnsi="Arial"/>
                <w:sz w:val="18"/>
                <w:szCs w:val="18"/>
                <w:color w:val="auto"/>
                <w:w w:val="88"/>
              </w:rPr>
              <w:t>Date:</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Illegible</w:t>
            </w:r>
          </w:p>
        </w:tc>
        <w:tc>
          <w:tcPr>
            <w:tcW w:w="1080" w:type="dxa"/>
            <w:vAlign w:val="bottom"/>
          </w:tcPr>
          <w:p>
            <w:pPr>
              <w:ind w:left="680"/>
              <w:spacing w:after="0"/>
              <w:rPr>
                <w:sz w:val="20"/>
                <w:szCs w:val="20"/>
                <w:color w:val="auto"/>
              </w:rPr>
            </w:pPr>
            <w:r>
              <w:rPr>
                <w:rFonts w:ascii="Arial" w:cs="Arial" w:eastAsia="Arial" w:hAnsi="Arial"/>
                <w:sz w:val="18"/>
                <w:szCs w:val="18"/>
                <w:color w:val="auto"/>
                <w:w w:val="97"/>
              </w:rPr>
              <w:t>Title:</w:t>
            </w:r>
          </w:p>
        </w:tc>
      </w:tr>
      <w:tr>
        <w:trPr>
          <w:trHeight w:val="528"/>
        </w:trPr>
        <w:tc>
          <w:tcPr>
            <w:tcW w:w="5340" w:type="dxa"/>
            <w:vAlign w:val="bottom"/>
            <w:gridSpan w:val="2"/>
          </w:tcPr>
          <w:p>
            <w:pPr>
              <w:spacing w:after="0"/>
              <w:rPr>
                <w:sz w:val="20"/>
                <w:szCs w:val="20"/>
                <w:color w:val="auto"/>
              </w:rPr>
            </w:pPr>
            <w:r>
              <w:rPr>
                <w:rFonts w:ascii="Arial" w:cs="Arial" w:eastAsia="Arial" w:hAnsi="Arial"/>
                <w:sz w:val="18"/>
                <w:szCs w:val="18"/>
                <w:color w:val="auto"/>
              </w:rPr>
              <w:t xml:space="preserve">Countersigned by </w:t>
            </w:r>
            <w:r>
              <w:rPr>
                <w:rFonts w:ascii="Arial" w:cs="Arial" w:eastAsia="Arial" w:hAnsi="Arial"/>
                <w:sz w:val="18"/>
                <w:szCs w:val="18"/>
                <w:b w:val="1"/>
                <w:bCs w:val="1"/>
                <w:color w:val="auto"/>
              </w:rPr>
              <w:t>Monte Rosa Therapeutics AG</w:t>
            </w:r>
          </w:p>
        </w:tc>
        <w:tc>
          <w:tcPr>
            <w:tcW w:w="1080" w:type="dxa"/>
            <w:vAlign w:val="bottom"/>
          </w:tcPr>
          <w:p>
            <w:pPr>
              <w:spacing w:after="0"/>
              <w:rPr>
                <w:sz w:val="24"/>
                <w:szCs w:val="24"/>
                <w:color w:val="auto"/>
              </w:rPr>
            </w:pPr>
          </w:p>
        </w:tc>
      </w:tr>
      <w:tr>
        <w:trPr>
          <w:trHeight w:val="45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Illegible</w:t>
            </w:r>
          </w:p>
        </w:tc>
        <w:tc>
          <w:tcPr>
            <w:tcW w:w="1080" w:type="dxa"/>
            <w:vAlign w:val="bottom"/>
          </w:tcPr>
          <w:p>
            <w:pPr>
              <w:ind w:left="680"/>
              <w:spacing w:after="0"/>
              <w:rPr>
                <w:sz w:val="20"/>
                <w:szCs w:val="20"/>
                <w:color w:val="auto"/>
              </w:rPr>
            </w:pPr>
            <w:r>
              <w:rPr>
                <w:rFonts w:ascii="Arial" w:cs="Arial" w:eastAsia="Arial" w:hAnsi="Arial"/>
                <w:sz w:val="18"/>
                <w:szCs w:val="18"/>
                <w:color w:val="auto"/>
                <w:w w:val="88"/>
              </w:rPr>
              <w:t>Date:</w:t>
            </w:r>
          </w:p>
        </w:tc>
      </w:tr>
      <w:tr>
        <w:trPr>
          <w:trHeight w:val="40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Illegible</w:t>
            </w:r>
          </w:p>
        </w:tc>
        <w:tc>
          <w:tcPr>
            <w:tcW w:w="1080" w:type="dxa"/>
            <w:vAlign w:val="bottom"/>
          </w:tcPr>
          <w:p>
            <w:pPr>
              <w:ind w:left="680"/>
              <w:spacing w:after="0"/>
              <w:rPr>
                <w:sz w:val="20"/>
                <w:szCs w:val="20"/>
                <w:color w:val="auto"/>
              </w:rPr>
            </w:pPr>
            <w:r>
              <w:rPr>
                <w:rFonts w:ascii="Arial" w:cs="Arial" w:eastAsia="Arial" w:hAnsi="Arial"/>
                <w:sz w:val="18"/>
                <w:szCs w:val="18"/>
                <w:color w:val="auto"/>
                <w:w w:val="97"/>
              </w:rPr>
              <w:t>Title:</w:t>
            </w:r>
          </w:p>
        </w:tc>
      </w:tr>
      <w:tr>
        <w:trPr>
          <w:trHeight w:val="354"/>
        </w:trPr>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-1144905</wp:posOffset>
            </wp:positionV>
            <wp:extent cx="283654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-1416685</wp:posOffset>
            </wp:positionV>
            <wp:extent cx="283654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-236220</wp:posOffset>
            </wp:positionV>
            <wp:extent cx="283654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-508000</wp:posOffset>
            </wp:positionV>
            <wp:extent cx="283654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ectPr>
          <w:pgSz w:w="11900" w:h="16838" w:orient="portrait"/>
          <w:cols w:equalWidth="0" w:num="1">
            <w:col w:w="9979"/>
          </w:cols>
          <w:pgMar w:left="480" w:top="271" w:right="1440" w:bottom="1440" w:gutter="0" w:footer="0" w:header="0"/>
        </w:sectPr>
      </w:pPr>
    </w:p>
    <w:bookmarkStart w:id="590" w:name="page591"/>
    <w:bookmarkEnd w:id="5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Institute of Cancer Research: Royal Cancer Hospital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123 Old Brampton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SW7 3RP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8AAB"/>
        </w:rPr>
        <w:t>Cancer Research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-669925</wp:posOffset>
            </wp:positionV>
            <wp:extent cx="1638935" cy="56896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638935" cy="56896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8AAB"/>
        </w:rPr>
        <w:t>Angel Building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407 St John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London EC1V 4AD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8AAB"/>
        </w:rPr>
        <w:t>United Kingdom</w:t>
      </w:r>
    </w:p>
    <w:p>
      <w:pPr>
        <w:spacing w:after="0" w:line="413" w:lineRule="exact"/>
        <w:rPr>
          <w:sz w:val="20"/>
          <w:szCs w:val="20"/>
          <w:color w:val="auto"/>
        </w:rPr>
      </w:pPr>
    </w:p>
    <w:p>
      <w:pPr>
        <w:sectPr>
          <w:pgSz w:w="11900" w:h="16838" w:orient="portrait"/>
          <w:cols w:equalWidth="0" w:num="2">
            <w:col w:w="7260" w:space="720"/>
            <w:col w:w="2940"/>
          </w:cols>
          <w:pgMar w:left="480" w:top="1181" w:right="49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Alexander Mayweg, Member of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b w:val="1"/>
          <w:bCs w:val="1"/>
          <w:color w:val="auto"/>
        </w:rPr>
        <w:t>th</w:t>
      </w:r>
      <w:r>
        <w:rPr>
          <w:rFonts w:ascii="Arial" w:cs="Arial" w:eastAsia="Arial" w:hAnsi="Arial"/>
          <w:sz w:val="18"/>
          <w:szCs w:val="18"/>
          <w:color w:val="auto"/>
        </w:rPr>
        <w:t xml:space="preserve"> February 2019</w:t>
      </w:r>
    </w:p>
    <w:p>
      <w:pPr>
        <w:sectPr>
          <w:pgSz w:w="11900" w:h="16838" w:orient="portrait"/>
          <w:cols w:equalWidth="0" w:num="1">
            <w:col w:w="10920"/>
          </w:cols>
          <w:pgMar w:left="480" w:top="1181" w:right="499"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7"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b w:val="1"/>
          <w:bCs w:val="1"/>
          <w:color w:val="auto"/>
        </w:rPr>
        <w:t>RE. Collaboration and Option Agreement between Cancer Research Technology Limited (“CRT”), Institute of Cancer Research: Royal Cancer Hospital (“ICR”) and Monte Rosa Therapeutics AG (“Company”) dated 10</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April 2018 (the “Collaboration and Option Agreement’’)</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Parties entered into a License Agreement dated 26 April 2018 between CRT, ICR and the Company which was amended by Amendment 1 dated the same date as this COA Amendment 1 (as defined below). The Parties wish to modify the Collaboration and Option Agreement pursuant to this letter of amendment (“</w:t>
      </w:r>
      <w:r>
        <w:rPr>
          <w:rFonts w:ascii="Arial" w:cs="Arial" w:eastAsia="Arial" w:hAnsi="Arial"/>
          <w:sz w:val="18"/>
          <w:szCs w:val="18"/>
          <w:b w:val="1"/>
          <w:bCs w:val="1"/>
          <w:color w:val="auto"/>
        </w:rPr>
        <w:t>COA Amendment 1</w:t>
      </w:r>
      <w:r>
        <w:rPr>
          <w:rFonts w:ascii="Arial" w:cs="Arial" w:eastAsia="Arial" w:hAnsi="Arial"/>
          <w:sz w:val="18"/>
          <w:szCs w:val="18"/>
          <w:color w:val="auto"/>
        </w:rPr>
        <w:t>”). Unless indicated otherwise, all capitalised terms used in this COA Amendment 1 shall have the meanings given to such terms in the Collaboration and Option Agreement.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CRT, the ICR and the Company hereby agree to amend the Collaboration and Option Agreement, as of the date of this COA Amendment 1, as follows:</w:t>
      </w:r>
    </w:p>
    <w:p>
      <w:pPr>
        <w:spacing w:after="0" w:line="271" w:lineRule="exact"/>
        <w:rPr>
          <w:sz w:val="20"/>
          <w:szCs w:val="20"/>
          <w:color w:val="auto"/>
        </w:rPr>
      </w:pPr>
    </w:p>
    <w:p>
      <w:pPr>
        <w:ind w:left="440" w:right="6000" w:hanging="433"/>
        <w:spacing w:after="0" w:line="474" w:lineRule="auto"/>
        <w:tabs>
          <w:tab w:leader="none" w:pos="432" w:val="left"/>
        </w:tabs>
        <w:numPr>
          <w:ilvl w:val="0"/>
          <w:numId w:val="529"/>
        </w:numPr>
        <w:rPr>
          <w:rFonts w:ascii="Arial" w:cs="Arial" w:eastAsia="Arial" w:hAnsi="Arial"/>
          <w:sz w:val="16"/>
          <w:szCs w:val="16"/>
          <w:color w:val="auto"/>
        </w:rPr>
      </w:pPr>
      <w:r>
        <w:rPr>
          <w:rFonts w:ascii="Arial" w:cs="Arial" w:eastAsia="Arial" w:hAnsi="Arial"/>
          <w:sz w:val="16"/>
          <w:szCs w:val="16"/>
          <w:color w:val="auto"/>
        </w:rPr>
        <w:t xml:space="preserve">Section 1 shall be amended to include the following definition: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meaning given in the License Agreement.</w:t>
      </w:r>
    </w:p>
    <w:p>
      <w:pPr>
        <w:spacing w:after="0" w:line="48" w:lineRule="exact"/>
        <w:rPr>
          <w:rFonts w:ascii="Arial" w:cs="Arial" w:eastAsia="Arial" w:hAnsi="Arial"/>
          <w:sz w:val="16"/>
          <w:szCs w:val="16"/>
          <w:color w:val="auto"/>
        </w:rPr>
      </w:pPr>
    </w:p>
    <w:p>
      <w:pPr>
        <w:ind w:left="440" w:hanging="433"/>
        <w:spacing w:after="0"/>
        <w:tabs>
          <w:tab w:leader="none" w:pos="4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Schedule 2 shall be amended as follows:</w:t>
      </w:r>
    </w:p>
    <w:p>
      <w:pPr>
        <w:spacing w:after="0" w:line="127" w:lineRule="exact"/>
        <w:rPr>
          <w:rFonts w:ascii="Arial" w:cs="Arial" w:eastAsia="Arial" w:hAnsi="Arial"/>
          <w:sz w:val="18"/>
          <w:szCs w:val="18"/>
          <w:color w:val="auto"/>
        </w:rPr>
      </w:pPr>
    </w:p>
    <w:p>
      <w:pPr>
        <w:ind w:left="980" w:right="5340" w:hanging="545"/>
        <w:spacing w:after="0" w:line="379" w:lineRule="auto"/>
        <w:tabs>
          <w:tab w:leader="none" w:pos="961" w:val="left"/>
        </w:tabs>
        <w:numPr>
          <w:ilvl w:val="1"/>
          <w:numId w:val="529"/>
        </w:numPr>
        <w:rPr>
          <w:rFonts w:ascii="Arial" w:cs="Arial" w:eastAsia="Arial" w:hAnsi="Arial"/>
          <w:sz w:val="18"/>
          <w:szCs w:val="18"/>
          <w:color w:val="auto"/>
        </w:rPr>
      </w:pPr>
      <w:r>
        <w:rPr>
          <w:rFonts w:ascii="Arial" w:cs="Arial" w:eastAsia="Arial" w:hAnsi="Arial"/>
          <w:sz w:val="18"/>
          <w:szCs w:val="18"/>
          <w:color w:val="auto"/>
        </w:rPr>
        <w:t>Section titled “[***]” shall be amended to include the following: “[***]</w:t>
      </w:r>
    </w:p>
    <w:p>
      <w:pPr>
        <w:spacing w:after="0" w:line="1" w:lineRule="exact"/>
        <w:rPr>
          <w:rFonts w:ascii="Arial" w:cs="Arial" w:eastAsia="Arial" w:hAnsi="Arial"/>
          <w:sz w:val="18"/>
          <w:szCs w:val="18"/>
          <w:color w:val="auto"/>
        </w:rPr>
      </w:pPr>
    </w:p>
    <w:p>
      <w:pPr>
        <w:ind w:left="1420" w:hanging="436"/>
        <w:spacing w:after="0"/>
        <w:tabs>
          <w:tab w:leader="none" w:pos="1420" w:val="left"/>
        </w:tabs>
        <w:numPr>
          <w:ilvl w:val="2"/>
          <w:numId w:val="5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27" w:lineRule="exact"/>
        <w:rPr>
          <w:rFonts w:ascii="Arial" w:cs="Arial" w:eastAsia="Arial" w:hAnsi="Arial"/>
          <w:sz w:val="18"/>
          <w:szCs w:val="18"/>
          <w:color w:val="auto"/>
        </w:rPr>
      </w:pPr>
    </w:p>
    <w:p>
      <w:pPr>
        <w:ind w:left="980" w:right="3280" w:hanging="545"/>
        <w:spacing w:after="0" w:line="379" w:lineRule="auto"/>
        <w:tabs>
          <w:tab w:leader="none" w:pos="961" w:val="left"/>
        </w:tabs>
        <w:numPr>
          <w:ilvl w:val="1"/>
          <w:numId w:val="529"/>
        </w:numPr>
        <w:rPr>
          <w:rFonts w:ascii="Arial" w:cs="Arial" w:eastAsia="Arial" w:hAnsi="Arial"/>
          <w:sz w:val="18"/>
          <w:szCs w:val="18"/>
          <w:color w:val="auto"/>
        </w:rPr>
      </w:pPr>
      <w:r>
        <w:rPr>
          <w:rFonts w:ascii="Arial" w:cs="Arial" w:eastAsia="Arial" w:hAnsi="Arial"/>
          <w:sz w:val="18"/>
          <w:szCs w:val="18"/>
          <w:color w:val="auto"/>
        </w:rPr>
        <w:t>Section titled “[***]” bullet point 7 shall be deleted and bullet point 8 shall be replaced from: “…</w:t>
      </w:r>
    </w:p>
    <w:p>
      <w:pPr>
        <w:spacing w:after="0" w:line="1" w:lineRule="exact"/>
        <w:rPr>
          <w:rFonts w:ascii="Arial" w:cs="Arial" w:eastAsia="Arial" w:hAnsi="Arial"/>
          <w:sz w:val="18"/>
          <w:szCs w:val="18"/>
          <w:color w:val="auto"/>
        </w:rPr>
      </w:pPr>
    </w:p>
    <w:p>
      <w:pPr>
        <w:ind w:left="1420" w:hanging="436"/>
        <w:spacing w:after="0"/>
        <w:tabs>
          <w:tab w:leader="none" w:pos="1420" w:val="left"/>
        </w:tabs>
        <w:numPr>
          <w:ilvl w:val="2"/>
          <w:numId w:val="529"/>
        </w:numPr>
        <w:rPr>
          <w:rFonts w:ascii="Arial" w:cs="Arial" w:eastAsia="Arial" w:hAnsi="Arial"/>
          <w:sz w:val="18"/>
          <w:szCs w:val="18"/>
          <w:color w:val="auto"/>
        </w:rPr>
      </w:pP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Registered address: Cancer Research Technology Ltd, Angel Building, 407 St John Street, London EC1V 4AD.</w:t>
      </w:r>
    </w:p>
    <w:p>
      <w:pPr>
        <w:spacing w:after="0" w:line="219" w:lineRule="auto"/>
        <w:rPr>
          <w:sz w:val="20"/>
          <w:szCs w:val="20"/>
          <w:color w:val="auto"/>
        </w:rPr>
      </w:pPr>
      <w:r>
        <w:rPr>
          <w:rFonts w:ascii="Arial" w:cs="Arial" w:eastAsia="Arial" w:hAnsi="Arial"/>
          <w:sz w:val="14"/>
          <w:szCs w:val="14"/>
          <w:color w:val="auto"/>
        </w:rPr>
        <w:t>Registered In England (1626049). VAT registration number GB788 138678.</w:t>
      </w:r>
    </w:p>
    <w:p>
      <w:pPr>
        <w:spacing w:after="0"/>
        <w:rPr>
          <w:sz w:val="20"/>
          <w:szCs w:val="20"/>
          <w:color w:val="auto"/>
        </w:rPr>
      </w:pPr>
      <w:r>
        <w:rPr>
          <w:rFonts w:ascii="Arial" w:cs="Arial" w:eastAsia="Arial" w:hAnsi="Arial"/>
          <w:sz w:val="14"/>
          <w:szCs w:val="14"/>
          <w:color w:val="auto"/>
        </w:rPr>
        <w:t>A wholly-owned subsidiary of Cancer Research UK, registered charity in England and Wales (1089464), Scotland (SC041666) and the Isle of Man (1103).</w:t>
      </w:r>
    </w:p>
    <w:p>
      <w:pPr>
        <w:sectPr>
          <w:pgSz w:w="11900" w:h="16838" w:orient="portrait"/>
          <w:cols w:equalWidth="0" w:num="1">
            <w:col w:w="10920"/>
          </w:cols>
          <w:pgMar w:left="480" w:top="1181" w:right="499" w:bottom="1440" w:gutter="0" w:footer="0" w:header="0"/>
          <w:type w:val="continuous"/>
        </w:sectPr>
      </w:pPr>
    </w:p>
    <w:bookmarkStart w:id="591" w:name="page592"/>
    <w:bookmarkEnd w:id="591"/>
    <w:p>
      <w:pPr>
        <w:ind w:left="1420" w:hanging="436"/>
        <w:spacing w:after="0"/>
        <w:tabs>
          <w:tab w:leader="none" w:pos="14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Arial" w:cs="Arial" w:eastAsia="Arial" w:hAnsi="Arial"/>
          <w:sz w:val="18"/>
          <w:szCs w:val="18"/>
          <w:i w:val="1"/>
          <w:iCs w:val="1"/>
          <w:color w:val="auto"/>
        </w:rPr>
        <w:t>”</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1420" w:hanging="436"/>
        <w:spacing w:after="0"/>
        <w:tabs>
          <w:tab w:leader="none" w:pos="142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27" w:lineRule="exact"/>
        <w:rPr>
          <w:rFonts w:ascii="Arial" w:cs="Arial" w:eastAsia="Arial" w:hAnsi="Arial"/>
          <w:sz w:val="18"/>
          <w:szCs w:val="18"/>
          <w:color w:val="auto"/>
        </w:rPr>
      </w:pPr>
    </w:p>
    <w:p>
      <w:pPr>
        <w:ind w:left="980" w:right="3660" w:hanging="545"/>
        <w:spacing w:after="0" w:line="379" w:lineRule="auto"/>
        <w:tabs>
          <w:tab w:leader="none" w:pos="961" w:val="left"/>
        </w:tabs>
        <w:numPr>
          <w:ilvl w:val="0"/>
          <w:numId w:val="531"/>
        </w:numPr>
        <w:rPr>
          <w:rFonts w:ascii="Arial" w:cs="Arial" w:eastAsia="Arial" w:hAnsi="Arial"/>
          <w:sz w:val="18"/>
          <w:szCs w:val="18"/>
          <w:color w:val="auto"/>
        </w:rPr>
      </w:pPr>
      <w:r>
        <w:rPr>
          <w:rFonts w:ascii="Arial" w:cs="Arial" w:eastAsia="Arial" w:hAnsi="Arial"/>
          <w:sz w:val="18"/>
          <w:szCs w:val="18"/>
          <w:color w:val="auto"/>
        </w:rPr>
        <w:t>Point 5 of the Section titled “[***]” shall be deleted and replaced with the following: “[***]</w:t>
      </w:r>
      <w:r>
        <w:rPr>
          <w:rFonts w:ascii="Arial" w:cs="Arial" w:eastAsia="Arial" w:hAnsi="Arial"/>
          <w:sz w:val="18"/>
          <w:szCs w:val="18"/>
          <w:i w:val="1"/>
          <w:iCs w:val="1"/>
          <w:color w:val="auto"/>
        </w:rPr>
        <w:t>”</w:t>
      </w:r>
    </w:p>
    <w:p>
      <w:pPr>
        <w:spacing w:after="0" w:line="1" w:lineRule="exact"/>
        <w:rPr>
          <w:rFonts w:ascii="Arial" w:cs="Arial" w:eastAsia="Arial" w:hAnsi="Arial"/>
          <w:sz w:val="18"/>
          <w:szCs w:val="18"/>
          <w:color w:val="auto"/>
        </w:rPr>
      </w:pPr>
    </w:p>
    <w:p>
      <w:pPr>
        <w:ind w:left="980" w:right="320" w:hanging="545"/>
        <w:spacing w:after="0" w:line="271" w:lineRule="auto"/>
        <w:tabs>
          <w:tab w:leader="none" w:pos="9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Sub-section titled “[***]” of Section titled “Proposed Science Work Plan and Key Activities” shall be deleted and replaced with the following:</w:t>
      </w:r>
    </w:p>
    <w:p>
      <w:pPr>
        <w:spacing w:after="0" w:line="196" w:lineRule="exact"/>
        <w:rPr>
          <w:sz w:val="20"/>
          <w:szCs w:val="20"/>
          <w:color w:val="auto"/>
        </w:rPr>
      </w:pPr>
    </w:p>
    <w:tbl>
      <w:tblPr>
        <w:tblLayout w:type="fixed"/>
        <w:tblInd w:w="450" w:type="dxa"/>
        <w:tblCellMar>
          <w:top w:w="0" w:type="dxa"/>
          <w:left w:w="0" w:type="dxa"/>
          <w:bottom w:w="0" w:type="dxa"/>
          <w:right w:w="0" w:type="dxa"/>
        </w:tblCellMar>
      </w:tblPr>
      <w:tr>
        <w:trPr>
          <w:trHeight w:val="227"/>
        </w:trPr>
        <w:tc>
          <w:tcPr>
            <w:tcW w:w="5140" w:type="dxa"/>
            <w:vAlign w:val="bottom"/>
            <w:tcBorders>
              <w:top w:val="single" w:sz="8" w:color="auto"/>
              <w:left w:val="single" w:sz="8" w:color="auto"/>
              <w:bottom w:val="single" w:sz="8" w:color="auto"/>
              <w:right w:val="single" w:sz="8" w:color="auto"/>
            </w:tcBorders>
          </w:tcPr>
          <w:p>
            <w:pPr>
              <w:jc w:val="right"/>
              <w:ind w:right="4491"/>
              <w:spacing w:after="0"/>
              <w:rPr>
                <w:sz w:val="20"/>
                <w:szCs w:val="20"/>
                <w:color w:val="auto"/>
              </w:rPr>
            </w:pPr>
            <w:r>
              <w:rPr>
                <w:rFonts w:ascii="Arial" w:cs="Arial" w:eastAsia="Arial" w:hAnsi="Arial"/>
                <w:sz w:val="18"/>
                <w:szCs w:val="18"/>
                <w:color w:val="auto"/>
              </w:rPr>
              <w:t>[***]</w:t>
            </w:r>
          </w:p>
        </w:tc>
        <w:tc>
          <w:tcPr>
            <w:tcW w:w="4920" w:type="dxa"/>
            <w:vAlign w:val="bottom"/>
            <w:tcBorders>
              <w:top w:val="single" w:sz="8" w:color="auto"/>
              <w:bottom w:val="single" w:sz="8" w:color="auto"/>
              <w:right w:val="single" w:sz="8" w:color="auto"/>
            </w:tcBorders>
          </w:tcPr>
          <w:p>
            <w:pPr>
              <w:jc w:val="right"/>
              <w:ind w:right="4351"/>
              <w:spacing w:after="0"/>
              <w:rPr>
                <w:sz w:val="20"/>
                <w:szCs w:val="20"/>
                <w:color w:val="auto"/>
              </w:rPr>
            </w:pPr>
            <w:r>
              <w:rPr>
                <w:rFonts w:ascii="Arial" w:cs="Arial" w:eastAsia="Arial" w:hAnsi="Arial"/>
                <w:sz w:val="18"/>
                <w:szCs w:val="18"/>
                <w:color w:val="auto"/>
              </w:rPr>
              <w:t>[***]</w:t>
            </w:r>
          </w:p>
        </w:tc>
      </w:tr>
      <w:tr>
        <w:trPr>
          <w:trHeight w:val="207"/>
        </w:trPr>
        <w:tc>
          <w:tcPr>
            <w:tcW w:w="5140" w:type="dxa"/>
            <w:vAlign w:val="bottom"/>
            <w:tcBorders>
              <w:left w:val="single" w:sz="8" w:color="auto"/>
              <w:bottom w:val="single" w:sz="8" w:color="auto"/>
              <w:right w:val="single" w:sz="8" w:color="auto"/>
            </w:tcBorders>
          </w:tcPr>
          <w:p>
            <w:pPr>
              <w:jc w:val="right"/>
              <w:ind w:right="4491"/>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auto"/>
              <w:right w:val="single" w:sz="8" w:color="auto"/>
            </w:tcBorders>
          </w:tcPr>
          <w:p>
            <w:pPr>
              <w:jc w:val="right"/>
              <w:ind w:right="4351"/>
              <w:spacing w:after="0"/>
              <w:rPr>
                <w:sz w:val="20"/>
                <w:szCs w:val="20"/>
                <w:color w:val="auto"/>
              </w:rPr>
            </w:pPr>
            <w:r>
              <w:rPr>
                <w:rFonts w:ascii="Arial" w:cs="Arial" w:eastAsia="Arial" w:hAnsi="Arial"/>
                <w:sz w:val="18"/>
                <w:szCs w:val="18"/>
                <w:color w:val="auto"/>
              </w:rPr>
              <w:t>[***]</w:t>
            </w:r>
          </w:p>
        </w:tc>
      </w:tr>
      <w:tr>
        <w:trPr>
          <w:trHeight w:val="207"/>
        </w:trPr>
        <w:tc>
          <w:tcPr>
            <w:tcW w:w="5140" w:type="dxa"/>
            <w:vAlign w:val="bottom"/>
            <w:tcBorders>
              <w:left w:val="single" w:sz="8" w:color="auto"/>
              <w:bottom w:val="single" w:sz="8" w:color="auto"/>
              <w:right w:val="single" w:sz="8" w:color="auto"/>
            </w:tcBorders>
          </w:tcPr>
          <w:p>
            <w:pPr>
              <w:jc w:val="right"/>
              <w:ind w:right="4491"/>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auto"/>
              <w:right w:val="single" w:sz="8" w:color="auto"/>
            </w:tcBorders>
          </w:tcPr>
          <w:p>
            <w:pPr>
              <w:jc w:val="right"/>
              <w:ind w:right="4351"/>
              <w:spacing w:after="0"/>
              <w:rPr>
                <w:sz w:val="20"/>
                <w:szCs w:val="20"/>
                <w:color w:val="auto"/>
              </w:rPr>
            </w:pPr>
            <w:r>
              <w:rPr>
                <w:rFonts w:ascii="Arial" w:cs="Arial" w:eastAsia="Arial" w:hAnsi="Arial"/>
                <w:sz w:val="18"/>
                <w:szCs w:val="18"/>
                <w:color w:val="auto"/>
              </w:rPr>
              <w:t>[***]</w:t>
            </w:r>
          </w:p>
        </w:tc>
      </w:tr>
      <w:tr>
        <w:trPr>
          <w:trHeight w:val="220"/>
        </w:trPr>
        <w:tc>
          <w:tcPr>
            <w:tcW w:w="5140" w:type="dxa"/>
            <w:vAlign w:val="bottom"/>
            <w:tcBorders>
              <w:left w:val="single" w:sz="8" w:color="auto"/>
              <w:right w:val="single" w:sz="8" w:color="auto"/>
            </w:tcBorders>
          </w:tcPr>
          <w:p>
            <w:pPr>
              <w:jc w:val="right"/>
              <w:ind w:right="4491"/>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351"/>
              <w:spacing w:after="0"/>
              <w:rPr>
                <w:sz w:val="20"/>
                <w:szCs w:val="20"/>
                <w:color w:val="auto"/>
              </w:rPr>
            </w:pPr>
            <w:r>
              <w:rPr>
                <w:rFonts w:ascii="Arial" w:cs="Arial" w:eastAsia="Arial" w:hAnsi="Arial"/>
                <w:sz w:val="18"/>
                <w:szCs w:val="18"/>
                <w:color w:val="auto"/>
              </w:rPr>
              <w:t>[***]</w:t>
            </w:r>
          </w:p>
        </w:tc>
      </w:tr>
      <w:tr>
        <w:trPr>
          <w:trHeight w:val="241"/>
        </w:trPr>
        <w:tc>
          <w:tcPr>
            <w:tcW w:w="51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980" w:right="1460" w:hanging="545"/>
        <w:spacing w:after="0" w:line="379" w:lineRule="auto"/>
        <w:tabs>
          <w:tab w:leader="none" w:pos="961" w:val="left"/>
        </w:tabs>
        <w:numPr>
          <w:ilvl w:val="0"/>
          <w:numId w:val="532"/>
        </w:numPr>
        <w:rPr>
          <w:rFonts w:ascii="Arial" w:cs="Arial" w:eastAsia="Arial" w:hAnsi="Arial"/>
          <w:sz w:val="18"/>
          <w:szCs w:val="18"/>
          <w:color w:val="auto"/>
        </w:rPr>
      </w:pPr>
      <w:r>
        <w:rPr>
          <w:rFonts w:ascii="Arial" w:cs="Arial" w:eastAsia="Arial" w:hAnsi="Arial"/>
          <w:sz w:val="18"/>
          <w:szCs w:val="18"/>
          <w:color w:val="auto"/>
        </w:rPr>
        <w:t>Fourth Row labelled “[***]” under Timeline chart set forth under section titled “[***]:” shall be deleted as follows: [***]</w:t>
      </w:r>
    </w:p>
    <w:p>
      <w:pPr>
        <w:spacing w:after="0" w:line="1" w:lineRule="exact"/>
        <w:rPr>
          <w:rFonts w:ascii="Arial" w:cs="Arial" w:eastAsia="Arial" w:hAnsi="Arial"/>
          <w:sz w:val="18"/>
          <w:szCs w:val="18"/>
          <w:color w:val="auto"/>
        </w:rPr>
      </w:pPr>
    </w:p>
    <w:p>
      <w:pPr>
        <w:ind w:left="980" w:right="480" w:hanging="545"/>
        <w:spacing w:after="0" w:line="395" w:lineRule="auto"/>
        <w:tabs>
          <w:tab w:leader="none" w:pos="961"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Sub-section titled “[***]” of Activity table set forth under Section titled “[***]” shall be deleted and replaced with the following: [***]</w:t>
      </w:r>
    </w:p>
    <w:p>
      <w:pPr>
        <w:spacing w:after="0" w:line="6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Save as expressly varied by this letter of amendment to the Collaboration and Option Agreement, all other terms of the Collaboration and Option Agreement remain the same. However, if there are any inconsistencies between the terms of this COA Amendment 1 and the provisions of the Collaboration and Option Agreement, then this COA Amendment 1 shall prevail.</w:t>
      </w:r>
    </w:p>
    <w:p>
      <w:pPr>
        <w:spacing w:after="0" w:line="186"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This COA Amendment 1 shall be governed by and construed in accordance with the laws of England and Wales and the Parties agree to submit to the exclusive jurisdiction of the English courts in respect of any dispute arising out of or in connection with this COA Amendment 1.</w:t>
      </w:r>
    </w:p>
    <w:p>
      <w:pPr>
        <w:spacing w:after="0" w:line="1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Please sign, and add the date of signature, below conforming the and the Company’s agreement to be bound by the terms of this COA Amendment d return three signed COA Amendment 1’s to the undersigned.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480" w:top="271" w:right="7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Illegible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Countersigned by </w:t>
      </w:r>
      <w:r>
        <w:rPr>
          <w:rFonts w:ascii="Arial" w:cs="Arial" w:eastAsia="Arial" w:hAnsi="Arial"/>
          <w:sz w:val="18"/>
          <w:szCs w:val="18"/>
          <w:b w:val="1"/>
          <w:bCs w:val="1"/>
          <w:color w:val="auto"/>
        </w:rPr>
        <w:t>The Institute of Cancer Research: Royal Cancer Hospital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Illegible</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15, 2019</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Illegible</w:t>
            </w:r>
          </w:p>
        </w:tc>
        <w:tc>
          <w:tcPr>
            <w:tcW w:w="1120" w:type="dxa"/>
            <w:vAlign w:val="bottom"/>
          </w:tcPr>
          <w:p>
            <w:pPr>
              <w:ind w:left="68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r>
      <w:tr>
        <w:trPr>
          <w:trHeight w:val="528"/>
        </w:trPr>
        <w:tc>
          <w:tcPr>
            <w:tcW w:w="5340" w:type="dxa"/>
            <w:vAlign w:val="bottom"/>
            <w:gridSpan w:val="2"/>
          </w:tcPr>
          <w:p>
            <w:pPr>
              <w:spacing w:after="0"/>
              <w:rPr>
                <w:sz w:val="20"/>
                <w:szCs w:val="20"/>
                <w:color w:val="auto"/>
              </w:rPr>
            </w:pPr>
            <w:r>
              <w:rPr>
                <w:rFonts w:ascii="Arial" w:cs="Arial" w:eastAsia="Arial" w:hAnsi="Arial"/>
                <w:sz w:val="18"/>
                <w:szCs w:val="18"/>
                <w:color w:val="auto"/>
              </w:rPr>
              <w:t xml:space="preserve">Countersigned by </w:t>
            </w:r>
            <w:r>
              <w:rPr>
                <w:rFonts w:ascii="Arial" w:cs="Arial" w:eastAsia="Arial" w:hAnsi="Arial"/>
                <w:sz w:val="18"/>
                <w:szCs w:val="18"/>
                <w:b w:val="1"/>
                <w:bCs w:val="1"/>
                <w:color w:val="auto"/>
              </w:rPr>
              <w:t>Monte Rosa Therapeutics AG</w:t>
            </w: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Alexander Mayweg</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26, 2019</w:t>
            </w:r>
          </w:p>
        </w:tc>
      </w:tr>
      <w:tr>
        <w:trPr>
          <w:trHeight w:val="40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Alexander Mayweg</w:t>
            </w:r>
          </w:p>
        </w:tc>
        <w:tc>
          <w:tcPr>
            <w:tcW w:w="1120" w:type="dxa"/>
            <w:vAlign w:val="bottom"/>
          </w:tcPr>
          <w:p>
            <w:pPr>
              <w:ind w:left="68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Board Director</w:t>
            </w:r>
          </w:p>
        </w:tc>
      </w:tr>
      <w:tr>
        <w:trPr>
          <w:trHeight w:val="354"/>
        </w:trPr>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3</w:t>
            </w:r>
          </w:p>
        </w:tc>
        <w:tc>
          <w:tcPr>
            <w:tcW w:w="446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593" w:name="page594"/>
    <w:bookmarkEnd w:id="593"/>
    <w:p>
      <w:pPr>
        <w:ind w:left="8180"/>
        <w:spacing w:after="0"/>
        <w:rPr>
          <w:sz w:val="20"/>
          <w:szCs w:val="20"/>
          <w:color w:val="auto"/>
        </w:rPr>
      </w:pPr>
      <w:r>
        <w:rPr>
          <w:rFonts w:ascii="Arial" w:cs="Arial" w:eastAsia="Arial" w:hAnsi="Arial"/>
          <w:sz w:val="18"/>
          <w:szCs w:val="18"/>
          <w:color w:val="008AAB"/>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62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6135" cy="662305"/>
                    </a:xfrm>
                    <a:prstGeom prst="rect">
                      <a:avLst/>
                    </a:prstGeom>
                    <a:noFill/>
                  </pic:spPr>
                </pic:pic>
              </a:graphicData>
            </a:graphic>
          </wp:anchor>
        </w:drawing>
        <w:t>Cancer Research Technology</w:t>
      </w:r>
    </w:p>
    <w:p>
      <w:pPr>
        <w:spacing w:after="0" w:line="20" w:lineRule="exact"/>
        <w:rPr>
          <w:sz w:val="20"/>
          <w:szCs w:val="20"/>
          <w:color w:val="auto"/>
        </w:rPr>
      </w:pPr>
    </w:p>
    <w:p>
      <w:pPr>
        <w:ind w:left="8180"/>
        <w:spacing w:after="0"/>
        <w:rPr>
          <w:sz w:val="20"/>
          <w:szCs w:val="20"/>
          <w:color w:val="auto"/>
        </w:rPr>
      </w:pPr>
      <w:r>
        <w:rPr>
          <w:rFonts w:ascii="Arial" w:cs="Arial" w:eastAsia="Arial" w:hAnsi="Arial"/>
          <w:sz w:val="18"/>
          <w:szCs w:val="18"/>
          <w:color w:val="008AAB"/>
        </w:rPr>
        <w:t>2 Redman Place</w:t>
      </w:r>
    </w:p>
    <w:p>
      <w:pPr>
        <w:spacing w:after="0" w:line="7" w:lineRule="exact"/>
        <w:rPr>
          <w:sz w:val="20"/>
          <w:szCs w:val="20"/>
          <w:color w:val="auto"/>
        </w:rPr>
      </w:pPr>
    </w:p>
    <w:p>
      <w:pPr>
        <w:ind w:left="8180"/>
        <w:spacing w:after="0"/>
        <w:rPr>
          <w:sz w:val="20"/>
          <w:szCs w:val="20"/>
          <w:color w:val="auto"/>
        </w:rPr>
      </w:pPr>
      <w:r>
        <w:rPr>
          <w:rFonts w:ascii="Arial" w:cs="Arial" w:eastAsia="Arial" w:hAnsi="Arial"/>
          <w:sz w:val="18"/>
          <w:szCs w:val="18"/>
          <w:color w:val="008AAB"/>
        </w:rPr>
        <w:t>London E20 1JQ</w:t>
      </w:r>
    </w:p>
    <w:p>
      <w:pPr>
        <w:spacing w:after="0" w:line="7" w:lineRule="exact"/>
        <w:rPr>
          <w:sz w:val="20"/>
          <w:szCs w:val="20"/>
          <w:color w:val="auto"/>
        </w:rPr>
      </w:pPr>
    </w:p>
    <w:p>
      <w:pPr>
        <w:ind w:left="8180"/>
        <w:spacing w:after="0"/>
        <w:rPr>
          <w:sz w:val="20"/>
          <w:szCs w:val="20"/>
          <w:color w:val="auto"/>
        </w:rPr>
      </w:pPr>
      <w:r>
        <w:rPr>
          <w:rFonts w:ascii="Arial" w:cs="Arial" w:eastAsia="Arial" w:hAnsi="Arial"/>
          <w:sz w:val="18"/>
          <w:szCs w:val="18"/>
          <w:color w:val="008AAB"/>
        </w:rPr>
        <w:t>United Kingdom</w:t>
      </w:r>
    </w:p>
    <w:p>
      <w:pPr>
        <w:spacing w:after="0" w:line="7" w:lineRule="exact"/>
        <w:rPr>
          <w:sz w:val="20"/>
          <w:szCs w:val="20"/>
          <w:color w:val="auto"/>
        </w:rPr>
      </w:pPr>
    </w:p>
    <w:p>
      <w:pPr>
        <w:ind w:left="8180"/>
        <w:spacing w:after="0"/>
        <w:rPr>
          <w:sz w:val="20"/>
          <w:szCs w:val="20"/>
          <w:color w:val="auto"/>
        </w:rPr>
      </w:pPr>
      <w:r>
        <w:rPr>
          <w:rFonts w:ascii="Arial" w:cs="Arial" w:eastAsia="Arial" w:hAnsi="Arial"/>
          <w:sz w:val="18"/>
          <w:szCs w:val="18"/>
          <w:color w:val="008AAB"/>
        </w:rPr>
        <w:t>T +44 (0)20 3469 6300</w:t>
      </w:r>
    </w:p>
    <w:p>
      <w:pPr>
        <w:spacing w:after="0" w:line="7" w:lineRule="exact"/>
        <w:rPr>
          <w:sz w:val="20"/>
          <w:szCs w:val="20"/>
          <w:color w:val="auto"/>
        </w:rPr>
      </w:pPr>
    </w:p>
    <w:p>
      <w:pPr>
        <w:ind w:left="8180"/>
        <w:spacing w:after="0"/>
        <w:rPr>
          <w:sz w:val="20"/>
          <w:szCs w:val="20"/>
          <w:color w:val="auto"/>
        </w:rPr>
      </w:pPr>
      <w:r>
        <w:rPr>
          <w:rFonts w:ascii="Arial" w:cs="Arial" w:eastAsia="Arial" w:hAnsi="Arial"/>
          <w:sz w:val="18"/>
          <w:szCs w:val="18"/>
          <w:color w:val="008AAB"/>
        </w:rPr>
        <w:t>www.cancertechnology.com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Institute of Cancer Research: Royal Cancer Hospital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123 Old Brompton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SW7 3RP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Alexander Mayweg, Member of the Board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th</w:t>
      </w:r>
      <w:r>
        <w:rPr>
          <w:rFonts w:ascii="Arial" w:cs="Arial" w:eastAsia="Arial" w:hAnsi="Arial"/>
          <w:sz w:val="18"/>
          <w:szCs w:val="18"/>
          <w:color w:val="auto"/>
        </w:rPr>
        <w:t xml:space="preserve"> January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RE. Collaboration and Option Agreement between Cancer Research Technology Limited (“CRT”), Institute of Cancer Research: Royal Cancer Hospital (“ICR”) and Monte Rosa Therapeutics AG (“Company”) dated 10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April 2018 and amended by COA Amendment 1 between CRT, ICR and Company dated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February 2019 (together the “Collaboration and Option Agreement”)</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Parties wish to modify the Collaboration and Option Agreement pursuant to this letter of amendment (“COA Amendment 2”). Unless indicated otherwise, all capitalised terms used in this COA Amendment 2 shall have the meanings given to such terms in the Collaboration and Option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CRT, the ICR and the Company hereby agree to amend the Collaboration and Option Agreement, as of the date of this COA Amendment 2, as follows:</w:t>
      </w:r>
    </w:p>
    <w:p>
      <w:pPr>
        <w:spacing w:after="0" w:line="271" w:lineRule="exact"/>
        <w:rPr>
          <w:sz w:val="20"/>
          <w:szCs w:val="20"/>
          <w:color w:val="auto"/>
        </w:rPr>
      </w:pPr>
    </w:p>
    <w:p>
      <w:pPr>
        <w:ind w:left="440" w:hanging="433"/>
        <w:spacing w:after="0"/>
        <w:tabs>
          <w:tab w:leader="none" w:pos="4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Schedule 2 shall be deleted and replaced with the new Schedule 2 set forth in Annex 1 of this COA Amendment 2.</w:t>
      </w:r>
    </w:p>
    <w:p>
      <w:pPr>
        <w:spacing w:after="0" w:line="22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Save as expressly varied by this letter of amendment to the Collaboration and Option Agreement, all other terms of the Collaboration and Option Agreement remain the same. However, if there are any inconsistencies between the terms of this COA Amendment 2 and the provisions of the Collaboration and Option Agreement, then this COA Amendment 2 shall prevail.</w:t>
      </w:r>
    </w:p>
    <w:p>
      <w:pPr>
        <w:sectPr>
          <w:pgSz w:w="11900" w:h="16838" w:orient="portrait"/>
          <w:cols w:equalWidth="0" w:num="1">
            <w:col w:w="10900"/>
          </w:cols>
          <w:pgMar w:left="480" w:top="1235" w:right="519" w:bottom="1440" w:gutter="0" w:footer="0" w:header="0"/>
        </w:sectPr>
      </w:pPr>
    </w:p>
    <w:bookmarkStart w:id="594" w:name="page595"/>
    <w:bookmarkEnd w:id="594"/>
    <w:p>
      <w:pPr>
        <w:ind w:right="24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COA Amendment 2 shall be governed by and construed in accordance with the laws of England and Wales and the Parties agree to submit to the exclusive jurisdiction of the English courts in respect of any dispute arising out of or in connection with this COA Amendment 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118"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Please sign, and add the date of signature, below confirming the ICR’s and the Company’s agreement to be bound by the terms of this COA Amendment 2 and return three signed CO A Amendment 2’s to the undersigned.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Illegible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 by The Institute of Cancer Research: Royal Cancer Hospital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Illegible</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2, 2020</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Illegible</w:t>
            </w:r>
          </w:p>
        </w:tc>
        <w:tc>
          <w:tcPr>
            <w:tcW w:w="1120" w:type="dxa"/>
            <w:vAlign w:val="bottom"/>
          </w:tcPr>
          <w:p>
            <w:pPr>
              <w:ind w:left="68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r>
      <w:tr>
        <w:trPr>
          <w:trHeight w:val="421"/>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Countersigned by Monte Rosa Therapeutics AG</w:t>
            </w: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Alexander Mayweg</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2, 2020</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Alexander Mayweg</w:t>
            </w:r>
          </w:p>
        </w:tc>
        <w:tc>
          <w:tcPr>
            <w:tcW w:w="1120" w:type="dxa"/>
            <w:vAlign w:val="bottom"/>
          </w:tcPr>
          <w:p>
            <w:pPr>
              <w:ind w:left="68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Board Member</w:t>
            </w:r>
          </w:p>
        </w:tc>
      </w:tr>
    </w:tbl>
    <w:p>
      <w:pPr>
        <w:sectPr>
          <w:pgSz w:w="11900" w:h="16838" w:orient="portrait"/>
          <w:cols w:equalWidth="0" w:num="1">
            <w:col w:w="10920"/>
          </w:cols>
          <w:pgMar w:left="480" w:top="272" w:right="499" w:bottom="1440" w:gutter="0" w:footer="0" w:header="0"/>
        </w:sectPr>
      </w:pPr>
    </w:p>
    <w:bookmarkStart w:id="595" w:name="page596"/>
    <w:bookmarkEnd w:id="5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PROGRAMME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8" w:right="1440"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Institute of Cancer Research; Royal Cancer Hospital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123 Old Brompton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SW7 3RP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Monte Rosa Therapeutics AG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Aeschenworstadt 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4051 Basel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attention of Markus Warmuth,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th</w:t>
      </w:r>
      <w:r>
        <w:rPr>
          <w:rFonts w:ascii="Arial" w:cs="Arial" w:eastAsia="Arial" w:hAnsi="Arial"/>
          <w:sz w:val="18"/>
          <w:szCs w:val="18"/>
          <w:color w:val="auto"/>
        </w:rPr>
        <w:t xml:space="preserve"> June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Dear Markus Warmuth and [***]</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RE. Collaboration and Option Agreement between Cancer Research Technology Limited (“CRT”). Institute of Cancer Research: Royal Cancer Hospital (“ICR”) and Monte Rosa Therapeutics AG (“Company”) dated 10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April 2018 and amended by COA Amendment 1 between CRT, ICR and Company dated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February 2019 and COA Amendment 2 between CRT, ICR and Company dated 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January 2020 (together the “Collaboration and Option Agreement”)</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Parties wish to modify the Collaboration and Option Agreement pursuant to this letter of amendment (“</w:t>
      </w:r>
      <w:r>
        <w:rPr>
          <w:rFonts w:ascii="Arial" w:cs="Arial" w:eastAsia="Arial" w:hAnsi="Arial"/>
          <w:sz w:val="18"/>
          <w:szCs w:val="18"/>
          <w:b w:val="1"/>
          <w:bCs w:val="1"/>
          <w:color w:val="auto"/>
        </w:rPr>
        <w:t>COA Amendment 3</w:t>
      </w:r>
      <w:r>
        <w:rPr>
          <w:rFonts w:ascii="Arial" w:cs="Arial" w:eastAsia="Arial" w:hAnsi="Arial"/>
          <w:sz w:val="18"/>
          <w:szCs w:val="18"/>
          <w:color w:val="auto"/>
        </w:rPr>
        <w:t>”) Unless indicated otherwise, all capitalised terms used in this COA Amendment 3 shall have the meanings given to such terms In the Collaboration and Option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CRT, the ICR and the Company hereby agree to amend the Collaboration and Option Agreement, as of the date of this COA Amendment 3, as follows:</w:t>
      </w:r>
    </w:p>
    <w:p>
      <w:pPr>
        <w:spacing w:after="0" w:line="150" w:lineRule="exact"/>
        <w:rPr>
          <w:sz w:val="20"/>
          <w:szCs w:val="20"/>
          <w:color w:val="auto"/>
        </w:rPr>
      </w:pPr>
    </w:p>
    <w:p>
      <w:pPr>
        <w:ind w:left="980" w:right="2480" w:hanging="545"/>
        <w:spacing w:after="0" w:line="379" w:lineRule="auto"/>
        <w:tabs>
          <w:tab w:leader="none" w:pos="961"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The definition of “Services Expiry Date” in Clause 1.1 shall be deleted and replaced with the following’ </w:t>
      </w:r>
      <w:r>
        <w:rPr>
          <w:rFonts w:ascii="Arial" w:cs="Arial" w:eastAsia="Arial" w:hAnsi="Arial"/>
          <w:sz w:val="18"/>
          <w:szCs w:val="18"/>
          <w:b w:val="1"/>
          <w:bCs w:val="1"/>
          <w:i w:val="1"/>
          <w:iCs w:val="1"/>
          <w:color w:val="auto"/>
        </w:rPr>
        <w:t xml:space="preserve">“Services Expiry Date” </w:t>
      </w:r>
      <w:r>
        <w:rPr>
          <w:rFonts w:ascii="Arial" w:cs="Arial" w:eastAsia="Arial" w:hAnsi="Arial"/>
          <w:sz w:val="18"/>
          <w:szCs w:val="18"/>
          <w:color w:val="auto"/>
        </w:rPr>
        <w:t>means 31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2020.</w:t>
      </w:r>
    </w:p>
    <w:p>
      <w:pPr>
        <w:spacing w:after="0" w:line="1" w:lineRule="exact"/>
        <w:rPr>
          <w:rFonts w:ascii="Arial" w:cs="Arial" w:eastAsia="Arial" w:hAnsi="Arial"/>
          <w:sz w:val="18"/>
          <w:szCs w:val="18"/>
          <w:color w:val="auto"/>
        </w:rPr>
      </w:pPr>
    </w:p>
    <w:p>
      <w:pPr>
        <w:ind w:left="980" w:hanging="545"/>
        <w:spacing w:after="0"/>
        <w:tabs>
          <w:tab w:leader="none" w:pos="9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Clause 2.2(h) shall be deleted and replaced with the following:</w:t>
      </w:r>
    </w:p>
    <w:p>
      <w:pPr>
        <w:spacing w:after="0" w:line="113" w:lineRule="exact"/>
        <w:rPr>
          <w:rFonts w:ascii="Arial" w:cs="Arial" w:eastAsia="Arial" w:hAnsi="Arial"/>
          <w:sz w:val="18"/>
          <w:szCs w:val="18"/>
          <w:color w:val="auto"/>
        </w:rPr>
      </w:pPr>
    </w:p>
    <w:p>
      <w:pPr>
        <w:ind w:left="980" w:right="180"/>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“(h) The chairman of the meetings of the JSC shall alternate between each JSC meeting between the ICR Lead on the one hand, and the Company Lead on the other. The </w:t>
      </w:r>
      <w:r>
        <w:rPr>
          <w:rFonts w:ascii="Arial" w:cs="Arial" w:eastAsia="Arial" w:hAnsi="Arial"/>
          <w:sz w:val="16"/>
          <w:szCs w:val="16"/>
          <w:b w:val="1"/>
          <w:bCs w:val="1"/>
          <w:i w:val="1"/>
          <w:iCs w:val="1"/>
          <w:color w:val="auto"/>
        </w:rPr>
        <w:t>“ICR Lead”</w:t>
      </w:r>
      <w:r>
        <w:rPr>
          <w:rFonts w:ascii="Arial" w:cs="Arial" w:eastAsia="Arial" w:hAnsi="Arial"/>
          <w:sz w:val="16"/>
          <w:szCs w:val="16"/>
          <w:color w:val="auto"/>
        </w:rPr>
        <w:t xml:space="preserve"> shall be [***] or, in the event that [***] resigns as the ICR Lead or is no longer affiliated with CRT and the ICR, then the ICR shall appoint an ICR employee as replacement ICR Lead, and shad be entitled to remove any ICR Lead appointed by it and to appoint any person to fill a vacancy arising from the removal or retirement of such ICR Lead, in each case, subject to the consent of the Company and CRT, not to be unreasonably withheld. The </w:t>
      </w:r>
      <w:r>
        <w:rPr>
          <w:rFonts w:ascii="Arial" w:cs="Arial" w:eastAsia="Arial" w:hAnsi="Arial"/>
          <w:sz w:val="16"/>
          <w:szCs w:val="16"/>
          <w:b w:val="1"/>
          <w:bCs w:val="1"/>
          <w:i w:val="1"/>
          <w:iCs w:val="1"/>
          <w:color w:val="auto"/>
        </w:rPr>
        <w:t>“Company Lead”</w:t>
      </w:r>
      <w:r>
        <w:rPr>
          <w:rFonts w:ascii="Arial" w:cs="Arial" w:eastAsia="Arial" w:hAnsi="Arial"/>
          <w:sz w:val="16"/>
          <w:szCs w:val="16"/>
          <w:color w:val="auto"/>
        </w:rPr>
        <w:t xml:space="preserve"> shall be [***], or in the event that [***] is no longer affiliated with the Company, then the Company shall appoint a Company employee as a replacement Company Lead, and shall be entitled to remove any Company lead appointed by It and to appoint any person to fill a vacancy arising from the removal or retirement of such Company Lead, m each case, subject to the content of CRT and the ICR, not to be unreasonably withheld. The chairman shall have no casting vote, except as expressly provided in Clause 2.2(i)”</w:t>
      </w:r>
    </w:p>
    <w:p>
      <w:pPr>
        <w:sectPr>
          <w:pgSz w:w="11900" w:h="16838" w:orient="portrait"/>
          <w:cols w:equalWidth="0" w:num="1">
            <w:col w:w="10880"/>
          </w:cols>
          <w:pgMar w:left="480" w:top="272" w:right="539" w:bottom="1440" w:gutter="0" w:footer="0" w:header="0"/>
        </w:sectPr>
      </w:pPr>
    </w:p>
    <w:bookmarkStart w:id="597" w:name="page598"/>
    <w:bookmarkEnd w:id="597"/>
    <w:p>
      <w:pPr>
        <w:ind w:left="980" w:hanging="545"/>
        <w:spacing w:after="0"/>
        <w:tabs>
          <w:tab w:leader="none" w:pos="9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Clause 2.2(i) shall be deleted and replaced with the following:</w:t>
      </w:r>
    </w:p>
    <w:p>
      <w:pPr>
        <w:spacing w:after="0" w:line="113" w:lineRule="exact"/>
        <w:rPr>
          <w:rFonts w:ascii="Arial" w:cs="Arial" w:eastAsia="Arial" w:hAnsi="Arial"/>
          <w:sz w:val="18"/>
          <w:szCs w:val="18"/>
          <w:color w:val="auto"/>
        </w:rPr>
      </w:pPr>
    </w:p>
    <w:p>
      <w:pPr>
        <w:ind w:left="980"/>
        <w:spacing w:after="0" w:line="252" w:lineRule="auto"/>
        <w:rPr>
          <w:rFonts w:ascii="Arial" w:cs="Arial" w:eastAsia="Arial" w:hAnsi="Arial"/>
          <w:sz w:val="18"/>
          <w:szCs w:val="18"/>
          <w:color w:val="auto"/>
        </w:rPr>
      </w:pPr>
      <w:r>
        <w:rPr>
          <w:rFonts w:ascii="Arial" w:cs="Arial" w:eastAsia="Arial" w:hAnsi="Arial"/>
          <w:sz w:val="18"/>
          <w:szCs w:val="18"/>
          <w:color w:val="auto"/>
        </w:rPr>
        <w:t>“(i) The JSC shall have only the powers expressly assigned to it in Clause 2.1, and shall have no power to amend, modify, or waive compliance with this Agreement. Decisions of the JSC shall be made by unanimous agreement of the Members present, with the Company’s appointed Members collectively having one (1) vote, and CRT’s and ICR’s appointed Members collectively having one (1) vote. No vote of the JSC may be taken unless at least one (1) of each Party’s representatives is present for the vote. If the JSC cannot reach consensus with regard to any matter within its decision-making authority within [***] after such matter has been brought to the JSC’s attention, then [***].“</w:t>
      </w:r>
    </w:p>
    <w:p>
      <w:pPr>
        <w:spacing w:after="0" w:line="100" w:lineRule="exact"/>
        <w:rPr>
          <w:rFonts w:ascii="Arial" w:cs="Arial" w:eastAsia="Arial" w:hAnsi="Arial"/>
          <w:sz w:val="18"/>
          <w:szCs w:val="18"/>
          <w:color w:val="auto"/>
        </w:rPr>
      </w:pPr>
    </w:p>
    <w:p>
      <w:pPr>
        <w:jc w:val="both"/>
        <w:ind w:left="980" w:right="20" w:hanging="545"/>
        <w:spacing w:after="0" w:line="259" w:lineRule="auto"/>
        <w:tabs>
          <w:tab w:leader="none" w:pos="9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For the purposes of Clause 2.2(j), the chairman’s delegate for preparing and circulating minutes pursuant to Clausa 2.2(j)(c) shall be (i) the ICR Lead or the ICR Lead’s delegate for JSC meetings chaired by the Company Lead, and (ii) the Company Lead or the Company Lead’s delegate for JSC meetings chaired by the ICR Lead.</w:t>
      </w:r>
    </w:p>
    <w:p>
      <w:pPr>
        <w:spacing w:after="0" w:line="92" w:lineRule="exact"/>
        <w:rPr>
          <w:rFonts w:ascii="Arial" w:cs="Arial" w:eastAsia="Arial" w:hAnsi="Arial"/>
          <w:sz w:val="18"/>
          <w:szCs w:val="18"/>
          <w:color w:val="auto"/>
        </w:rPr>
      </w:pPr>
    </w:p>
    <w:p>
      <w:pPr>
        <w:ind w:left="980" w:hanging="545"/>
        <w:spacing w:after="0"/>
        <w:tabs>
          <w:tab w:leader="none" w:pos="9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Clause 3.2 shall be deleted and replaced with Hie following:</w:t>
      </w:r>
    </w:p>
    <w:p>
      <w:pPr>
        <w:spacing w:after="0" w:line="127" w:lineRule="exact"/>
        <w:rPr>
          <w:rFonts w:ascii="Arial" w:cs="Arial" w:eastAsia="Arial" w:hAnsi="Arial"/>
          <w:sz w:val="18"/>
          <w:szCs w:val="18"/>
          <w:color w:val="auto"/>
        </w:rPr>
      </w:pPr>
    </w:p>
    <w:p>
      <w:pPr>
        <w:ind w:left="1420" w:right="40" w:hanging="428"/>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“3.2 in consideration for the payments to be made pursuant to Clause 4.1, the ICR shall engage the researchers set forth under the section entitled “Researchers” (the </w:t>
      </w:r>
      <w:r>
        <w:rPr>
          <w:rFonts w:ascii="Arial" w:cs="Arial" w:eastAsia="Arial" w:hAnsi="Arial"/>
          <w:sz w:val="17"/>
          <w:szCs w:val="17"/>
          <w:b w:val="1"/>
          <w:bCs w:val="1"/>
          <w:i w:val="1"/>
          <w:iCs w:val="1"/>
          <w:color w:val="auto"/>
        </w:rPr>
        <w:t>“Researchers”</w:t>
      </w:r>
      <w:r>
        <w:rPr>
          <w:rFonts w:ascii="Arial" w:cs="Arial" w:eastAsia="Arial" w:hAnsi="Arial"/>
          <w:sz w:val="17"/>
          <w:szCs w:val="17"/>
          <w:color w:val="auto"/>
        </w:rPr>
        <w:t>) in Schedule 2 for the period of time set forth therein, to be appointed as soon as practicable after the Effective Date, to work at the ICR as employees of the ICR, to carry out under the supervision of the ICR Lead, those parts of the Programme allocated to the ICR hereunder. The Company shall provide the ICR with such assistance with the selection and recruitment of the Researchers as the ICR may reasonably request, and the ICR shall promptly notify the Company of the appointment of each Researcher, including the effective date of each such appointment.”</w:t>
      </w:r>
    </w:p>
    <w:p>
      <w:pPr>
        <w:spacing w:after="0" w:line="178"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Save as expressly varied by this letter of amendment to the Collaboration and Option Agreement, all other terms of the Collaboration and Option Agreement remain the same. However, if there are any inconsistencies between the terms of this COA Amendment 3 and the provisions of the Collaboration and Option Agreement, then this COA Amendment 3 shall prevail.</w:t>
      </w:r>
    </w:p>
    <w:p>
      <w:pPr>
        <w:spacing w:after="0" w:line="186"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This COA Amendment 3 shall be governed by and construed in accordance with the laws of England and Wales and the Parties agree to submit to the exclusive jurisdiction of the English courts in respect of any dispute arising out of or in connection with this COA Amendment 3.</w:t>
      </w:r>
    </w:p>
    <w:p>
      <w:pPr>
        <w:sectPr>
          <w:pgSz w:w="11900" w:h="16838" w:orient="portrait"/>
          <w:cols w:equalWidth="0" w:num="1">
            <w:col w:w="10880"/>
          </w:cols>
          <w:pgMar w:left="480" w:top="272" w:right="539" w:bottom="1440" w:gutter="0" w:footer="0" w:header="0"/>
        </w:sectPr>
      </w:pPr>
    </w:p>
    <w:bookmarkStart w:id="598" w:name="page599"/>
    <w:bookmarkEnd w:id="598"/>
    <w:p>
      <w:pPr>
        <w:ind w:right="9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Please sign, and add the date of signature, below confirming the ICR’s and the Company’s agreement to be bound by the terms of this COA Amendment 3 and return signed COA Amendment 3 to the undersigned.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Illegible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Cancer Research Technology Limited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 The Institute of Cancer Research; Royal Cancer Hospital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Illegible</w:t>
            </w:r>
          </w:p>
        </w:tc>
        <w:tc>
          <w:tcPr>
            <w:tcW w:w="1440" w:type="dxa"/>
            <w:vAlign w:val="bottom"/>
          </w:tcPr>
          <w:p>
            <w:pPr>
              <w:ind w:left="68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July 23, 2020</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Illegible</w:t>
            </w:r>
          </w:p>
        </w:tc>
        <w:tc>
          <w:tcPr>
            <w:tcW w:w="1440" w:type="dxa"/>
            <w:vAlign w:val="bottom"/>
          </w:tcPr>
          <w:p>
            <w:pPr>
              <w:ind w:left="680"/>
              <w:spacing w:after="0"/>
              <w:rPr>
                <w:sz w:val="20"/>
                <w:szCs w:val="20"/>
                <w:color w:val="auto"/>
              </w:rPr>
            </w:pPr>
            <w:r>
              <w:rPr>
                <w:rFonts w:ascii="Arial" w:cs="Arial" w:eastAsia="Arial" w:hAnsi="Arial"/>
                <w:sz w:val="18"/>
                <w:szCs w:val="18"/>
                <w:color w:val="auto"/>
              </w:rPr>
              <w:t>Position:</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r>
      <w:tr>
        <w:trPr>
          <w:trHeight w:val="421"/>
        </w:trPr>
        <w:tc>
          <w:tcPr>
            <w:tcW w:w="5120" w:type="dxa"/>
            <w:vAlign w:val="bottom"/>
            <w:gridSpan w:val="2"/>
          </w:tcPr>
          <w:p>
            <w:pPr>
              <w:spacing w:after="0"/>
              <w:rPr>
                <w:sz w:val="20"/>
                <w:szCs w:val="20"/>
                <w:color w:val="auto"/>
              </w:rPr>
            </w:pPr>
            <w:r>
              <w:rPr>
                <w:rFonts w:ascii="Arial" w:cs="Arial" w:eastAsia="Arial" w:hAnsi="Arial"/>
                <w:sz w:val="18"/>
                <w:szCs w:val="18"/>
                <w:color w:val="auto"/>
              </w:rPr>
              <w:t>Countersigned by Monte Rosa Therapeutics AG</w:t>
            </w:r>
          </w:p>
        </w:tc>
        <w:tc>
          <w:tcPr>
            <w:tcW w:w="14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5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Markus Warmuth</w:t>
            </w:r>
          </w:p>
        </w:tc>
        <w:tc>
          <w:tcPr>
            <w:tcW w:w="1440" w:type="dxa"/>
            <w:vAlign w:val="bottom"/>
          </w:tcPr>
          <w:p>
            <w:pPr>
              <w:ind w:left="68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August 21, 2020</w:t>
            </w:r>
          </w:p>
        </w:tc>
      </w:tr>
      <w:tr>
        <w:trPr>
          <w:trHeight w:val="40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Markus Warmuth</w:t>
            </w:r>
          </w:p>
        </w:tc>
        <w:tc>
          <w:tcPr>
            <w:tcW w:w="1440" w:type="dxa"/>
            <w:vAlign w:val="bottom"/>
          </w:tcPr>
          <w:p>
            <w:pPr>
              <w:ind w:left="680"/>
              <w:spacing w:after="0"/>
              <w:rPr>
                <w:sz w:val="20"/>
                <w:szCs w:val="20"/>
                <w:color w:val="auto"/>
              </w:rPr>
            </w:pPr>
            <w:r>
              <w:rPr>
                <w:rFonts w:ascii="Arial" w:cs="Arial" w:eastAsia="Arial" w:hAnsi="Arial"/>
                <w:sz w:val="18"/>
                <w:szCs w:val="18"/>
                <w:color w:val="auto"/>
              </w:rPr>
              <w:t>Position:</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0920"/>
          </w:cols>
          <w:pgMar w:left="480" w:top="272" w:right="499" w:bottom="1440" w:gutter="0" w:footer="0" w:header="0"/>
        </w:sectPr>
      </w:pPr>
    </w:p>
    <w:bookmarkStart w:id="599" w:name="page600"/>
    <w:bookmarkEnd w:id="599"/>
    <w:p>
      <w:pPr>
        <w:jc w:val="right"/>
        <w:spacing w:after="0"/>
        <w:rPr>
          <w:sz w:val="20"/>
          <w:szCs w:val="20"/>
          <w:color w:val="auto"/>
        </w:rPr>
      </w:pPr>
      <w:r>
        <w:rPr>
          <w:rFonts w:ascii="Arial" w:cs="Arial" w:eastAsia="Arial" w:hAnsi="Arial"/>
          <w:sz w:val="18"/>
          <w:szCs w:val="18"/>
          <w:b w:val="1"/>
          <w:bCs w:val="1"/>
          <w:color w:val="auto"/>
        </w:rPr>
        <w:t>Exhibit 10.19</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645 SUMMER STREET</w:t>
      </w:r>
    </w:p>
    <w:p>
      <w:pPr>
        <w:spacing w:after="0" w:line="2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BOSTON, MA</w:t>
      </w:r>
    </w:p>
    <w:p>
      <w:pPr>
        <w:spacing w:after="0" w:line="20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LEASE AGREEMENT</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BETWEEN</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OPG MP PARCEL OWNER (DE) LLC,</w:t>
      </w:r>
    </w:p>
    <w:p>
      <w:pPr>
        <w:spacing w:after="0" w:line="2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AS LANDLORD</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AND</w:t>
      </w:r>
    </w:p>
    <w:p>
      <w:pPr>
        <w:spacing w:after="0" w:line="217"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MONTE ROSA THERAPEUTICS, INC.,</w:t>
      </w:r>
    </w:p>
    <w:p>
      <w:pPr>
        <w:spacing w:after="0" w:line="3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 Delaware corporation,</w:t>
      </w:r>
    </w:p>
    <w:p>
      <w:pPr>
        <w:spacing w:after="0" w:line="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AS TENANT</w:t>
      </w:r>
    </w:p>
    <w:p>
      <w:pPr>
        <w:sectPr>
          <w:pgSz w:w="11900" w:h="16838" w:orient="portrait"/>
          <w:cols w:equalWidth="0" w:num="1">
            <w:col w:w="9960"/>
          </w:cols>
          <w:pgMar w:left="1440" w:top="121" w:right="499" w:bottom="1440" w:gutter="0" w:footer="0" w:header="0"/>
        </w:sectPr>
      </w:pPr>
    </w:p>
    <w:bookmarkStart w:id="600" w:name="page601"/>
    <w:bookmarkEnd w:id="600"/>
    <w:tbl>
      <w:tblPr>
        <w:tblLayout w:type="fixed"/>
        <w:tblInd w:w="0" w:type="dxa"/>
        <w:tblCellMar>
          <w:top w:w="0" w:type="dxa"/>
          <w:left w:w="0" w:type="dxa"/>
          <w:bottom w:w="0" w:type="dxa"/>
          <w:right w:w="0" w:type="dxa"/>
        </w:tblCellMar>
      </w:tblPr>
      <w:tr>
        <w:trPr>
          <w:trHeight w:val="231"/>
        </w:trPr>
        <w:tc>
          <w:tcPr>
            <w:tcW w:w="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80" w:type="dxa"/>
            <w:vAlign w:val="bottom"/>
          </w:tcPr>
          <w:p>
            <w:pPr>
              <w:jc w:val="right"/>
              <w:ind w:right="4411"/>
              <w:spacing w:after="0"/>
              <w:rPr>
                <w:sz w:val="20"/>
                <w:szCs w:val="20"/>
                <w:color w:val="auto"/>
              </w:rPr>
            </w:pPr>
            <w:r>
              <w:rPr>
                <w:rFonts w:ascii="Arial" w:cs="Arial" w:eastAsia="Arial" w:hAnsi="Arial"/>
                <w:sz w:val="18"/>
                <w:szCs w:val="18"/>
                <w:b w:val="1"/>
                <w:bCs w:val="1"/>
                <w:color w:val="auto"/>
              </w:rPr>
              <w:t>LEASE AGREEMENT</w:t>
            </w:r>
          </w:p>
        </w:tc>
      </w:tr>
      <w:tr>
        <w:trPr>
          <w:trHeight w:val="428"/>
        </w:trPr>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180" w:type="dxa"/>
            <w:vAlign w:val="bottom"/>
          </w:tcPr>
          <w:p>
            <w:pPr>
              <w:jc w:val="right"/>
              <w:ind w:right="4351"/>
              <w:spacing w:after="0"/>
              <w:rPr>
                <w:sz w:val="20"/>
                <w:szCs w:val="20"/>
                <w:color w:val="auto"/>
              </w:rPr>
            </w:pPr>
            <w:r>
              <w:rPr>
                <w:rFonts w:ascii="Arial" w:cs="Arial" w:eastAsia="Arial" w:hAnsi="Arial"/>
                <w:sz w:val="18"/>
                <w:szCs w:val="18"/>
                <w:b w:val="1"/>
                <w:bCs w:val="1"/>
                <w:color w:val="auto"/>
              </w:rPr>
              <w:t>TABLE OF CONTENTS</w:t>
            </w:r>
          </w:p>
        </w:tc>
      </w:tr>
      <w:tr>
        <w:trPr>
          <w:trHeight w:val="442"/>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400" w:type="dxa"/>
            <w:vAlign w:val="bottom"/>
          </w:tcPr>
          <w:p>
            <w:pPr>
              <w:ind w:left="40"/>
              <w:spacing w:after="0"/>
              <w:rPr>
                <w:sz w:val="20"/>
                <w:szCs w:val="20"/>
                <w:color w:val="auto"/>
              </w:rPr>
            </w:pPr>
            <w:r>
              <w:rPr>
                <w:rFonts w:ascii="Arial" w:cs="Arial" w:eastAsia="Arial" w:hAnsi="Arial"/>
                <w:sz w:val="18"/>
                <w:szCs w:val="18"/>
                <w:color w:val="auto"/>
              </w:rPr>
              <w:t>Basic Lease Information</w:t>
            </w:r>
          </w:p>
        </w:tc>
        <w:tc>
          <w:tcPr>
            <w:tcW w:w="7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400" w:type="dxa"/>
            <w:vAlign w:val="bottom"/>
          </w:tcPr>
          <w:p>
            <w:pPr>
              <w:ind w:left="40"/>
              <w:spacing w:after="0"/>
              <w:rPr>
                <w:sz w:val="20"/>
                <w:szCs w:val="20"/>
                <w:color w:val="auto"/>
              </w:rPr>
            </w:pPr>
            <w:r>
              <w:rPr>
                <w:rFonts w:ascii="Arial" w:cs="Arial" w:eastAsia="Arial" w:hAnsi="Arial"/>
                <w:sz w:val="18"/>
                <w:szCs w:val="18"/>
                <w:color w:val="auto"/>
              </w:rPr>
              <w:t>Lease Grant</w:t>
            </w:r>
          </w:p>
        </w:tc>
        <w:tc>
          <w:tcPr>
            <w:tcW w:w="7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400" w:type="dxa"/>
            <w:vAlign w:val="bottom"/>
          </w:tcPr>
          <w:p>
            <w:pPr>
              <w:ind w:left="40"/>
              <w:spacing w:after="0"/>
              <w:rPr>
                <w:sz w:val="20"/>
                <w:szCs w:val="20"/>
                <w:color w:val="auto"/>
              </w:rPr>
            </w:pPr>
            <w:r>
              <w:rPr>
                <w:rFonts w:ascii="Arial" w:cs="Arial" w:eastAsia="Arial" w:hAnsi="Arial"/>
                <w:sz w:val="18"/>
                <w:szCs w:val="18"/>
                <w:color w:val="auto"/>
              </w:rPr>
              <w:t>Term and Commencement Date</w:t>
            </w:r>
          </w:p>
        </w:tc>
        <w:tc>
          <w:tcPr>
            <w:tcW w:w="7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400" w:type="dxa"/>
            <w:vAlign w:val="bottom"/>
          </w:tcPr>
          <w:p>
            <w:pPr>
              <w:ind w:left="40"/>
              <w:spacing w:after="0"/>
              <w:rPr>
                <w:sz w:val="20"/>
                <w:szCs w:val="20"/>
                <w:color w:val="auto"/>
              </w:rPr>
            </w:pPr>
            <w:r>
              <w:rPr>
                <w:rFonts w:ascii="Arial" w:cs="Arial" w:eastAsia="Arial" w:hAnsi="Arial"/>
                <w:sz w:val="18"/>
                <w:szCs w:val="18"/>
                <w:color w:val="auto"/>
              </w:rPr>
              <w:t>Rent</w:t>
            </w:r>
          </w:p>
        </w:tc>
        <w:tc>
          <w:tcPr>
            <w:tcW w:w="7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400" w:type="dxa"/>
            <w:vAlign w:val="bottom"/>
          </w:tcPr>
          <w:p>
            <w:pPr>
              <w:ind w:left="40"/>
              <w:spacing w:after="0"/>
              <w:rPr>
                <w:sz w:val="20"/>
                <w:szCs w:val="20"/>
                <w:color w:val="auto"/>
              </w:rPr>
            </w:pPr>
            <w:r>
              <w:rPr>
                <w:rFonts w:ascii="Arial" w:cs="Arial" w:eastAsia="Arial" w:hAnsi="Arial"/>
                <w:sz w:val="18"/>
                <w:szCs w:val="18"/>
                <w:color w:val="auto"/>
              </w:rPr>
              <w:t>Compliance with Laws; Use</w:t>
            </w:r>
          </w:p>
        </w:tc>
        <w:tc>
          <w:tcPr>
            <w:tcW w:w="7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3400" w:type="dxa"/>
            <w:vAlign w:val="bottom"/>
          </w:tcPr>
          <w:p>
            <w:pPr>
              <w:ind w:left="40"/>
              <w:spacing w:after="0"/>
              <w:rPr>
                <w:sz w:val="20"/>
                <w:szCs w:val="20"/>
                <w:color w:val="auto"/>
              </w:rPr>
            </w:pPr>
            <w:r>
              <w:rPr>
                <w:rFonts w:ascii="Arial" w:cs="Arial" w:eastAsia="Arial" w:hAnsi="Arial"/>
                <w:sz w:val="18"/>
                <w:szCs w:val="18"/>
                <w:color w:val="auto"/>
              </w:rPr>
              <w:t>Letter of Credit</w:t>
            </w:r>
          </w:p>
        </w:tc>
        <w:tc>
          <w:tcPr>
            <w:tcW w:w="7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400" w:type="dxa"/>
            <w:vAlign w:val="bottom"/>
          </w:tcPr>
          <w:p>
            <w:pPr>
              <w:ind w:left="40"/>
              <w:spacing w:after="0"/>
              <w:rPr>
                <w:sz w:val="20"/>
                <w:szCs w:val="20"/>
                <w:color w:val="auto"/>
              </w:rPr>
            </w:pPr>
            <w:r>
              <w:rPr>
                <w:rFonts w:ascii="Arial" w:cs="Arial" w:eastAsia="Arial" w:hAnsi="Arial"/>
                <w:sz w:val="18"/>
                <w:szCs w:val="18"/>
                <w:color w:val="auto"/>
              </w:rPr>
              <w:t>Building Services</w:t>
            </w:r>
          </w:p>
        </w:tc>
        <w:tc>
          <w:tcPr>
            <w:tcW w:w="7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400" w:type="dxa"/>
            <w:vAlign w:val="bottom"/>
          </w:tcPr>
          <w:p>
            <w:pPr>
              <w:ind w:left="40"/>
              <w:spacing w:after="0"/>
              <w:rPr>
                <w:sz w:val="20"/>
                <w:szCs w:val="20"/>
                <w:color w:val="auto"/>
              </w:rPr>
            </w:pPr>
            <w:r>
              <w:rPr>
                <w:rFonts w:ascii="Arial" w:cs="Arial" w:eastAsia="Arial" w:hAnsi="Arial"/>
                <w:sz w:val="18"/>
                <w:szCs w:val="18"/>
                <w:color w:val="auto"/>
              </w:rPr>
              <w:t>Alterations</w:t>
            </w:r>
          </w:p>
        </w:tc>
        <w:tc>
          <w:tcPr>
            <w:tcW w:w="7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400" w:type="dxa"/>
            <w:vAlign w:val="bottom"/>
          </w:tcPr>
          <w:p>
            <w:pPr>
              <w:ind w:left="40"/>
              <w:spacing w:after="0"/>
              <w:rPr>
                <w:sz w:val="20"/>
                <w:szCs w:val="20"/>
                <w:color w:val="auto"/>
              </w:rPr>
            </w:pPr>
            <w:r>
              <w:rPr>
                <w:rFonts w:ascii="Arial" w:cs="Arial" w:eastAsia="Arial" w:hAnsi="Arial"/>
                <w:sz w:val="18"/>
                <w:szCs w:val="18"/>
                <w:color w:val="auto"/>
              </w:rPr>
              <w:t>Repairs and Maintenance</w:t>
            </w:r>
          </w:p>
        </w:tc>
        <w:tc>
          <w:tcPr>
            <w:tcW w:w="7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400" w:type="dxa"/>
            <w:vAlign w:val="bottom"/>
          </w:tcPr>
          <w:p>
            <w:pPr>
              <w:ind w:left="40"/>
              <w:spacing w:after="0"/>
              <w:rPr>
                <w:sz w:val="20"/>
                <w:szCs w:val="20"/>
                <w:color w:val="auto"/>
              </w:rPr>
            </w:pPr>
            <w:r>
              <w:rPr>
                <w:rFonts w:ascii="Arial" w:cs="Arial" w:eastAsia="Arial" w:hAnsi="Arial"/>
                <w:sz w:val="18"/>
                <w:szCs w:val="18"/>
                <w:color w:val="auto"/>
              </w:rPr>
              <w:t>Entry by Landlord</w:t>
            </w:r>
          </w:p>
        </w:tc>
        <w:tc>
          <w:tcPr>
            <w:tcW w:w="7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3400" w:type="dxa"/>
            <w:vAlign w:val="bottom"/>
          </w:tcPr>
          <w:p>
            <w:pPr>
              <w:ind w:left="40"/>
              <w:spacing w:after="0"/>
              <w:rPr>
                <w:sz w:val="20"/>
                <w:szCs w:val="20"/>
                <w:color w:val="auto"/>
              </w:rPr>
            </w:pPr>
            <w:r>
              <w:rPr>
                <w:rFonts w:ascii="Arial" w:cs="Arial" w:eastAsia="Arial" w:hAnsi="Arial"/>
                <w:sz w:val="18"/>
                <w:szCs w:val="18"/>
                <w:color w:val="auto"/>
              </w:rPr>
              <w:t>Assignment and Subletting</w:t>
            </w:r>
          </w:p>
        </w:tc>
        <w:tc>
          <w:tcPr>
            <w:tcW w:w="7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3400" w:type="dxa"/>
            <w:vAlign w:val="bottom"/>
          </w:tcPr>
          <w:p>
            <w:pPr>
              <w:ind w:left="40"/>
              <w:spacing w:after="0"/>
              <w:rPr>
                <w:sz w:val="20"/>
                <w:szCs w:val="20"/>
                <w:color w:val="auto"/>
              </w:rPr>
            </w:pPr>
            <w:r>
              <w:rPr>
                <w:rFonts w:ascii="Arial" w:cs="Arial" w:eastAsia="Arial" w:hAnsi="Arial"/>
                <w:sz w:val="18"/>
                <w:szCs w:val="18"/>
                <w:color w:val="auto"/>
              </w:rPr>
              <w:t>Notices</w:t>
            </w:r>
          </w:p>
        </w:tc>
        <w:tc>
          <w:tcPr>
            <w:tcW w:w="7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3400" w:type="dxa"/>
            <w:vAlign w:val="bottom"/>
          </w:tcPr>
          <w:p>
            <w:pPr>
              <w:ind w:left="40"/>
              <w:spacing w:after="0"/>
              <w:rPr>
                <w:sz w:val="20"/>
                <w:szCs w:val="20"/>
                <w:color w:val="auto"/>
              </w:rPr>
            </w:pPr>
            <w:r>
              <w:rPr>
                <w:rFonts w:ascii="Arial" w:cs="Arial" w:eastAsia="Arial" w:hAnsi="Arial"/>
                <w:sz w:val="18"/>
                <w:szCs w:val="18"/>
                <w:color w:val="auto"/>
              </w:rPr>
              <w:t>Indemnity and Insurance</w:t>
            </w:r>
          </w:p>
        </w:tc>
        <w:tc>
          <w:tcPr>
            <w:tcW w:w="7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3400" w:type="dxa"/>
            <w:vAlign w:val="bottom"/>
          </w:tcPr>
          <w:p>
            <w:pPr>
              <w:ind w:left="40"/>
              <w:spacing w:after="0"/>
              <w:rPr>
                <w:sz w:val="20"/>
                <w:szCs w:val="20"/>
                <w:color w:val="auto"/>
              </w:rPr>
            </w:pPr>
            <w:r>
              <w:rPr>
                <w:rFonts w:ascii="Arial" w:cs="Arial" w:eastAsia="Arial" w:hAnsi="Arial"/>
                <w:sz w:val="18"/>
                <w:szCs w:val="18"/>
                <w:color w:val="auto"/>
              </w:rPr>
              <w:t>Casualty Damage</w:t>
            </w:r>
          </w:p>
        </w:tc>
        <w:tc>
          <w:tcPr>
            <w:tcW w:w="7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3400" w:type="dxa"/>
            <w:vAlign w:val="bottom"/>
          </w:tcPr>
          <w:p>
            <w:pPr>
              <w:ind w:left="40"/>
              <w:spacing w:after="0"/>
              <w:rPr>
                <w:sz w:val="20"/>
                <w:szCs w:val="20"/>
                <w:color w:val="auto"/>
              </w:rPr>
            </w:pPr>
            <w:r>
              <w:rPr>
                <w:rFonts w:ascii="Arial" w:cs="Arial" w:eastAsia="Arial" w:hAnsi="Arial"/>
                <w:sz w:val="18"/>
                <w:szCs w:val="18"/>
                <w:color w:val="auto"/>
              </w:rPr>
              <w:t>Condemnation</w:t>
            </w:r>
          </w:p>
        </w:tc>
        <w:tc>
          <w:tcPr>
            <w:tcW w:w="7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340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7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340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7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3400" w:type="dxa"/>
            <w:vAlign w:val="bottom"/>
          </w:tcPr>
          <w:p>
            <w:pPr>
              <w:ind w:left="40"/>
              <w:spacing w:after="0"/>
              <w:rPr>
                <w:sz w:val="20"/>
                <w:szCs w:val="20"/>
                <w:color w:val="auto"/>
              </w:rPr>
            </w:pPr>
            <w:r>
              <w:rPr>
                <w:rFonts w:ascii="Arial" w:cs="Arial" w:eastAsia="Arial" w:hAnsi="Arial"/>
                <w:sz w:val="18"/>
                <w:szCs w:val="18"/>
                <w:color w:val="auto"/>
              </w:rPr>
              <w:t>Holding Over</w:t>
            </w:r>
          </w:p>
        </w:tc>
        <w:tc>
          <w:tcPr>
            <w:tcW w:w="7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3400" w:type="dxa"/>
            <w:vAlign w:val="bottom"/>
          </w:tcPr>
          <w:p>
            <w:pPr>
              <w:ind w:left="40"/>
              <w:spacing w:after="0"/>
              <w:rPr>
                <w:sz w:val="20"/>
                <w:szCs w:val="20"/>
                <w:color w:val="auto"/>
              </w:rPr>
            </w:pPr>
            <w:r>
              <w:rPr>
                <w:rFonts w:ascii="Arial" w:cs="Arial" w:eastAsia="Arial" w:hAnsi="Arial"/>
                <w:sz w:val="18"/>
                <w:szCs w:val="18"/>
                <w:color w:val="auto"/>
              </w:rPr>
              <w:t>Surrender of Premises</w:t>
            </w:r>
          </w:p>
        </w:tc>
        <w:tc>
          <w:tcPr>
            <w:tcW w:w="7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3400" w:type="dxa"/>
            <w:vAlign w:val="bottom"/>
          </w:tcPr>
          <w:p>
            <w:pPr>
              <w:ind w:left="40"/>
              <w:spacing w:after="0"/>
              <w:rPr>
                <w:sz w:val="20"/>
                <w:szCs w:val="20"/>
                <w:color w:val="auto"/>
              </w:rPr>
            </w:pPr>
            <w:r>
              <w:rPr>
                <w:rFonts w:ascii="Arial" w:cs="Arial" w:eastAsia="Arial" w:hAnsi="Arial"/>
                <w:sz w:val="18"/>
                <w:szCs w:val="18"/>
                <w:color w:val="auto"/>
              </w:rPr>
              <w:t>Subordination; Estoppel Certificate</w:t>
            </w:r>
          </w:p>
        </w:tc>
        <w:tc>
          <w:tcPr>
            <w:tcW w:w="7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340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71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60"/>
          </w:cols>
          <w:pgMar w:left="480" w:top="268" w:right="559" w:bottom="1440" w:gutter="0" w:footer="0" w:header="0"/>
        </w:sectPr>
      </w:pPr>
    </w:p>
    <w:bookmarkStart w:id="601" w:name="page602"/>
    <w:bookmarkEnd w:id="60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LEASE AGREEMENT</w:t>
      </w:r>
    </w:p>
    <w:p>
      <w:pPr>
        <w:spacing w:after="0" w:line="225" w:lineRule="exact"/>
        <w:rPr>
          <w:sz w:val="20"/>
          <w:szCs w:val="20"/>
          <w:color w:val="auto"/>
        </w:rPr>
      </w:pPr>
    </w:p>
    <w:p>
      <w:pPr>
        <w:ind w:right="580" w:firstLine="436"/>
        <w:spacing w:after="0" w:line="259"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as of September 23,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OPG MP PARCEL OWNER (DE)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MONTE ROSA THERAPEUTICS,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Basic Lease Information.</w:t>
      </w:r>
    </w:p>
    <w:p>
      <w:pPr>
        <w:spacing w:after="0" w:line="118"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1.01 “</w:t>
      </w:r>
      <w:r>
        <w:rPr>
          <w:rFonts w:ascii="Arial" w:cs="Arial" w:eastAsia="Arial" w:hAnsi="Arial"/>
          <w:sz w:val="18"/>
          <w:szCs w:val="18"/>
          <w:u w:val="single" w:color="auto"/>
          <w:color w:val="auto"/>
        </w:rPr>
        <w:t>Building</w:t>
      </w:r>
      <w:r>
        <w:rPr>
          <w:rFonts w:ascii="Arial" w:cs="Arial" w:eastAsia="Arial" w:hAnsi="Arial"/>
          <w:sz w:val="18"/>
          <w:szCs w:val="18"/>
          <w:color w:val="auto"/>
        </w:rPr>
        <w:t>” shall mean the building located at 645 Summer Street, Boston, MA 02210 and commonly known as 645 Summer Street. The “</w:t>
      </w:r>
      <w:r>
        <w:rPr>
          <w:rFonts w:ascii="Arial" w:cs="Arial" w:eastAsia="Arial" w:hAnsi="Arial"/>
          <w:sz w:val="18"/>
          <w:szCs w:val="18"/>
          <w:u w:val="single" w:color="auto"/>
          <w:color w:val="auto"/>
        </w:rPr>
        <w:t>Rentable Floor Area of the Building</w:t>
      </w:r>
      <w:r>
        <w:rPr>
          <w:rFonts w:ascii="Arial" w:cs="Arial" w:eastAsia="Arial" w:hAnsi="Arial"/>
          <w:sz w:val="18"/>
          <w:szCs w:val="18"/>
          <w:color w:val="auto"/>
        </w:rPr>
        <w:t>” is deemed to be 150,000 square feet.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Industrial Park</w:t>
      </w:r>
      <w:r>
        <w:rPr>
          <w:rFonts w:ascii="Arial" w:cs="Arial" w:eastAsia="Arial" w:hAnsi="Arial"/>
          <w:sz w:val="18"/>
          <w:szCs w:val="18"/>
          <w:color w:val="auto"/>
        </w:rPr>
        <w:t>” shall mean the industrial park located in the City of Boston, in which the Building is located.</w:t>
      </w:r>
    </w:p>
    <w:p>
      <w:pPr>
        <w:spacing w:after="0" w:line="11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shall mean the area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Lease. The Premises are located on a portion of the northern half of the first (1st) floor of the Building and known as Suite 102.</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 “</w:t>
      </w:r>
      <w:r>
        <w:rPr>
          <w:rFonts w:ascii="Arial" w:cs="Arial" w:eastAsia="Arial" w:hAnsi="Arial"/>
          <w:sz w:val="18"/>
          <w:szCs w:val="18"/>
          <w:u w:val="single" w:color="auto"/>
          <w:color w:val="auto"/>
        </w:rPr>
        <w:t>Rentable Floor Area of the Premises</w:t>
      </w:r>
      <w:r>
        <w:rPr>
          <w:rFonts w:ascii="Arial" w:cs="Arial" w:eastAsia="Arial" w:hAnsi="Arial"/>
          <w:sz w:val="18"/>
          <w:szCs w:val="18"/>
          <w:color w:val="auto"/>
        </w:rPr>
        <w:t>”: 16,748 square feet.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 “</w:t>
      </w:r>
      <w:r>
        <w:rPr>
          <w:rFonts w:ascii="Arial" w:cs="Arial" w:eastAsia="Arial" w:hAnsi="Arial"/>
          <w:sz w:val="18"/>
          <w:szCs w:val="18"/>
          <w:u w:val="single" w:color="auto"/>
          <w:color w:val="auto"/>
        </w:rPr>
        <w:t>Estimated Term Commencement Date</w:t>
      </w:r>
      <w:r>
        <w:rPr>
          <w:rFonts w:ascii="Arial" w:cs="Arial" w:eastAsia="Arial" w:hAnsi="Arial"/>
          <w:sz w:val="18"/>
          <w:szCs w:val="18"/>
          <w:color w:val="auto"/>
        </w:rPr>
        <w:t>”: March 1, 2021.</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1.05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 See Section 3.01.</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1.06 “</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 The Term Commencement Date.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1.07 “</w:t>
      </w:r>
      <w:r>
        <w:rPr>
          <w:rFonts w:ascii="Arial" w:cs="Arial" w:eastAsia="Arial" w:hAnsi="Arial"/>
          <w:sz w:val="18"/>
          <w:szCs w:val="18"/>
          <w:u w:val="single" w:color="auto"/>
          <w:color w:val="auto"/>
        </w:rPr>
        <w:t>Term Expiration Date</w:t>
      </w:r>
      <w:r>
        <w:rPr>
          <w:rFonts w:ascii="Arial" w:cs="Arial" w:eastAsia="Arial" w:hAnsi="Arial"/>
          <w:sz w:val="18"/>
          <w:szCs w:val="18"/>
          <w:color w:val="auto"/>
        </w:rPr>
        <w:t>”: The last day of the sixtieth (60th) full calendar month following the Rent Commencement Date.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1.08 “</w:t>
      </w: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760" w:type="dxa"/>
            <w:vAlign w:val="bottom"/>
            <w:gridSpan w:val="2"/>
          </w:tcPr>
          <w:p>
            <w:pPr>
              <w:ind w:left="1900"/>
              <w:spacing w:after="0"/>
              <w:rPr>
                <w:sz w:val="20"/>
                <w:szCs w:val="20"/>
                <w:color w:val="auto"/>
              </w:rPr>
            </w:pPr>
            <w:r>
              <w:rPr>
                <w:rFonts w:ascii="Arial" w:cs="Arial" w:eastAsia="Arial" w:hAnsi="Arial"/>
                <w:sz w:val="14"/>
                <w:szCs w:val="14"/>
                <w:b w:val="1"/>
                <w:bCs w:val="1"/>
                <w:color w:val="auto"/>
              </w:rPr>
              <w:t>Annual Base Rent Rate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7"/>
        </w:trPr>
        <w:tc>
          <w:tcPr>
            <w:tcW w:w="2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jc w:val="right"/>
              <w:ind w:right="494"/>
              <w:spacing w:after="0" w:line="147" w:lineRule="exact"/>
              <w:rPr>
                <w:sz w:val="20"/>
                <w:szCs w:val="20"/>
                <w:color w:val="auto"/>
              </w:rPr>
            </w:pPr>
            <w:r>
              <w:rPr>
                <w:rFonts w:ascii="Arial" w:cs="Arial" w:eastAsia="Arial" w:hAnsi="Arial"/>
                <w:sz w:val="14"/>
                <w:szCs w:val="14"/>
                <w:b w:val="1"/>
                <w:bCs w:val="1"/>
                <w:color w:val="auto"/>
                <w:w w:val="92"/>
              </w:rPr>
              <w:t>Per Square Foot of</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3"/>
        </w:trPr>
        <w:tc>
          <w:tcPr>
            <w:tcW w:w="288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760" w:type="dxa"/>
            <w:vAlign w:val="bottom"/>
            <w:gridSpan w:val="2"/>
          </w:tcPr>
          <w:p>
            <w:pPr>
              <w:ind w:left="1940"/>
              <w:spacing w:after="0"/>
              <w:rPr>
                <w:sz w:val="20"/>
                <w:szCs w:val="20"/>
                <w:color w:val="auto"/>
              </w:rPr>
            </w:pPr>
            <w:r>
              <w:rPr>
                <w:rFonts w:ascii="Arial" w:cs="Arial" w:eastAsia="Arial" w:hAnsi="Arial"/>
                <w:sz w:val="14"/>
                <w:szCs w:val="14"/>
                <w:b w:val="1"/>
                <w:bCs w:val="1"/>
                <w:color w:val="auto"/>
              </w:rPr>
              <w:t>Rentable Floor Area *</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w w:val="95"/>
              </w:rPr>
              <w:t>Monthly Base Rent</w:t>
            </w:r>
          </w:p>
        </w:tc>
      </w:tr>
      <w:tr>
        <w:trPr>
          <w:trHeight w:val="21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Year 1:</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86.00</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120,027.33</w:t>
            </w:r>
          </w:p>
        </w:tc>
      </w:tr>
      <w:tr>
        <w:trPr>
          <w:trHeight w:val="214"/>
        </w:trPr>
        <w:tc>
          <w:tcPr>
            <w:tcW w:w="2880" w:type="dxa"/>
            <w:vAlign w:val="bottom"/>
          </w:tcPr>
          <w:p>
            <w:pPr>
              <w:spacing w:after="0"/>
              <w:rPr>
                <w:sz w:val="20"/>
                <w:szCs w:val="20"/>
                <w:color w:val="auto"/>
              </w:rPr>
            </w:pPr>
            <w:r>
              <w:rPr>
                <w:rFonts w:ascii="Arial" w:cs="Arial" w:eastAsia="Arial" w:hAnsi="Arial"/>
                <w:sz w:val="18"/>
                <w:szCs w:val="18"/>
                <w:color w:val="auto"/>
              </w:rPr>
              <w:t>Lease Year 2:</w:t>
            </w:r>
          </w:p>
        </w:tc>
        <w:tc>
          <w:tcPr>
            <w:tcW w:w="2000" w:type="dxa"/>
            <w:vAlign w:val="bottom"/>
          </w:tcPr>
          <w:p>
            <w:pPr>
              <w:ind w:left="190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54"/>
              <w:spacing w:after="0"/>
              <w:rPr>
                <w:sz w:val="20"/>
                <w:szCs w:val="20"/>
                <w:color w:val="auto"/>
              </w:rPr>
            </w:pPr>
            <w:r>
              <w:rPr>
                <w:rFonts w:ascii="Arial" w:cs="Arial" w:eastAsia="Arial" w:hAnsi="Arial"/>
                <w:sz w:val="18"/>
                <w:szCs w:val="18"/>
                <w:color w:val="auto"/>
              </w:rPr>
              <w:t>88.58</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123,628.15</w:t>
            </w:r>
          </w:p>
        </w:tc>
      </w:tr>
      <w:tr>
        <w:trPr>
          <w:trHeight w:val="21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Year 3:</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91.24</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127,337.00</w:t>
            </w:r>
          </w:p>
        </w:tc>
      </w:tr>
      <w:tr>
        <w:trPr>
          <w:trHeight w:val="214"/>
        </w:trPr>
        <w:tc>
          <w:tcPr>
            <w:tcW w:w="2880" w:type="dxa"/>
            <w:vAlign w:val="bottom"/>
          </w:tcPr>
          <w:p>
            <w:pPr>
              <w:spacing w:after="0"/>
              <w:rPr>
                <w:sz w:val="20"/>
                <w:szCs w:val="20"/>
                <w:color w:val="auto"/>
              </w:rPr>
            </w:pPr>
            <w:r>
              <w:rPr>
                <w:rFonts w:ascii="Arial" w:cs="Arial" w:eastAsia="Arial" w:hAnsi="Arial"/>
                <w:sz w:val="18"/>
                <w:szCs w:val="18"/>
                <w:color w:val="auto"/>
              </w:rPr>
              <w:t>Lease Year 4:</w:t>
            </w:r>
          </w:p>
        </w:tc>
        <w:tc>
          <w:tcPr>
            <w:tcW w:w="2000" w:type="dxa"/>
            <w:vAlign w:val="bottom"/>
          </w:tcPr>
          <w:p>
            <w:pPr>
              <w:ind w:left="190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54"/>
              <w:spacing w:after="0"/>
              <w:rPr>
                <w:sz w:val="20"/>
                <w:szCs w:val="20"/>
                <w:color w:val="auto"/>
              </w:rPr>
            </w:pPr>
            <w:r>
              <w:rPr>
                <w:rFonts w:ascii="Arial" w:cs="Arial" w:eastAsia="Arial" w:hAnsi="Arial"/>
                <w:sz w:val="18"/>
                <w:szCs w:val="18"/>
                <w:color w:val="auto"/>
              </w:rPr>
              <w:t>93.97</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131,157.11</w:t>
            </w:r>
          </w:p>
        </w:tc>
      </w:tr>
      <w:tr>
        <w:trPr>
          <w:trHeight w:val="21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Year 5:</w:t>
            </w:r>
          </w:p>
        </w:tc>
        <w:tc>
          <w:tcPr>
            <w:tcW w:w="200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96.79</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135,091.82</w:t>
            </w:r>
          </w:p>
        </w:tc>
      </w:tr>
    </w:tbl>
    <w:p>
      <w:pPr>
        <w:spacing w:after="0" w:line="9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As used above, the first “</w:t>
      </w:r>
      <w:r>
        <w:rPr>
          <w:rFonts w:ascii="Arial" w:cs="Arial" w:eastAsia="Arial" w:hAnsi="Arial"/>
          <w:sz w:val="17"/>
          <w:szCs w:val="17"/>
          <w:u w:val="single" w:color="auto"/>
          <w:color w:val="auto"/>
        </w:rPr>
        <w:t>Lease Year</w:t>
      </w:r>
      <w:r>
        <w:rPr>
          <w:rFonts w:ascii="Arial" w:cs="Arial" w:eastAsia="Arial" w:hAnsi="Arial"/>
          <w:sz w:val="17"/>
          <w:szCs w:val="17"/>
          <w:color w:val="auto"/>
        </w:rPr>
        <w:t>” shall commence on the Term Commencement Date and end on the day immediately preceding the first anniversary of the Rent Commencement Date (provided that if the Rent Commencement Date does not occur on the first day of a calendar month, the first Lease Year shall further include the balance of the calendar month such first anniversary occurs), and each subsequent Lease Year shall mean each successive period of twelve (12) calendar months following the first Lease Year during the initial Term, provided that the last Lease Year of the initial Term shall end on the Term Expiration Date set forth above for the initial Term.</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480" w:top="268" w:right="559" w:bottom="1440" w:gutter="0" w:footer="0" w:header="0"/>
        </w:sectPr>
      </w:pPr>
    </w:p>
    <w:bookmarkStart w:id="602" w:name="page603"/>
    <w:bookmarkEnd w:id="602"/>
    <w:p>
      <w:pPr>
        <w:ind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1.09 “</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shall mean 11.17%, as such percentage may be adjusted from time to time to reflect changes in the Premises or the Building; provided, however, Tenant’s Proportionate Share shall not be subject to increase during the initial Term due to any changes in the Building.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Exhibit F</w:t>
      </w:r>
    </w:p>
    <w:p>
      <w:pPr>
        <w:spacing w:after="0" w:line="127" w:lineRule="exact"/>
        <w:rPr>
          <w:sz w:val="20"/>
          <w:szCs w:val="20"/>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Parking</w:t>
      </w:r>
    </w:p>
    <w:p>
      <w:pPr>
        <w:spacing w:after="0" w:line="19" w:lineRule="exact"/>
        <w:rPr>
          <w:rFonts w:ascii="Arial" w:cs="Arial" w:eastAsia="Arial" w:hAnsi="Arial"/>
          <w:sz w:val="18"/>
          <w:szCs w:val="18"/>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Extension Option</w:t>
      </w:r>
    </w:p>
    <w:p>
      <w:pPr>
        <w:spacing w:after="0" w:line="6" w:lineRule="exact"/>
        <w:rPr>
          <w:rFonts w:ascii="Arial" w:cs="Arial" w:eastAsia="Arial" w:hAnsi="Arial"/>
          <w:sz w:val="18"/>
          <w:szCs w:val="18"/>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Hazardous Materials</w:t>
      </w:r>
    </w:p>
    <w:p>
      <w:pPr>
        <w:spacing w:after="0" w:line="6" w:lineRule="exact"/>
        <w:rPr>
          <w:rFonts w:ascii="Arial" w:cs="Arial" w:eastAsia="Arial" w:hAnsi="Arial"/>
          <w:sz w:val="18"/>
          <w:szCs w:val="18"/>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Roof Rights</w:t>
      </w:r>
    </w:p>
    <w:p>
      <w:pPr>
        <w:spacing w:after="0" w:line="6" w:lineRule="exact"/>
        <w:rPr>
          <w:rFonts w:ascii="Arial" w:cs="Arial" w:eastAsia="Arial" w:hAnsi="Arial"/>
          <w:sz w:val="18"/>
          <w:szCs w:val="18"/>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Emergency Generator</w:t>
      </w:r>
    </w:p>
    <w:p>
      <w:pPr>
        <w:spacing w:after="0" w:line="6" w:lineRule="exact"/>
        <w:rPr>
          <w:rFonts w:ascii="Arial" w:cs="Arial" w:eastAsia="Arial" w:hAnsi="Arial"/>
          <w:sz w:val="18"/>
          <w:szCs w:val="18"/>
          <w:color w:val="auto"/>
        </w:rPr>
      </w:pPr>
    </w:p>
    <w:p>
      <w:pPr>
        <w:ind w:left="1420" w:hanging="436"/>
        <w:spacing w:after="0"/>
        <w:tabs>
          <w:tab w:leader="none" w:pos="14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Negative Conditions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shall mean the letter of credit in the amount of $960,218.67, as provided in Section 6 and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attached hereto.</w:t>
      </w:r>
    </w:p>
    <w:p>
      <w:pPr>
        <w:spacing w:after="0" w:line="137"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Brokers</w:t>
      </w:r>
      <w:r>
        <w:rPr>
          <w:rFonts w:ascii="Arial" w:cs="Arial" w:eastAsia="Arial" w:hAnsi="Arial"/>
          <w:sz w:val="18"/>
          <w:szCs w:val="18"/>
          <w:color w:val="auto"/>
        </w:rPr>
        <w:t>”: CBRE, which represented Landlord (“</w:t>
      </w:r>
      <w:r>
        <w:rPr>
          <w:rFonts w:ascii="Arial" w:cs="Arial" w:eastAsia="Arial" w:hAnsi="Arial"/>
          <w:sz w:val="18"/>
          <w:szCs w:val="18"/>
          <w:u w:val="single" w:color="auto"/>
          <w:color w:val="auto"/>
        </w:rPr>
        <w:t>Landlord’s Broker</w:t>
      </w:r>
      <w:r>
        <w:rPr>
          <w:rFonts w:ascii="Arial" w:cs="Arial" w:eastAsia="Arial" w:hAnsi="Arial"/>
          <w:sz w:val="18"/>
          <w:szCs w:val="18"/>
          <w:color w:val="auto"/>
        </w:rPr>
        <w:t>”), and Newmark Knight Frank, which represented Tenant (“</w:t>
      </w:r>
      <w:r>
        <w:rPr>
          <w:rFonts w:ascii="Arial" w:cs="Arial" w:eastAsia="Arial" w:hAnsi="Arial"/>
          <w:sz w:val="18"/>
          <w:szCs w:val="18"/>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Broker</w:t>
      </w:r>
      <w:r>
        <w:rPr>
          <w:rFonts w:ascii="Arial" w:cs="Arial" w:eastAsia="Arial" w:hAnsi="Arial"/>
          <w:sz w:val="18"/>
          <w:szCs w:val="18"/>
          <w:color w:val="auto"/>
        </w:rPr>
        <w:t>”), in connection with this Lease.</w:t>
      </w:r>
    </w:p>
    <w:p>
      <w:pPr>
        <w:spacing w:after="0" w:line="68" w:lineRule="exact"/>
        <w:rPr>
          <w:sz w:val="20"/>
          <w:szCs w:val="20"/>
          <w:color w:val="auto"/>
        </w:rPr>
      </w:pPr>
    </w:p>
    <w:p>
      <w:pPr>
        <w:ind w:right="120" w:firstLine="436"/>
        <w:spacing w:after="0" w:line="301"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Permitted Use</w:t>
      </w:r>
      <w:r>
        <w:rPr>
          <w:rFonts w:ascii="Arial" w:cs="Arial" w:eastAsia="Arial" w:hAnsi="Arial"/>
          <w:sz w:val="17"/>
          <w:szCs w:val="17"/>
          <w:color w:val="auto"/>
        </w:rPr>
        <w:t>”: Subject to applicable Laws (as defined below), including applicable City of Boston zoning rules and regulations, and the terms set forth herein, general office, research and development and laboratory uses, and any ancillary uses thereto.</w:t>
      </w:r>
    </w:p>
    <w:p>
      <w:pPr>
        <w:sectPr>
          <w:pgSz w:w="11900" w:h="16838" w:orient="portrait"/>
          <w:cols w:equalWidth="0" w:num="1">
            <w:col w:w="10780"/>
          </w:cols>
          <w:pgMar w:left="480" w:top="273" w:right="639" w:bottom="1440" w:gutter="0" w:footer="0" w:header="0"/>
        </w:sectPr>
      </w:pP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Notice Address(es)</w:t>
      </w:r>
      <w:r>
        <w:rPr>
          <w:rFonts w:ascii="Arial" w:cs="Arial" w:eastAsia="Arial" w:hAnsi="Arial"/>
          <w:sz w:val="18"/>
          <w:szCs w:val="18"/>
          <w:color w:val="auto"/>
        </w:rPr>
        <w:t>”:</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For Landlord:</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OPG MP Parcel Owner (DE) LLC</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 Oxford Properties Group</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125 Summer Street</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Leasing</w:t>
      </w:r>
    </w:p>
    <w:p>
      <w:pPr>
        <w:spacing w:after="0" w:line="7"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Email: AMondani@oxfordproperties.com</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OPG MP Parcel Owner (DE) LLC</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 Oxford Properties Group</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125 Summer Street</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Boston, Massachusetts 02110</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Legal</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Email: KBinck@oxfordproperties.com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For Tenant: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Prior to the Term Commencement Date</w:t>
      </w:r>
      <w:r>
        <w:rPr>
          <w:rFonts w:ascii="Arial" w:cs="Arial" w:eastAsia="Arial" w:hAnsi="Arial"/>
          <w:sz w:val="18"/>
          <w:szCs w:val="18"/>
          <w:color w:val="auto"/>
        </w:rPr>
        <w:t>:</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40 Guest Street</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Boston, MA 02135</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mwarmuth@monterosatx.com</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ap@monterosatx.com</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and after the Term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2540</wp:posOffset>
            </wp:positionV>
            <wp:extent cx="21164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spacing w:after="0" w:line="130"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645 Summer Street, Suite 102</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Boston, MA 02210</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mwarmuth@monterosatx.com</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ap@monterosatx.com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700" w:space="720"/>
            <w:col w:w="5360"/>
          </w:cols>
          <w:pgMar w:left="480" w:top="273" w:right="639" w:bottom="1440" w:gutter="0" w:footer="0" w:header="0"/>
          <w:type w:val="continuous"/>
        </w:sectPr>
      </w:pPr>
    </w:p>
    <w:bookmarkStart w:id="603" w:name="page604"/>
    <w:bookmarkEnd w:id="603"/>
    <w:p>
      <w:pPr>
        <w:ind w:right="22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1.15 “</w:t>
      </w:r>
      <w:r>
        <w:rPr>
          <w:rFonts w:ascii="Arial" w:cs="Arial" w:eastAsia="Arial" w:hAnsi="Arial"/>
          <w:sz w:val="16"/>
          <w:szCs w:val="16"/>
          <w:u w:val="single" w:color="auto"/>
          <w:color w:val="auto"/>
        </w:rPr>
        <w:t>Business Day(s)</w:t>
      </w:r>
      <w:r>
        <w:rPr>
          <w:rFonts w:ascii="Arial" w:cs="Arial" w:eastAsia="Arial" w:hAnsi="Arial"/>
          <w:sz w:val="16"/>
          <w:szCs w:val="16"/>
          <w:color w:val="auto"/>
        </w:rPr>
        <w:t>” are Monday through Friday of each week, exclusive of New Year’s Day, Presidents Day, Memorial Day, Independence Day, Labor Day, Thanksgiving Day and Christmas Day (“</w:t>
      </w:r>
      <w:r>
        <w:rPr>
          <w:rFonts w:ascii="Arial" w:cs="Arial" w:eastAsia="Arial" w:hAnsi="Arial"/>
          <w:sz w:val="16"/>
          <w:szCs w:val="16"/>
          <w:u w:val="single" w:color="auto"/>
          <w:color w:val="auto"/>
        </w:rPr>
        <w:t>Holidays</w:t>
      </w:r>
      <w:r>
        <w:rPr>
          <w:rFonts w:ascii="Arial" w:cs="Arial" w:eastAsia="Arial" w:hAnsi="Arial"/>
          <w:sz w:val="16"/>
          <w:szCs w:val="16"/>
          <w:color w:val="auto"/>
        </w:rPr>
        <w:t>”). “</w:t>
      </w:r>
      <w:r>
        <w:rPr>
          <w:rFonts w:ascii="Arial" w:cs="Arial" w:eastAsia="Arial" w:hAnsi="Arial"/>
          <w:sz w:val="16"/>
          <w:szCs w:val="16"/>
          <w:u w:val="single" w:color="auto"/>
          <w:color w:val="auto"/>
        </w:rPr>
        <w:t>Building Service Hours</w:t>
      </w:r>
      <w:r>
        <w:rPr>
          <w:rFonts w:ascii="Arial" w:cs="Arial" w:eastAsia="Arial" w:hAnsi="Arial"/>
          <w:sz w:val="16"/>
          <w:szCs w:val="16"/>
          <w:color w:val="auto"/>
        </w:rPr>
        <w:t>” are 8:00 A.M. to 6:00 P.M. on Business Days.</w:t>
      </w:r>
    </w:p>
    <w:p>
      <w:pPr>
        <w:spacing w:after="0" w:line="21"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Property</w:t>
      </w:r>
      <w:r>
        <w:rPr>
          <w:rFonts w:ascii="Arial" w:cs="Arial" w:eastAsia="Arial" w:hAnsi="Arial"/>
          <w:sz w:val="18"/>
          <w:szCs w:val="18"/>
          <w:color w:val="auto"/>
        </w:rPr>
        <w:t>” means the Building and the parcel(s) of land on which it is located and, at Landlord’s reasonable discretion, the parking facilities and other improvements, if any, serving the Building, and the parcel(s) of land on which they are located.</w:t>
      </w:r>
    </w:p>
    <w:p>
      <w:pPr>
        <w:spacing w:after="0" w:line="68" w:lineRule="exact"/>
        <w:rPr>
          <w:sz w:val="20"/>
          <w:szCs w:val="20"/>
          <w:color w:val="auto"/>
        </w:rPr>
      </w:pPr>
    </w:p>
    <w:p>
      <w:pPr>
        <w:ind w:right="60" w:firstLine="436"/>
        <w:spacing w:after="0" w:line="301"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Other Defined Terms</w:t>
      </w:r>
      <w:r>
        <w:rPr>
          <w:rFonts w:ascii="Arial" w:cs="Arial" w:eastAsia="Arial" w:hAnsi="Arial"/>
          <w:sz w:val="17"/>
          <w:szCs w:val="17"/>
          <w:color w:val="auto"/>
        </w:rPr>
        <w:t>: Other capitalized terms shall have the meanings set forth in the Lease and its Exhibits below. References in this Lease to numbered Sections shall be deemed to refer to the numbered Sections of this Lease, unless otherwise specified.</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and attachments are incorporated into and made a part of this Lease: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(Outline and Location of Premises)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(Expenses and Taxes)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(Work Letter)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(Commencement Letter)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(Building Rules and Regulations)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(Additional Provisions)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(Letter of Credit)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[Intentionally Deleted]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(Form of NDA)</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(Baseline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 Grant.</w:t>
      </w:r>
    </w:p>
    <w:p>
      <w:pPr>
        <w:spacing w:after="0" w:line="118" w:lineRule="exact"/>
        <w:rPr>
          <w:sz w:val="20"/>
          <w:szCs w:val="20"/>
          <w:color w:val="auto"/>
        </w:rPr>
      </w:pPr>
    </w:p>
    <w:p>
      <w:pPr>
        <w:ind w:right="240" w:firstLine="436"/>
        <w:spacing w:after="0" w:line="293"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Premises</w:t>
      </w:r>
      <w:r>
        <w:rPr>
          <w:rFonts w:ascii="Arial" w:cs="Arial" w:eastAsia="Arial" w:hAnsi="Arial"/>
          <w:sz w:val="16"/>
          <w:szCs w:val="16"/>
          <w:color w:val="auto"/>
        </w:rPr>
        <w:t>. Landlord hereby leases the Premises to Tenant and Tenant hereby leases the Premises from Landlord. The Premises exclude the exterior faces of exterior walls, the common stairways and stairwells, elevators and elevator wells, fan rooms, electric and telephone closets, janitor closets, freight elevator vestibules, and pipes, ducts, conduits, wires and appurtenant fixtures serving other parts of the Building (exclusively or in common), and other Common Areas (as defined below) of the Building. If the Premises include the entire rentable area of any floor, the common corridors, elevator lobby, and restroom facilities located on such full floor(s) shall be considered part of the Premises.</w:t>
      </w:r>
    </w:p>
    <w:p>
      <w:pPr>
        <w:spacing w:after="0" w:line="54"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Appurtenant Rights</w:t>
      </w:r>
      <w:r>
        <w:rPr>
          <w:rFonts w:ascii="Arial" w:cs="Arial" w:eastAsia="Arial" w:hAnsi="Arial"/>
          <w:sz w:val="17"/>
          <w:szCs w:val="17"/>
          <w:color w:val="auto"/>
        </w:rPr>
        <w:t>. During the Term, Tenant shall have, as appurtenant to the Premises, the non-exclusive rights to use in common (subject to reasonable rules of general applicability to tenants and other users of the Building from time to time made by Landlord of which Tenant is given prior notice): (a) the common lobbies, corridors, stairways, elevators and loading platform of the Building, and the pipes, ducts, conduits, wires and appurtenant meters and equipment serving the Premises in common with others; (b) common driveways and walkways necessary for access to the Building; (c) if the Premises include less than the entire rentable floor area of any floor, the common corridors, elevator lobby, and restroom facilities located on such floor; and (d) all other areas or facilities in or about the Building from time to time designated for general use in common by Tenant, other Building tenants, and Landlord (collectively, the “</w:t>
      </w:r>
      <w:r>
        <w:rPr>
          <w:rFonts w:ascii="Arial" w:cs="Arial" w:eastAsia="Arial" w:hAnsi="Arial"/>
          <w:sz w:val="17"/>
          <w:szCs w:val="17"/>
          <w:u w:val="single" w:color="auto"/>
          <w:color w:val="auto"/>
        </w:rPr>
        <w:t>Common Areas</w:t>
      </w:r>
      <w:r>
        <w:rPr>
          <w:rFonts w:ascii="Arial" w:cs="Arial" w:eastAsia="Arial" w:hAnsi="Arial"/>
          <w:sz w:val="17"/>
          <w:szCs w:val="17"/>
          <w:color w:val="auto"/>
        </w:rPr>
        <w: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72" w:right="55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 Term and Commencement Date.</w:t>
      </w:r>
    </w:p>
    <w:p>
      <w:pPr>
        <w:spacing w:after="0" w:line="118"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Term</w:t>
      </w:r>
      <w:r>
        <w:rPr>
          <w:rFonts w:ascii="Arial" w:cs="Arial" w:eastAsia="Arial" w:hAnsi="Arial"/>
          <w:sz w:val="18"/>
          <w:szCs w:val="18"/>
          <w:color w:val="auto"/>
        </w:rPr>
        <w:t>. The “</w:t>
      </w:r>
      <w:r>
        <w:rPr>
          <w:rFonts w:ascii="Arial" w:cs="Arial" w:eastAsia="Arial" w:hAnsi="Arial"/>
          <w:sz w:val="18"/>
          <w:szCs w:val="18"/>
          <w:u w:val="single" w:color="auto"/>
          <w:color w:val="auto"/>
        </w:rPr>
        <w:t>Term</w:t>
      </w:r>
      <w:r>
        <w:rPr>
          <w:rFonts w:ascii="Arial" w:cs="Arial" w:eastAsia="Arial" w:hAnsi="Arial"/>
          <w:sz w:val="18"/>
          <w:szCs w:val="18"/>
          <w:color w:val="auto"/>
        </w:rPr>
        <w:t>” of this Lease shall begin at 12:01 a.m. on the earlier to occur of the following dates under clauses (a) or (b), which date shall be the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w:t>
      </w:r>
    </w:p>
    <w:p>
      <w:pPr>
        <w:spacing w:after="0" w:line="68" w:lineRule="exact"/>
        <w:rPr>
          <w:sz w:val="20"/>
          <w:szCs w:val="20"/>
          <w:color w:val="auto"/>
        </w:rPr>
      </w:pPr>
    </w:p>
    <w:p>
      <w:pPr>
        <w:ind w:right="40" w:firstLine="990"/>
        <w:spacing w:after="0" w:line="281" w:lineRule="auto"/>
        <w:tabs>
          <w:tab w:leader="none" w:pos="122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 xml:space="preserve">the date on which Tenant first enters into possession of all or any portion of the Premises for the regular conduct of its business. (The event described in the prior sentence shall not be deemed to occur by virtue of any entry by Tenant into the Premises under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for the installation or testing of Tenant’s computers or other equipment, or the installation of other property of Tenant in the Premises); or</w:t>
      </w:r>
    </w:p>
    <w:p>
      <w:pPr>
        <w:spacing w:after="0" w:line="62" w:lineRule="exact"/>
        <w:rPr>
          <w:rFonts w:ascii="Arial" w:cs="Arial" w:eastAsia="Arial" w:hAnsi="Arial"/>
          <w:sz w:val="17"/>
          <w:szCs w:val="17"/>
          <w:color w:val="auto"/>
        </w:rPr>
      </w:pPr>
    </w:p>
    <w:p>
      <w:pPr>
        <w:ind w:right="200" w:firstLine="990"/>
        <w:spacing w:after="0" w:line="267" w:lineRule="auto"/>
        <w:tabs>
          <w:tab w:leader="none" w:pos="123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 xml:space="preserve">the date Landlord delivers the Premises to Tenant (i) vacant and broom clean, (ii) with the Base Building Work and the Initial Tenant Work substantially completed in accordance with, and subject to, the provisions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and (iii) with the Building systems and equipment serving the Premises in good working order and condition, but otherwise in the existing “as-is” condition of the Premises (collectively, the “</w:t>
      </w:r>
      <w:r>
        <w:rPr>
          <w:rFonts w:ascii="Arial" w:cs="Arial" w:eastAsia="Arial" w:hAnsi="Arial"/>
          <w:sz w:val="17"/>
          <w:szCs w:val="17"/>
          <w:u w:val="single" w:color="auto"/>
          <w:color w:val="auto"/>
        </w:rPr>
        <w:t>Delivery Condition</w:t>
      </w:r>
      <w:r>
        <w:rPr>
          <w:rFonts w:ascii="Arial" w:cs="Arial" w:eastAsia="Arial" w:hAnsi="Arial"/>
          <w:sz w:val="17"/>
          <w:szCs w:val="17"/>
          <w:color w:val="auto"/>
        </w:rPr>
        <w:t xml:space="preserve">”). The date on which the Premises are delivered to Tenant in the </w:t>
      </w:r>
      <w:r>
        <w:rPr>
          <w:rFonts w:ascii="Arial" w:cs="Arial" w:eastAsia="Arial" w:hAnsi="Arial"/>
          <w:sz w:val="17"/>
          <w:szCs w:val="17"/>
          <w:u w:val="single" w:color="auto"/>
          <w:color w:val="auto"/>
        </w:rPr>
        <w:t>Delivery Condition</w:t>
      </w:r>
      <w:r>
        <w:rPr>
          <w:rFonts w:ascii="Arial" w:cs="Arial" w:eastAsia="Arial" w:hAnsi="Arial"/>
          <w:sz w:val="17"/>
          <w:szCs w:val="17"/>
          <w:color w:val="auto"/>
        </w:rPr>
        <w:t xml:space="preserve"> shall be the “Delivery Date”. Landlord shall provide bi-weekly updates to Tenant of progress in performing the Base Building Work and the Initial Tenant Work and the estimated delivery of the Premises to Tenant and shall use commercially reasonable efforts to provide at least fifteen (15) Business Days’ advance notice to Tenant of the Delivery Date. As of the Effective Date, Landlord has not received any written notice that the Premises are in violation of applicable Laws, including without limitation, the Environmental, Health and Safety Laws (as defined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and the Americans with Disabilities Act. Landlord shall perform all Base Building Work and Initial Tenant Work in compliance with all applicable Laws, including without limitation, the Environmental, Health and Safety Laws and the Americans with Disabilities Act.</w:t>
      </w:r>
    </w:p>
    <w:p>
      <w:pPr>
        <w:spacing w:after="0" w:line="179"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The Term of this Lease shall end at 11:59 p.m. on the Term Expiration Date set forth in Section 1, unless sooner terminated in accordance with the provisions of this Lease. Promptly after the determination of the Term Commencement Date, Landlord and Tenant shall execute and deliver a commencement letter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Commencement Letter</w:t>
      </w:r>
      <w:r>
        <w:rPr>
          <w:rFonts w:ascii="Arial" w:cs="Arial" w:eastAsia="Arial" w:hAnsi="Arial"/>
          <w:sz w:val="18"/>
          <w:szCs w:val="18"/>
          <w:color w:val="auto"/>
        </w:rPr>
        <w:t>”). Tenant’s failure to execute and return the Commencement Letter, or to provide written objection to the statements contained in the Commencement Letter, within thirty (30) days after Tenant’s receipt of the same shall be deemed an approval by Tenant of the statements contained therein.</w:t>
      </w:r>
    </w:p>
    <w:p>
      <w:pPr>
        <w:spacing w:after="0" w:line="86" w:lineRule="exact"/>
        <w:rPr>
          <w:sz w:val="20"/>
          <w:szCs w:val="20"/>
          <w:color w:val="auto"/>
        </w:rPr>
      </w:pPr>
    </w:p>
    <w:p>
      <w:pPr>
        <w:ind w:right="80" w:firstLine="436"/>
        <w:spacing w:after="0" w:line="272"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Initial Tenant Work</w:t>
      </w:r>
      <w:r>
        <w:rPr>
          <w:rFonts w:ascii="Arial" w:cs="Arial" w:eastAsia="Arial" w:hAnsi="Arial"/>
          <w:sz w:val="17"/>
          <w:szCs w:val="17"/>
          <w:color w:val="auto"/>
        </w:rPr>
        <w:t>. As used herein, the “</w:t>
      </w:r>
      <w:r>
        <w:rPr>
          <w:rFonts w:ascii="Arial" w:cs="Arial" w:eastAsia="Arial" w:hAnsi="Arial"/>
          <w:sz w:val="17"/>
          <w:szCs w:val="17"/>
          <w:u w:val="single" w:color="auto"/>
          <w:color w:val="auto"/>
        </w:rPr>
        <w:t>Initial Tenant Work</w:t>
      </w:r>
      <w:r>
        <w:rPr>
          <w:rFonts w:ascii="Arial" w:cs="Arial" w:eastAsia="Arial" w:hAnsi="Arial"/>
          <w:sz w:val="17"/>
          <w:szCs w:val="17"/>
          <w:color w:val="auto"/>
        </w:rPr>
        <w:t xml:space="preserve">” shall mean all Alterations (as defined in Section 8) performed, or to be performed, in or about the Premises that are required initially to put the Premises in condition suitable for Tenant’s use and occupancy, which consist of the work listed in the “Landlord” column and identified as “Initial Tenant Work” on the Responsibility Matrix attached as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and as depicted on the plan attached as </w:t>
      </w:r>
      <w:r>
        <w:rPr>
          <w:rFonts w:ascii="Arial" w:cs="Arial" w:eastAsia="Arial" w:hAnsi="Arial"/>
          <w:sz w:val="17"/>
          <w:szCs w:val="17"/>
          <w:u w:val="single" w:color="auto"/>
          <w:color w:val="auto"/>
        </w:rPr>
        <w:t>Schedule C-3</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The Initial Tenant Work shall be performed by Landlord in accordance with, and subject to, the provisions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68" w:right="519" w:bottom="1440" w:gutter="0" w:footer="0" w:header="0"/>
        </w:sectPr>
      </w:pPr>
    </w:p>
    <w:bookmarkStart w:id="605" w:name="page606"/>
    <w:bookmarkEnd w:id="605"/>
    <w:p>
      <w:pPr>
        <w:ind w:firstLine="43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3.03 </w:t>
      </w: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Landlord shall not be liable for any delay or failure to deliver possession of the Premises or any other space due to the holdover or unlawful possession of such space by another party or other reason, provided, however, Landlord shall use reasonable efforts to obtain possession of any such space. Landlord shall use commercially reasonable efforts to substantially complete the Base Building Work and the Initial Tenant Work on or before the Estimated Term Commencement Date, subject to any Tenant Delays and Force Majeure delays. Any delay in the delivery of the Premises or in the occurrence of the Term Commencement Date shall not give rise to any liability or default by Landlord or affect any of the terms of this Lease or Tenant’s obligation to accept the Premises when delivered, except as expressly set forth in Section 3.01 or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as the case may be. Notwithstanding the foregoing, (i) if the Delivery Date does not occur by the date that is thirty (30) days after the Estimated Term Commencement Date (as extended by delays caused by Tenant or Force Majeure), then Tenant shall receive an abatement of Rent in an amount equal to one (1) day’s Rent for each day the Delivery Date is delayed beyond such thirty (30) day period; (ii) if the Delivery Date does not occur by the date that is ninety (90) days after the Estimated Term Commencement Date (as extended by delays caused by Tenant or Force Majeure), then the foregoing abatement shall increase to an amount equal to two (2) days’ Rent for each day the Delivery Date is delayed beyond such ninety (90) day period; and (iii) if the Delivery Date does not occur by the date that is one hundred fifty (150) days after the Estimated Term Commencement Date (as extended by delays caused by Tenant or Force Majeure), then Tenant shall have the right to terminate this Lease by delivering written notice thereof to Landlord within thirty (30) days after such one hundred fifty (150) day period, provided that if Tenant does not exercise its termination right within such thirty (30) day period, then Tenant’s termination right shall be deemed waived and Tenant shall not be entitled to any further termination in connection with a Delivery Date delay as of the expiration of such thirty (30) day period. Except as otherwise provided in this Lease (including what is permitted pursuant to </w:t>
      </w:r>
      <w:r>
        <w:rPr>
          <w:rFonts w:ascii="Arial" w:cs="Arial" w:eastAsia="Arial" w:hAnsi="Arial"/>
          <w:sz w:val="16"/>
          <w:szCs w:val="16"/>
          <w:u w:val="single" w:color="auto"/>
          <w:color w:val="auto"/>
        </w:rPr>
        <w:t>Exhibit C</w:t>
      </w:r>
      <w:r>
        <w:rPr>
          <w:rFonts w:ascii="Arial" w:cs="Arial" w:eastAsia="Arial" w:hAnsi="Arial"/>
          <w:sz w:val="16"/>
          <w:szCs w:val="16"/>
          <w:color w:val="auto"/>
        </w:rPr>
        <w:t>), Tenant shall not be permitted to take possession of or enter the Premises before the Term Commencement Date without Landlord’s permission. If Tenant takes possession of or enters the Premises before the Term Commencement Date, Tenant’s possession or entry before the Term Commencement Date shall be subject to the terms and conditions of this Lease; provided, however, except for the cost of services used or requested by Tenant (excluding any utilities, and to the extent applicable as provided in Section 7.01 below, any loading dock charges), Tenant shall not be required to pay Rent for any such possession or entry before the Term Commencement Date during which Tenant, with Landlord’s approval, has entered, or is in possession of, the Premises for the sole purpose of performing improvements or installing furniture, equipment or other personal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Rent.</w:t>
      </w:r>
    </w:p>
    <w:p>
      <w:pPr>
        <w:spacing w:after="0" w:line="118" w:lineRule="exact"/>
        <w:rPr>
          <w:sz w:val="20"/>
          <w:szCs w:val="20"/>
          <w:color w:val="auto"/>
        </w:rPr>
      </w:pPr>
    </w:p>
    <w:p>
      <w:pPr>
        <w:ind w:right="80" w:firstLine="436"/>
        <w:spacing w:after="0" w:line="253"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Base Rent and Additional Rent</w:t>
      </w:r>
      <w:r>
        <w:rPr>
          <w:rFonts w:ascii="Arial" w:cs="Arial" w:eastAsia="Arial" w:hAnsi="Arial"/>
          <w:sz w:val="18"/>
          <w:szCs w:val="18"/>
          <w:color w:val="auto"/>
        </w:rPr>
        <w:t xml:space="preserve">. During the Term (but subject to the following subparagraph of this Section 4.01), Tenant hereby covenants and agrees to pay to Landlord, without any setoff or deduction (except to the extent expressly set forth in this Lease), (a) all Base Rent (as provided in Section 1), (b) Tenant’s Proportionate Share of the Expenses and Taxes (as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(c) all other Additional Rent due for the Term (collectively referred to as “</w:t>
      </w:r>
      <w:r>
        <w:rPr>
          <w:rFonts w:ascii="Arial" w:cs="Arial" w:eastAsia="Arial" w:hAnsi="Arial"/>
          <w:sz w:val="18"/>
          <w:szCs w:val="18"/>
          <w:u w:val="single" w:color="auto"/>
          <w:color w:val="auto"/>
        </w:rPr>
        <w:t>Rent</w:t>
      </w:r>
      <w:r>
        <w:rPr>
          <w:rFonts w:ascii="Arial" w:cs="Arial" w:eastAsia="Arial" w:hAnsi="Arial"/>
          <w:sz w:val="18"/>
          <w:szCs w:val="18"/>
          <w:color w:val="auto"/>
        </w:rPr>
        <w:t>”). “</w:t>
      </w:r>
      <w:r>
        <w:rPr>
          <w:rFonts w:ascii="Arial" w:cs="Arial" w:eastAsia="Arial" w:hAnsi="Arial"/>
          <w:sz w:val="18"/>
          <w:szCs w:val="18"/>
          <w:u w:val="single" w:color="auto"/>
          <w:color w:val="auto"/>
        </w:rPr>
        <w:t>Additional Rent</w:t>
      </w:r>
      <w:r>
        <w:rPr>
          <w:rFonts w:ascii="Arial" w:cs="Arial" w:eastAsia="Arial" w:hAnsi="Arial"/>
          <w:sz w:val="18"/>
          <w:szCs w:val="18"/>
          <w:color w:val="auto"/>
        </w:rPr>
        <w:t>” means all sums (exclusive of Base Rent) that Tenant is required to pay to Landlord from time to time under this Lease.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606" w:name="page607"/>
    <w:bookmarkEnd w:id="606"/>
    <w:p>
      <w:pPr>
        <w:ind w:right="20" w:firstLine="43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4.02 </w:t>
      </w:r>
      <w:r>
        <w:rPr>
          <w:rFonts w:ascii="Arial" w:cs="Arial" w:eastAsia="Arial" w:hAnsi="Arial"/>
          <w:sz w:val="16"/>
          <w:szCs w:val="16"/>
          <w:u w:val="single" w:color="auto"/>
          <w:color w:val="auto"/>
        </w:rPr>
        <w:t>Manner and Timing of Payments</w:t>
      </w:r>
      <w:r>
        <w:rPr>
          <w:rFonts w:ascii="Arial" w:cs="Arial" w:eastAsia="Arial" w:hAnsi="Arial"/>
          <w:sz w:val="16"/>
          <w:szCs w:val="16"/>
          <w:color w:val="auto"/>
        </w:rPr>
        <w:t>. Base Rent and other recurring monthly charges of Additional Rent shall be due and payable in advance on the first day of each calendar month without notice or demand. All other items of Rent shall be due and payable by Tenant within thirty (30) days after Tenant’s receipt of a reasonably detailed invoice thereof. Rent shall be made payable to the entity, and sent to the address, that Landlord from time to time designates for such purposes and shall be paid by Tenant by good and sufficient check payable in United States of America currency or by electronic or wire transfer to an account from time to time designated by Landlord. Landlord’s acceptance of less than the entire amount of Rent shall be considered, unless otherwise specified by Landlord, a payment on account of the oldest obligation due from Tenant hereunder, notwithstanding any statement to the contrary contained on or accompanying any such payment from Tenant. Rent for any partial month during the Term shall be prorated on a per diem basis. Tenant shall pay and be liable for all rental, sales and use taxes (but excluding income taxes), if any, imposed upon or measured by Rent. No endorsement or statement on a check or letter accompanying payment shall be considered an accord and satisfaction.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Compliance with Laws; Use.</w:t>
      </w:r>
    </w:p>
    <w:p>
      <w:pPr>
        <w:spacing w:after="0" w:line="118" w:lineRule="exact"/>
        <w:rPr>
          <w:sz w:val="20"/>
          <w:szCs w:val="20"/>
          <w:color w:val="auto"/>
        </w:rPr>
      </w:pPr>
    </w:p>
    <w:p>
      <w:pPr>
        <w:ind w:right="140" w:firstLine="436"/>
        <w:spacing w:after="0" w:line="288" w:lineRule="auto"/>
        <w:rPr>
          <w:sz w:val="20"/>
          <w:szCs w:val="20"/>
          <w:color w:val="auto"/>
        </w:rPr>
      </w:pPr>
      <w:r>
        <w:rPr>
          <w:rFonts w:ascii="Arial" w:cs="Arial" w:eastAsia="Arial" w:hAnsi="Arial"/>
          <w:sz w:val="16"/>
          <w:szCs w:val="16"/>
          <w:color w:val="auto"/>
        </w:rPr>
        <w:t xml:space="preserve">Tenant shall use the Premises only for the Permitted Use and shall not use or permit the use of the Premises for any other purpose. Tenant shall comply with all statutes, codes, ordinances, orders, rules and regulations of any municipal or governmental entity whether in effect now or later, including without limitation, the Environmental, Health and Safety Laws (as defined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and the Americans with Disabilities Act (</w:t>
      </w:r>
      <w:r>
        <w:rPr>
          <w:rFonts w:ascii="Arial" w:cs="Arial" w:eastAsia="Arial" w:hAnsi="Arial"/>
          <w:sz w:val="16"/>
          <w:szCs w:val="16"/>
          <w:u w:val="single" w:color="auto"/>
          <w:color w:val="auto"/>
        </w:rPr>
        <w:t>“Law(s)</w:t>
      </w:r>
      <w:r>
        <w:rPr>
          <w:rFonts w:ascii="Arial" w:cs="Arial" w:eastAsia="Arial" w:hAnsi="Arial"/>
          <w:sz w:val="16"/>
          <w:szCs w:val="16"/>
          <w:color w:val="auto"/>
        </w:rPr>
        <w:t xml:space="preserve">”), regarding the operation of Tenant’s business and the use and occupancy of the Premises, subject to Landlord’s delivery obligations as expressly set forth in this Lease. Without limiting the generality of the foregoing, and except as provided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Tenant shall be solely responsible for complying with all Laws that relate to operations of Tenant’s laboratory uses, and all Laws pertaining to equipment, installations and improvements used or required in connection with the operations of Tenant’s laboratory uses.</w:t>
      </w:r>
    </w:p>
    <w:p>
      <w:pPr>
        <w:spacing w:after="0" w:line="166"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Tenant shall comply with applicable laboratory practices, (including the use of safety equipment) and policies established by the Center for Disease Control and Prevention (the “</w:t>
      </w:r>
      <w:r>
        <w:rPr>
          <w:rFonts w:ascii="Arial" w:cs="Arial" w:eastAsia="Arial" w:hAnsi="Arial"/>
          <w:sz w:val="18"/>
          <w:szCs w:val="18"/>
          <w:u w:val="single" w:color="auto"/>
          <w:color w:val="auto"/>
        </w:rPr>
        <w:t>CDC</w:t>
      </w:r>
      <w:r>
        <w:rPr>
          <w:rFonts w:ascii="Arial" w:cs="Arial" w:eastAsia="Arial" w:hAnsi="Arial"/>
          <w:sz w:val="18"/>
          <w:szCs w:val="18"/>
          <w:color w:val="auto"/>
        </w:rPr>
        <w:t>”), and Tenant’s use of the Premises shall not exceed applicable Biosafety Level 2 (“</w:t>
      </w:r>
      <w:r>
        <w:rPr>
          <w:rFonts w:ascii="Arial" w:cs="Arial" w:eastAsia="Arial" w:hAnsi="Arial"/>
          <w:sz w:val="18"/>
          <w:szCs w:val="18"/>
          <w:u w:val="single" w:color="auto"/>
          <w:color w:val="auto"/>
        </w:rPr>
        <w:t>BSL-2</w:t>
      </w:r>
      <w:r>
        <w:rPr>
          <w:rFonts w:ascii="Arial" w:cs="Arial" w:eastAsia="Arial" w:hAnsi="Arial"/>
          <w:sz w:val="18"/>
          <w:szCs w:val="18"/>
          <w:color w:val="auto"/>
        </w:rPr>
        <w:t>”) requirements and protocols in effect with respect to Tenant’s use from time to time, and Tenant shall store, use and dispose of Hazardous Materials in compliance with all applicable Environmental, Health and Safety Laws.</w:t>
      </w:r>
    </w:p>
    <w:p>
      <w:pPr>
        <w:spacing w:after="0" w:line="190"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In addition, Tenant shall, at its sole cost and expense, promptly comply with any Laws that relate to the Base Building (defined below), but only to the extent such obligations are triggered by (i) any use of the Premises by Tenant (other than for general office use) to the extent that such use requires compliance work beyond the baseline condition described in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attached hereto, as improved by the Base Building Work and the Initial Tenant Work; provided, however, that Tenant shall be responsible for the cost of any such compliance work with respect to items for which Tenant is responsible for the maintenance and repair under this Lease, and/or (ii) any Alterations (as defined in Section 8.01) in or about the Premises performed or requested by Tenant after the Term Commencement Date, provided that Landlord shall perform the Base Building Work and the Initial Tenant Work in a good and workmanlike manner and in compliance with all applicable Laws, including without limitation, the Environmental, Health and Safety Laws and the Americans with Disabilities Act. Except to the extent the same are expressly set forth herein as obligations of Tenant, Landlord shall be responsible for the compliance of the Base Building with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1" w:right="519" w:bottom="1440" w:gutter="0" w:footer="0" w:header="0"/>
        </w:sectPr>
      </w:pPr>
    </w:p>
    <w:bookmarkStart w:id="607" w:name="page608"/>
    <w:bookmarkEnd w:id="60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all applicable Laws. All costs incurred by Landlord for compliance work shall be included in Expenses except as otherwise expressly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w:t>
      </w:r>
      <w:r>
        <w:rPr>
          <w:rFonts w:ascii="Arial" w:cs="Arial" w:eastAsia="Arial" w:hAnsi="Arial"/>
          <w:sz w:val="16"/>
          <w:szCs w:val="16"/>
          <w:u w:val="single" w:color="auto"/>
          <w:color w:val="auto"/>
        </w:rPr>
        <w:t>Base Building</w:t>
      </w:r>
      <w:r>
        <w:rPr>
          <w:rFonts w:ascii="Arial" w:cs="Arial" w:eastAsia="Arial" w:hAnsi="Arial"/>
          <w:sz w:val="16"/>
          <w:szCs w:val="16"/>
          <w:color w:val="auto"/>
        </w:rPr>
        <w:t>” shall include the structural portions of the Building, the common restrooms, the Building mechanical, electrical, and plumbing systems and equipment located in the internal core of the Building on the floor or floors on which the Premises are located, and the pH Neutralization System (as defined below). Tenant shall promptly provide Landlord with copies of any notices it receives regarding an alleged violation of Law. Except as otherwise provided herein, Tenant shall be solely responsible, at Tenant’s sole cost and expenses, for obtaining all operational permits, licenses and approvals required in order for Tenant to use the Premises for the Permitted Use (excluding any permits, licenses, and approvals required for the construction of the Initial Tenant Work and/or the Base Building Work, which shall be Landlord’s responsibility). As part of the Landlord’s performance of the Initial Tenant Work, Landlord shall tie the Premises into the existing Base Building pH neutralization system (the “</w:t>
      </w:r>
      <w:r>
        <w:rPr>
          <w:rFonts w:ascii="Arial" w:cs="Arial" w:eastAsia="Arial" w:hAnsi="Arial"/>
          <w:sz w:val="16"/>
          <w:szCs w:val="16"/>
          <w:u w:val="single" w:color="auto"/>
          <w:color w:val="auto"/>
        </w:rPr>
        <w:t>pH</w:t>
      </w:r>
      <w:r>
        <w:rPr>
          <w:rFonts w:ascii="Arial" w:cs="Arial" w:eastAsia="Arial" w:hAnsi="Arial"/>
          <w:sz w:val="16"/>
          <w:szCs w:val="16"/>
          <w:color w:val="auto"/>
        </w:rPr>
        <w:t xml:space="preserve"> </w:t>
      </w:r>
      <w:r>
        <w:rPr>
          <w:rFonts w:ascii="Arial" w:cs="Arial" w:eastAsia="Arial" w:hAnsi="Arial"/>
          <w:sz w:val="16"/>
          <w:szCs w:val="16"/>
          <w:u w:val="single" w:color="auto"/>
          <w:color w:val="auto"/>
        </w:rPr>
        <w:t>Neutralization System</w:t>
      </w:r>
      <w:r>
        <w:rPr>
          <w:rFonts w:ascii="Arial" w:cs="Arial" w:eastAsia="Arial" w:hAnsi="Arial"/>
          <w:sz w:val="16"/>
          <w:szCs w:val="16"/>
          <w:color w:val="auto"/>
        </w:rPr>
        <w:t>”), in accordance with any discharge permits required by the Massachusetts Water Resources Authority (the “</w:t>
      </w:r>
      <w:r>
        <w:rPr>
          <w:rFonts w:ascii="Arial" w:cs="Arial" w:eastAsia="Arial" w:hAnsi="Arial"/>
          <w:sz w:val="16"/>
          <w:szCs w:val="16"/>
          <w:u w:val="single" w:color="auto"/>
          <w:color w:val="auto"/>
        </w:rPr>
        <w:t>MWRA Permits</w:t>
      </w:r>
      <w:r>
        <w:rPr>
          <w:rFonts w:ascii="Arial" w:cs="Arial" w:eastAsia="Arial" w:hAnsi="Arial"/>
          <w:sz w:val="16"/>
          <w:szCs w:val="16"/>
          <w:color w:val="auto"/>
        </w:rPr>
        <w:t xml:space="preserve">”), which MWRA Permits shall be held in Landlord’s name, provided that, to the extent required for Tenant’s use, Tenant shall obtain a wastewater treatment operator license from the Commonwealth of Massachusetts. The monitoring, repair and maintenance costs of the pH Neutralization System shall be passed through to Tenant on a pro-rata basis, based upon the proportion that the Rentable Floor Area of the Premises bears to the total rentable floor area of all tenant-occupied space tied into the pH Neutralization System; provided that any capital repairs and capital replacements shall be passed through only to the extent the same are Permitted Capital Expenses, in which event the amortized cost thereof shall be passed through to Tenant in the same manner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386"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If any governmental license or permit required to be obtained by Tenant shall be required for the proper and lawful conduct of Tenant’s business at the Premises (including, without limitation, any required wastewater treatment operator license), Tenant, at Tenant’s expense, shall duly procure and thereafter maintain such license and submit the same to inspection by Landlord. Tenant, at Tenant’s expense, shall at all times comply in all material respects with the terms and conditions of each such license or permit. Tenant shall provide Landlord with copies of all such licenses, permits and approvals required for Tenant’s use, including any permits, licenses and registrations required pursuant to Environmental, Health and Safety Laws that are obtained or renewed during the Term.</w:t>
      </w:r>
    </w:p>
    <w:p>
      <w:pPr>
        <w:spacing w:after="0" w:line="194" w:lineRule="exact"/>
        <w:rPr>
          <w:sz w:val="20"/>
          <w:szCs w:val="20"/>
          <w:color w:val="auto"/>
        </w:rPr>
      </w:pPr>
    </w:p>
    <w:p>
      <w:pPr>
        <w:ind w:right="140" w:firstLine="436"/>
        <w:spacing w:after="0" w:line="267" w:lineRule="auto"/>
        <w:rPr>
          <w:sz w:val="20"/>
          <w:szCs w:val="20"/>
          <w:color w:val="auto"/>
        </w:rPr>
      </w:pPr>
      <w:r>
        <w:rPr>
          <w:rFonts w:ascii="Arial" w:cs="Arial" w:eastAsia="Arial" w:hAnsi="Arial"/>
          <w:sz w:val="17"/>
          <w:szCs w:val="17"/>
          <w:color w:val="auto"/>
        </w:rPr>
        <w:t xml:space="preserve">Tenant shall not exceed the standard density limit for the Building, which is 1 person per 150 useable square feet. Tenant shall not use or permit the use of any portion of the Premises or any equipment installed by Tenant or any party acting under or through Tenant in a manner that results in objectionable noise, odors, or vibrations emanating from the Premises and shall prevent the emanation of noxious odors, smoke, vibration, noise, water or other effects which constitute a nuisance or otherwise interfere with the safety or comfort of Landlord or of any of the other occupants of the Building. Without limiting the generality of the foregoing sentence, Tenant shall not use any portion of the Premises for a personal fitness or exercise area or install or use any exercise equipment therein. Tenant shall comply with the rules and regulations of the Building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such other reasonable rules and regulations adopted by Landlord from time to time of which Tenant is given prior written notice, including rules and regulations for the performance of Alterations. In the event of any conflict between the terms of this Lease and the rules and regulations, the terms of this Lease shall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608" w:name="page609"/>
    <w:bookmarkEnd w:id="608"/>
    <w:p>
      <w:pPr>
        <w:ind w:right="160" w:firstLine="43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to the contrary contained in this Lease, during the Term, Tenant shall be entitled to the allocation of 22.33% (16,748 divided by 75,000) of the maximum allowable chemical quantities (both in use and in storage) permitted by MAQ Codes (defined below) for the first (1</w:t>
      </w:r>
      <w:r>
        <w:rPr>
          <w:rFonts w:ascii="Arial" w:cs="Arial" w:eastAsia="Arial" w:hAnsi="Arial"/>
          <w:sz w:val="15"/>
          <w:szCs w:val="15"/>
          <w:color w:val="auto"/>
        </w:rPr>
        <w:t>st</w:t>
      </w:r>
      <w:r>
        <w:rPr>
          <w:rFonts w:ascii="Arial" w:cs="Arial" w:eastAsia="Arial" w:hAnsi="Arial"/>
          <w:sz w:val="18"/>
          <w:szCs w:val="18"/>
          <w:color w:val="auto"/>
        </w:rPr>
        <w:t>) floor of the Building, which maximum allowable chemical quantities for the entire first (1</w:t>
      </w:r>
      <w:r>
        <w:rPr>
          <w:rFonts w:ascii="Arial" w:cs="Arial" w:eastAsia="Arial" w:hAnsi="Arial"/>
          <w:sz w:val="15"/>
          <w:szCs w:val="15"/>
          <w:color w:val="auto"/>
        </w:rPr>
        <w:t>st</w:t>
      </w:r>
      <w:r>
        <w:rPr>
          <w:rFonts w:ascii="Arial" w:cs="Arial" w:eastAsia="Arial" w:hAnsi="Arial"/>
          <w:sz w:val="18"/>
          <w:szCs w:val="18"/>
          <w:color w:val="auto"/>
        </w:rPr>
        <w:t>) floor is 240 liquid gallons, subject to Tenant maintaining all licenses, permits and approvals required therefor. As used herein, “</w:t>
      </w:r>
      <w:r>
        <w:rPr>
          <w:rFonts w:ascii="Arial" w:cs="Arial" w:eastAsia="Arial" w:hAnsi="Arial"/>
          <w:sz w:val="18"/>
          <w:szCs w:val="18"/>
          <w:u w:val="single" w:color="auto"/>
          <w:color w:val="auto"/>
        </w:rPr>
        <w:t>MAQ Codes</w:t>
      </w:r>
      <w:r>
        <w:rPr>
          <w:rFonts w:ascii="Arial" w:cs="Arial" w:eastAsia="Arial" w:hAnsi="Arial"/>
          <w:sz w:val="18"/>
          <w:szCs w:val="18"/>
          <w:color w:val="auto"/>
        </w:rPr>
        <w:t>” shall mean 780 CMR—Massachusetts State Building Code 9</w:t>
      </w:r>
      <w:r>
        <w:rPr>
          <w:rFonts w:ascii="Arial" w:cs="Arial" w:eastAsia="Arial" w:hAnsi="Arial"/>
          <w:sz w:val="15"/>
          <w:szCs w:val="15"/>
          <w:color w:val="auto"/>
        </w:rPr>
        <w:t>th</w:t>
      </w:r>
      <w:r>
        <w:rPr>
          <w:rFonts w:ascii="Arial" w:cs="Arial" w:eastAsia="Arial" w:hAnsi="Arial"/>
          <w:sz w:val="18"/>
          <w:szCs w:val="18"/>
          <w:color w:val="auto"/>
        </w:rPr>
        <w:t xml:space="preserve"> Edition, 527 CMR—Massachusetts Comprehensive Fire Safety Code, and NEPA 45—Standard on Fire Protection for Laboratories Using Chemicals, 2011 Edition.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Letter of Credit.</w:t>
      </w:r>
    </w:p>
    <w:p>
      <w:pPr>
        <w:spacing w:after="0" w:line="118" w:lineRule="exact"/>
        <w:rPr>
          <w:sz w:val="20"/>
          <w:szCs w:val="20"/>
          <w:color w:val="auto"/>
        </w:rPr>
      </w:pPr>
    </w:p>
    <w:p>
      <w:pPr>
        <w:ind w:firstLine="436"/>
        <w:spacing w:after="0" w:line="307" w:lineRule="auto"/>
        <w:rPr>
          <w:sz w:val="20"/>
          <w:szCs w:val="20"/>
          <w:color w:val="auto"/>
        </w:rPr>
      </w:pPr>
      <w:r>
        <w:rPr>
          <w:rFonts w:ascii="Arial" w:cs="Arial" w:eastAsia="Arial" w:hAnsi="Arial"/>
          <w:sz w:val="16"/>
          <w:szCs w:val="16"/>
          <w:color w:val="auto"/>
        </w:rPr>
        <w:t xml:space="preserve">Concurrently with Tenant’s execution and delivery of this Lease, Tenant shall deliver to Landlord a clean, irrevocable letter of credit in the amount set forth in Section 1, which shall comply with, and may be drawn by Landlord in accordance with, the provisions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attached hereto (such letter of credit, together with any renewal or replacement thereof in accordance herewith, being referred to herein as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w:t>
      </w:r>
    </w:p>
    <w:p>
      <w:pPr>
        <w:spacing w:after="0" w:line="150"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Notwithstanding any provision herein to the contrary, so long as (A) Tenant shall not be, or have been, in monetary or material non-monetary Default under this Lease, (B) this Lease is still in full force and effect, and (C) Tenant provides Landlord with written notice requesting the same (requirements (A) through (C), collectively, the “</w:t>
      </w:r>
      <w:r>
        <w:rPr>
          <w:rFonts w:ascii="Arial" w:cs="Arial" w:eastAsia="Arial" w:hAnsi="Arial"/>
          <w:sz w:val="16"/>
          <w:szCs w:val="16"/>
          <w:u w:val="single" w:color="auto"/>
          <w:color w:val="auto"/>
        </w:rPr>
        <w:t>Letter of Credit Reduction Conditions</w:t>
      </w:r>
      <w:r>
        <w:rPr>
          <w:rFonts w:ascii="Arial" w:cs="Arial" w:eastAsia="Arial" w:hAnsi="Arial"/>
          <w:sz w:val="16"/>
          <w:szCs w:val="16"/>
          <w:color w:val="auto"/>
        </w:rPr>
        <w:t>”), then Tenant shall be entitled to reduce the required amount of the Letter of Credit to the amounts and at the times set forth below, and Tenant may thereafter deliver to Landlord a substitute Letter of Credit, conforming to the requirements hereof, in the sum of such reduced amount. Upon Tenant complying with the Letter of Credit Reduction Conditions set forth above, the required amount of the Letter of Credit shall be reduced in accordance with the following schedule:</w:t>
      </w:r>
    </w:p>
    <w:p>
      <w:pPr>
        <w:spacing w:after="0" w:line="186" w:lineRule="exact"/>
        <w:rPr>
          <w:sz w:val="20"/>
          <w:szCs w:val="20"/>
          <w:color w:val="auto"/>
        </w:rPr>
      </w:pPr>
    </w:p>
    <w:tbl>
      <w:tblPr>
        <w:tblLayout w:type="fixed"/>
        <w:tblInd w:w="1760" w:type="dxa"/>
        <w:tblCellMar>
          <w:top w:w="0" w:type="dxa"/>
          <w:left w:w="0" w:type="dxa"/>
          <w:bottom w:w="0" w:type="dxa"/>
          <w:right w:w="0" w:type="dxa"/>
        </w:tblCellMar>
      </w:tblPr>
      <w:tr>
        <w:trPr>
          <w:trHeight w:val="186"/>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Date:</w:t>
            </w:r>
          </w:p>
        </w:tc>
        <w:tc>
          <w:tcPr>
            <w:tcW w:w="4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Arial" w:cs="Arial" w:eastAsia="Arial" w:hAnsi="Arial"/>
                <w:sz w:val="14"/>
                <w:szCs w:val="14"/>
                <w:color w:val="auto"/>
                <w:w w:val="94"/>
              </w:rPr>
              <w:t>Letter of Credit Amount Reduced To:</w:t>
            </w:r>
          </w:p>
        </w:tc>
      </w:tr>
      <w:tr>
        <w:trPr>
          <w:trHeight w:val="173"/>
        </w:trPr>
        <w:tc>
          <w:tcPr>
            <w:tcW w:w="446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8"/>
                <w:szCs w:val="18"/>
                <w:color w:val="auto"/>
              </w:rPr>
              <w:t>First (1st) anniversary of the Rent Commencement</w:t>
            </w:r>
          </w:p>
        </w:tc>
        <w:tc>
          <w:tcPr>
            <w:tcW w:w="7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28"/>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Date</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720,164.00</w:t>
            </w:r>
          </w:p>
        </w:tc>
      </w:tr>
      <w:tr>
        <w:trPr>
          <w:trHeight w:val="200"/>
        </w:trPr>
        <w:tc>
          <w:tcPr>
            <w:tcW w:w="4460" w:type="dxa"/>
            <w:vAlign w:val="bottom"/>
            <w:gridSpan w:val="2"/>
          </w:tcPr>
          <w:p>
            <w:pPr>
              <w:spacing w:after="0" w:line="200" w:lineRule="exact"/>
              <w:rPr>
                <w:sz w:val="20"/>
                <w:szCs w:val="20"/>
                <w:color w:val="auto"/>
              </w:rPr>
            </w:pPr>
            <w:r>
              <w:rPr>
                <w:rFonts w:ascii="Arial" w:cs="Arial" w:eastAsia="Arial" w:hAnsi="Arial"/>
                <w:sz w:val="18"/>
                <w:szCs w:val="18"/>
                <w:color w:val="auto"/>
              </w:rPr>
              <w:t>Third (3</w:t>
            </w:r>
            <w:r>
              <w:rPr>
                <w:rFonts w:ascii="Arial" w:cs="Arial" w:eastAsia="Arial" w:hAnsi="Arial"/>
                <w:sz w:val="15"/>
                <w:szCs w:val="15"/>
                <w:color w:val="auto"/>
              </w:rPr>
              <w:t>rd</w:t>
            </w:r>
            <w:r>
              <w:rPr>
                <w:rFonts w:ascii="Arial" w:cs="Arial" w:eastAsia="Arial" w:hAnsi="Arial"/>
                <w:sz w:val="18"/>
                <w:szCs w:val="18"/>
                <w:color w:val="auto"/>
              </w:rPr>
              <w:t>) anniversary of the Rent Commencement</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Date</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480,109.33</w:t>
            </w:r>
          </w:p>
        </w:tc>
      </w:tr>
    </w:tbl>
    <w:p>
      <w:pPr>
        <w:spacing w:after="0" w:line="201" w:lineRule="exact"/>
        <w:rPr>
          <w:sz w:val="20"/>
          <w:szCs w:val="20"/>
          <w:color w:val="auto"/>
        </w:rPr>
      </w:pPr>
    </w:p>
    <w:p>
      <w:pPr>
        <w:ind w:right="80" w:firstLine="436"/>
        <w:spacing w:after="0" w:line="251" w:lineRule="auto"/>
        <w:rPr>
          <w:sz w:val="20"/>
          <w:szCs w:val="20"/>
          <w:color w:val="auto"/>
        </w:rPr>
      </w:pPr>
      <w:r>
        <w:rPr>
          <w:rFonts w:ascii="Arial" w:cs="Arial" w:eastAsia="Arial" w:hAnsi="Arial"/>
          <w:sz w:val="18"/>
          <w:szCs w:val="18"/>
          <w:color w:val="auto"/>
        </w:rPr>
        <w:t xml:space="preserve">Upon and as a condition to each such reduction, Tenant shall deliver to Landlord a substitute Letter of Credit, conforming to the requirements hereof, in the sum of the reduced Letter of Credit amount, whereupon Landlord shall surrender to Tenant the Letter of Credit being so replaced within thirty (30) Days; provided, however, that in no event shall the amount of the Letter of Credit hereunder ever be less than $480,109.33. Upon Landlord’s receipt of a substitute Letter of Credit in compliance with </w:t>
      </w:r>
      <w:r>
        <w:rPr>
          <w:rFonts w:ascii="Arial" w:cs="Arial" w:eastAsia="Arial" w:hAnsi="Arial"/>
          <w:sz w:val="18"/>
          <w:szCs w:val="18"/>
          <w:u w:val="single" w:color="auto"/>
          <w:color w:val="auto"/>
        </w:rPr>
        <w:t>Exhibit G</w:t>
      </w:r>
      <w:r>
        <w:rPr>
          <w:rFonts w:ascii="Arial" w:cs="Arial" w:eastAsia="Arial" w:hAnsi="Arial"/>
          <w:sz w:val="18"/>
          <w:szCs w:val="18"/>
          <w:color w:val="auto"/>
        </w:rPr>
        <w:t>, Landlord agrees not to draw upon the Letter of Credit being so replaced. Notwithstanding the foregoing, Tenant acknowledges that upon the occurrence of any monetary or material non-monetary Default of Tenant hereunder, Tenant shall not be entitled to any further reduction in the amount of the Letter of Credit, and Tenant’s Letter of Credit obligation shall not be reduced below its then current level.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 Building Services.</w:t>
      </w:r>
    </w:p>
    <w:p>
      <w:pPr>
        <w:spacing w:after="0" w:line="118" w:lineRule="exact"/>
        <w:rPr>
          <w:sz w:val="20"/>
          <w:szCs w:val="20"/>
          <w:color w:val="auto"/>
        </w:rPr>
      </w:pPr>
    </w:p>
    <w:p>
      <w:pPr>
        <w:ind w:right="40" w:firstLine="436"/>
        <w:spacing w:after="0" w:line="280"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Building Services</w:t>
      </w:r>
      <w:r>
        <w:rPr>
          <w:rFonts w:ascii="Arial" w:cs="Arial" w:eastAsia="Arial" w:hAnsi="Arial"/>
          <w:sz w:val="16"/>
          <w:szCs w:val="16"/>
          <w:color w:val="auto"/>
        </w:rPr>
        <w:t xml:space="preserve">. Landlord shall furnish Tenant with the following services (the costs of which shall be included in Expenses, except for such costs that are separately metered or check metered for the Premises, all of which separately metered or check metered costs shall be paid by Tenant as provided below): (a) reasonable quantities of hot and cold water for use in the Base Building restrooms and reasonable quantities of cold water for use in the Premises (provided that Landlord shall deliver the Premises in the baseline condition described in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attached hereto and with the Base Building Work substantially complete in accordance with the terms and provisions of this Lease); (b) Base Building gas and customary heat and air conditioning in season during the Building Service Hours at such temperatures and in such amounts that are standard in comparable buildings in the Greater Boston area for laboratory, R&amp;D and office space; (c) standard janitorial service for the Common Areas nightly on Business Days (it being acknowledged and agreed that Tenant shall be solely responsible for all cleaning and janitorial services for the Premises per Section 9.01 of this Lease) and the provision of a dumpster at the Building, for the non-exclusive use by Tenant and other Building occupants for disposal of ordinary trash (i.e., non-organic and non-controlled substances that do not constitute Hazardous Materials) (the “</w:t>
      </w:r>
      <w:r>
        <w:rPr>
          <w:rFonts w:ascii="Arial" w:cs="Arial" w:eastAsia="Arial" w:hAnsi="Arial"/>
          <w:sz w:val="16"/>
          <w:szCs w:val="16"/>
          <w:u w:val="single" w:color="auto"/>
          <w:color w:val="auto"/>
        </w:rPr>
        <w:t>Ordinary Trash Dumpster</w:t>
      </w:r>
      <w:r>
        <w:rPr>
          <w:rFonts w:ascii="Arial" w:cs="Arial" w:eastAsia="Arial" w:hAnsi="Arial"/>
          <w:sz w:val="16"/>
          <w:szCs w:val="16"/>
          <w:color w:val="auto"/>
        </w:rPr>
        <w:t>”); (d) elevator service;</w:t>
      </w:r>
    </w:p>
    <w:p>
      <w:pPr>
        <w:spacing w:after="0" w:line="6" w:lineRule="exact"/>
        <w:rPr>
          <w:sz w:val="20"/>
          <w:szCs w:val="20"/>
          <w:color w:val="auto"/>
        </w:rPr>
      </w:pPr>
    </w:p>
    <w:p>
      <w:pPr>
        <w:ind w:firstLine="7"/>
        <w:spacing w:after="0" w:line="281" w:lineRule="auto"/>
        <w:tabs>
          <w:tab w:leader="none" w:pos="242" w:val="left"/>
        </w:tabs>
        <w:numPr>
          <w:ilvl w:val="0"/>
          <w:numId w:val="538"/>
        </w:numPr>
        <w:rPr>
          <w:rFonts w:ascii="Arial" w:cs="Arial" w:eastAsia="Arial" w:hAnsi="Arial"/>
          <w:sz w:val="16"/>
          <w:szCs w:val="16"/>
          <w:color w:val="auto"/>
        </w:rPr>
      </w:pPr>
      <w:r>
        <w:rPr>
          <w:rFonts w:ascii="Arial" w:cs="Arial" w:eastAsia="Arial" w:hAnsi="Arial"/>
          <w:sz w:val="16"/>
          <w:szCs w:val="16"/>
          <w:color w:val="auto"/>
        </w:rPr>
        <w:t>electricity in accordance with the terms and conditions in Section 7.02; (f) access to the Building for Tenant and its employees 24 hours per day/7 days per week, subject to the terms of this Lease and such reasonable protective services or monitoring systems, if any, as Landlord may from time to time reasonably impose, including, without limitation, sign-in procedures and/or presentation of identification cards; and (g) such other services as Landlord reasonably determines are necessary or appropriate for the Property. To the extent that any of the foregoing utility services for the Premises are separately metered, Tenant shall timely pay the separate charges for such services directly to the applicable utility company. To the extent that any of the foregoing utility services for the Premises (including, without limitation, air handling units or other HVAC equipment serving the Premises) or any other equipment serving the Premises, whether exclusively or in common, is not metered directly by the utility company to the Premises, Tenant shall pay to Landlord, as Additional Rent, the costs of such utility service (without mark-up) by a separate charge payable by Tenant to Landlord based on evidence from the check-meters installed for the Premises or equipment serving the Premises or, for any portion of the Premises or equipment that from time to time does not have operational check-meters, based on reasonable allocations prepared by Landlord’s building engineer for the space and period in question. As part of the Landlord’s performance of the Initial Tenant Work, Landlord shall, at Landlord’s sole cost and expense, install check meters for the Premises for (i) gas, (ii) chilled water and hot water for HVAC service and (iii) as provided in Section 7.02, for electricity. Landlord shall bill Tenant monthly for such utility charges based on actual check-meter readings and utility rates for the space and period in question, and Tenant shall pay such charges to Landlord within thirty (30) days after receipt of each invoice. If, at Tenant’s request, Landlord, or an affiliated or third party service provider, provides any services that are not Landlord’s express obligation under this Lease, including, without limitation, any repairs which are Tenant’s responsibility pursuant to Section 9 below, Tenant shall pay to the applicable service provider the cost of such services. Tenant shall have the right to use the loading dock for Building (including during Tenant’s initial move in to the Premises) on a non- discriminatory basis, subject to any reasonable rules and regulations promulgated by Landlord from time to time with respect to such use, including without limitation, any scheduling protocols. Landlord currently does not charge tenants a fee for loading dock usage; however, if Landlord determines that Tenant is using the loading dock in a manner that violates Landlord’s rules, regulations and protocols, then Landlord reserves the right to employ security detail for any such use by Tenant and Tenant shall pay the actual cost charged by such security vendor from time to time, plus an administrative charge in the amount of twenty percent (20%) of such cost.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68" w:right="519" w:bottom="1440" w:gutter="0" w:footer="0" w:header="0"/>
        </w:sectPr>
      </w:pPr>
    </w:p>
    <w:bookmarkStart w:id="610" w:name="page611"/>
    <w:bookmarkEnd w:id="610"/>
    <w:p>
      <w:pPr>
        <w:ind w:right="60" w:firstLine="43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7.02 </w:t>
      </w:r>
      <w:r>
        <w:rPr>
          <w:rFonts w:ascii="Arial" w:cs="Arial" w:eastAsia="Arial" w:hAnsi="Arial"/>
          <w:sz w:val="16"/>
          <w:szCs w:val="16"/>
          <w:u w:val="single" w:color="auto"/>
          <w:color w:val="auto"/>
        </w:rPr>
        <w:t>Tenant Electricity</w:t>
      </w:r>
      <w:r>
        <w:rPr>
          <w:rFonts w:ascii="Arial" w:cs="Arial" w:eastAsia="Arial" w:hAnsi="Arial"/>
          <w:sz w:val="16"/>
          <w:szCs w:val="16"/>
          <w:color w:val="auto"/>
        </w:rPr>
        <w:t>. The Premises shall be check metered for electricity by Landlord as part of the Initial Tenant Work, at Landlord’s sole cost and expense. Landlord shall bill Tenant monthly for such electricity charges based on actual check-meter readings and utility rates for the space and period in question, and Tenant shall pay such charges to Landlord within thirty (30) days after receipt of each invoice. Without the consent of Landlord, Tenant’s use of electrical service shall not exceed the Building’s standard capacity, as reasonably determined by Landlord, based upon the Building standard electrical design load. The Building’s 4000 amp, 480/277 volt electrical service can accommodate lab tenants with an approximate 50-50 split between office and laboratory use within each tenant premises located on the first floor of the Building. The estimated electrical load for lighting, receptacle and ventilation allocated in each tenant premises is 6 va per square foot for office space, and 18 va per square foot for laboratory space.</w:t>
      </w:r>
    </w:p>
    <w:p>
      <w:pPr>
        <w:spacing w:after="0" w:line="59" w:lineRule="exact"/>
        <w:rPr>
          <w:sz w:val="20"/>
          <w:szCs w:val="20"/>
          <w:color w:val="auto"/>
        </w:rPr>
      </w:pPr>
    </w:p>
    <w:p>
      <w:pPr>
        <w:ind w:right="120" w:firstLine="436"/>
        <w:spacing w:after="0" w:line="267" w:lineRule="auto"/>
        <w:rPr>
          <w:sz w:val="20"/>
          <w:szCs w:val="20"/>
          <w:color w:val="auto"/>
        </w:rPr>
      </w:pPr>
      <w:r>
        <w:rPr>
          <w:rFonts w:ascii="Arial" w:cs="Arial" w:eastAsia="Arial" w:hAnsi="Arial"/>
          <w:sz w:val="17"/>
          <w:szCs w:val="17"/>
          <w:color w:val="auto"/>
        </w:rPr>
        <w:t xml:space="preserve">7.03 </w:t>
      </w:r>
      <w:r>
        <w:rPr>
          <w:rFonts w:ascii="Arial" w:cs="Arial" w:eastAsia="Arial" w:hAnsi="Arial"/>
          <w:sz w:val="17"/>
          <w:szCs w:val="17"/>
          <w:u w:val="single" w:color="auto"/>
          <w:color w:val="auto"/>
        </w:rPr>
        <w:t>Interruption of Services</w:t>
      </w:r>
      <w:r>
        <w:rPr>
          <w:rFonts w:ascii="Arial" w:cs="Arial" w:eastAsia="Arial" w:hAnsi="Arial"/>
          <w:sz w:val="17"/>
          <w:szCs w:val="17"/>
          <w:color w:val="auto"/>
        </w:rPr>
        <w:t>. Landlord’s failure to furnish, or any interruption, diminishment or termination of services due to the application of Laws, the failure of any equipment, the performance of maintenance, repairs, improvements or alterations, utility interruptions or the occurrence of an event of Force Majeure (defined in Section 21.06) or any other cause (collectively a “</w:t>
      </w:r>
      <w:r>
        <w:rPr>
          <w:rFonts w:ascii="Arial" w:cs="Arial" w:eastAsia="Arial" w:hAnsi="Arial"/>
          <w:sz w:val="17"/>
          <w:szCs w:val="17"/>
          <w:u w:val="single" w:color="auto"/>
          <w:color w:val="auto"/>
        </w:rPr>
        <w:t>Service Failure</w:t>
      </w:r>
      <w:r>
        <w:rPr>
          <w:rFonts w:ascii="Arial" w:cs="Arial" w:eastAsia="Arial" w:hAnsi="Arial"/>
          <w:sz w:val="17"/>
          <w:szCs w:val="17"/>
          <w:color w:val="auto"/>
        </w:rPr>
        <w:t>”) shall not render Landlord liable to Tenant, constitute a constructive eviction of Tenant, give rise to an abatement of Rent, nor relieve Tenant from the obligation to fulfill any covenant or agreement, except as provided in the next sentence. If the Premises, or a material portion of the Premises, are made untenantable for a period in excess of five (5) consecutive Business Days after written notice thereof from Tenant to Landlord, as a result of a Service Failure that is reasonably within the control of Landlord to correct, then Tenant, as its sole remedy, shall be entitled to receive an abatement of Rent payable hereunder during the period following such five-(5)-Business-Day period and ending on the day the service has been restored. If the entire Premises has not been rendered untenantable by the Service Failure, the amount of abatement shall be equitably prorated. This Section shall not apply to any Service Failure arising from a casualty event governed by Section 14 below.</w:t>
      </w:r>
    </w:p>
    <w:p>
      <w:pPr>
        <w:spacing w:after="0" w:line="72"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7.04 </w:t>
      </w:r>
      <w:r>
        <w:rPr>
          <w:rFonts w:ascii="Arial" w:cs="Arial" w:eastAsia="Arial" w:hAnsi="Arial"/>
          <w:sz w:val="17"/>
          <w:szCs w:val="17"/>
          <w:u w:val="single" w:color="auto"/>
          <w:color w:val="auto"/>
        </w:rPr>
        <w:t>Reservations</w:t>
      </w:r>
      <w:r>
        <w:rPr>
          <w:rFonts w:ascii="Arial" w:cs="Arial" w:eastAsia="Arial" w:hAnsi="Arial"/>
          <w:sz w:val="17"/>
          <w:szCs w:val="17"/>
          <w:color w:val="auto"/>
        </w:rPr>
        <w:t xml:space="preserve">. Without limiting the generality of the foregoing, Landlord reserves the right from time to time upon advance notice to Tenant to modify components of the access procedures for the Building or other portions of the Property, to change the number of lobby attendants, or to institute, modify, supplement, or discontinue any particular access control procedures or equipment for the Building, whether during or after business hours. Landlord does not warrant or guarantee the effectiveness of any such system or procedures. Tenant expressly disclaims any such warranty, guarantee, or undertaking by Landlord with respect thereto and acknowledges that access controlprocedures from time to time in effect are solely for the convenience of tenants generally and are not intended to secure the Premises or to guarantee the physical safety of any persons in or about the Premises or the Property. Tenant shall be responsible for securing the Premises, including without limitation by Tenant’s installation of access card readers or other security equipment for the Premises in accordance with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and/or Section 8 and by restricting or monitoring access into and from the Premises by its employees or other invitees. At the time that any Tenant employee (or other person acting under or through Tenant) who has been issued a Building access card is terminated or otherwise ceases to work at the Premises, Tenant shall retrieve and destroy the Building access card for such person and, in accordance with the Building’s standard procedures, notify the Building’s property manager that such person should be removed from the active list for Building access cards.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80" w:top="271" w:right="53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8. Alterations.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u w:val="single" w:color="auto"/>
          <w:color w:val="auto"/>
        </w:rPr>
        <w:t>Alterations</w:t>
      </w:r>
      <w:r>
        <w:rPr>
          <w:rFonts w:ascii="Arial" w:cs="Arial" w:eastAsia="Arial" w:hAnsi="Arial"/>
          <w:sz w:val="17"/>
          <w:szCs w:val="17"/>
          <w:color w:val="auto"/>
        </w:rPr>
        <w:t>. Tenant shall not make alterations, repairs, additions or improvements or install any Cable (collectively referred to as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Alterations</w:t>
      </w:r>
      <w:r>
        <w:rPr>
          <w:rFonts w:ascii="Arial" w:cs="Arial" w:eastAsia="Arial" w:hAnsi="Arial"/>
          <w:sz w:val="17"/>
          <w:szCs w:val="17"/>
          <w:color w:val="auto"/>
        </w:rPr>
        <w:t>”) in the Premises, without first obtaining the written consent of Landlord in each instance, which consent shall not be unreasonably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withheld, conditioned or delayed. “</w:t>
      </w:r>
      <w:r>
        <w:rPr>
          <w:rFonts w:ascii="Arial" w:cs="Arial" w:eastAsia="Arial" w:hAnsi="Arial"/>
          <w:sz w:val="16"/>
          <w:szCs w:val="16"/>
          <w:u w:val="single" w:color="auto"/>
          <w:color w:val="auto"/>
        </w:rPr>
        <w:t>Cable</w:t>
      </w:r>
      <w:r>
        <w:rPr>
          <w:rFonts w:ascii="Arial" w:cs="Arial" w:eastAsia="Arial" w:hAnsi="Arial"/>
          <w:sz w:val="16"/>
          <w:szCs w:val="16"/>
          <w:color w:val="auto"/>
        </w:rPr>
        <w:t>” shall mean and refer to any electronic, fiber, phone and data cabling and related equipment that is installed by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or for the exclusive benefit of Tenant or any party acting under or through Tenant. Prior to starting work on any Alterations, Tenant shall furnish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Landlord with plans and specifications (which shall be in CAD format if requested by Landlord); names of contractors reasonably acceptable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Landlord (provided that Landlord may reasonably designate specific contractors with respect to Base Building, as may be described more fully below,</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provided further that it shall be reasonable for Landlord to require any contractor or subcontractor performing work on or about the Premises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Building to employ union labor and any construction manager utilized by Tenant to be a union-associated construction manager); required permits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approvals; evidence of contractor’s and subcontractor’s insurance in amounts reasonably required by Landlord and naming as additional insureds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Landlord, the managing agent for the Building, and such other Additional Insured Parties (as defined in Section 13) as Landlord may designate for such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purposes; and any security for performance in amounts reasonably required by Landlord (except that Landlord may only require such security for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Alterations the cost of which is estimated to exceed $250,000.00 and Landlord shall not require any security for the Initial Tenant Work). All Cable shall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be clearly marked with adhesive plastic labels (or plastic tags attached to such Cable with wire) to show Tenant’s name, suite number, and the purpose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such Cable (i) every 6 feet outside the Premises (specifically including, but not limited to, the electrical room risers and any Common Areas), and (ii) at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termination point(s) of such Cable. Material changes to the plans and specifications must also be submitted to Landlord for its approval. Alterations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shall be constructed in a good and workmanlike manner using materials of a quality reasonably approved by Landlord, and Tenant shall ensure that no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Alteration adversely affects any Building system or Landlord’s ability to perform its obligations hereunder. Tenant shall reimburse Landlord for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third-party expenses incurred by Landlord in connection with the review, inspection, and coordination of Tenant’s plans for Alterations and Tenant’s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performance thereof, and pay to Landlord or its managing agent a fee for Landlord’s administrative oversight and coordination of any non-Cosmetic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Alterations equal to 2% of the hard costs of such non-Cosmetic Alterations. Upon completion, Tenant shall furnish “as-built” plans (in CAD format, if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requested by Landlord) for non-Cosmetic Alterations, customary AIA completion affidavits, full and final waivers of lien, and any applicable certificate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occupancy for the space affected by such Alterations. Landlord’s approval of an Alteration shall not be deemed to be a representation by Landlord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that the Alteration complies with Law or will not adversely affect any Building system. If any Alteration requires any change to the Base Building,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Building system, or any Common Area, then such changes shall be made at Tenant’s sole cost and expense and performed, at Landlord’s election, either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by Tenant’s contractor or a contractor engaged by Landlord. Notwithstanding the foregoing, Landlord’s consent shall not be required for any Alteration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that satisfies all of the following criteria (a “</w:t>
      </w:r>
      <w:r>
        <w:rPr>
          <w:rFonts w:ascii="Arial" w:cs="Arial" w:eastAsia="Arial" w:hAnsi="Arial"/>
          <w:sz w:val="17"/>
          <w:szCs w:val="17"/>
          <w:u w:val="single" w:color="auto"/>
          <w:color w:val="auto"/>
        </w:rPr>
        <w:t>Cosmetic Alteration</w:t>
      </w:r>
      <w:r>
        <w:rPr>
          <w:rFonts w:ascii="Arial" w:cs="Arial" w:eastAsia="Arial" w:hAnsi="Arial"/>
          <w:sz w:val="17"/>
          <w:szCs w:val="17"/>
          <w:color w:val="auto"/>
        </w:rPr>
        <w:t>”): (a) is of a cosmetic nature such as painting, wallpapering, hanging pictures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installing carpeting; (b) is not visible from the exterior of the Premises or Building; (c) will not affect the Base Building (defined in Section 5); and</w:t>
      </w:r>
    </w:p>
    <w:p>
      <w:pPr>
        <w:spacing w:after="0" w:line="19" w:lineRule="exact"/>
        <w:rPr>
          <w:sz w:val="20"/>
          <w:szCs w:val="20"/>
          <w:color w:val="auto"/>
        </w:rPr>
      </w:pPr>
    </w:p>
    <w:p>
      <w:pPr>
        <w:ind w:right="340" w:firstLine="7"/>
        <w:spacing w:after="0" w:line="256" w:lineRule="auto"/>
        <w:tabs>
          <w:tab w:leader="none" w:pos="25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does not require work to be performed inside the walls or above the ceiling of the Premises. Cosmetic Alterations shall be subject to all the other provisions of this Section 8.03, to the extent applicable thereto.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68" w:right="499" w:bottom="1440" w:gutter="0" w:footer="0" w:header="0"/>
        </w:sectPr>
      </w:pPr>
    </w:p>
    <w:bookmarkStart w:id="612" w:name="page613"/>
    <w:bookmarkEnd w:id="612"/>
    <w:p>
      <w:pPr>
        <w:ind w:right="80" w:firstLine="43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8.02 </w:t>
      </w:r>
      <w:r>
        <w:rPr>
          <w:rFonts w:ascii="Arial" w:cs="Arial" w:eastAsia="Arial" w:hAnsi="Arial"/>
          <w:sz w:val="17"/>
          <w:szCs w:val="17"/>
          <w:u w:val="single" w:color="auto"/>
          <w:color w:val="auto"/>
        </w:rPr>
        <w:t>Liens</w:t>
      </w:r>
      <w:r>
        <w:rPr>
          <w:rFonts w:ascii="Arial" w:cs="Arial" w:eastAsia="Arial" w:hAnsi="Arial"/>
          <w:sz w:val="17"/>
          <w:szCs w:val="17"/>
          <w:color w:val="auto"/>
        </w:rPr>
        <w:t>. Tenant shall not cause or permit any mechanics’ or other liens to be placed upon the Property, the Premises, or Tenant’s leasehold interest hereunder in connection with any work or service done or purportedly done by or for the benefit of Tenant, its subtenants, or any other party acting under or through Tenant (excluding the Initial Tenant Work). Tenant shall give Landlord notice at least thirty (30) days prior to the commencement of any work in the Premises to afford Landlord the opportunity, where applicable, to post and record notices of non-responsibility. Tenant, within thirty (30) days after notice from Landlord, shall fully discharge any such lien by settlement, by bonding or by insuring over the lien in the manner prescribed by the applicable lien Law. If Tenant fails to timely discharge such lien within such period, Tenant shall be deemed in Default under this Lease and, in addition to any other remedies available to Landlord as a result of such Default by Tenant, Landlord, at its option, may bond, insure over or otherwise discharge the lien. Tenant shall reimburse Landlord for any amount paid by Landlord to discharge such lien, including, without limitation, reasonable attorneys’ fees. Landlord shall have the right to require Tenant to post a performance or payment bond in connection with any work or service done or purportedly done by or for the benefit of Tenant. Tenant acknowledges and agrees that all such work or service is being performed for the sole benefit of Tenant and not for the benefit of Landlord.</w:t>
      </w:r>
    </w:p>
    <w:p>
      <w:pPr>
        <w:spacing w:after="0" w:line="78" w:lineRule="exact"/>
        <w:rPr>
          <w:sz w:val="20"/>
          <w:szCs w:val="20"/>
          <w:color w:val="auto"/>
        </w:rPr>
      </w:pPr>
    </w:p>
    <w:p>
      <w:pPr>
        <w:ind w:right="80" w:firstLine="436"/>
        <w:spacing w:after="0" w:line="285"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u w:val="single" w:color="auto"/>
          <w:color w:val="auto"/>
        </w:rPr>
        <w:t>Leasehold Improvements</w:t>
      </w:r>
      <w:r>
        <w:rPr>
          <w:rFonts w:ascii="Arial" w:cs="Arial" w:eastAsia="Arial" w:hAnsi="Arial"/>
          <w:sz w:val="16"/>
          <w:szCs w:val="16"/>
          <w:color w:val="auto"/>
        </w:rPr>
        <w:t>. All Initial Tenant Work and other leasehold improvements from time to time made in and to the Premises (collectively, “</w:t>
      </w:r>
      <w:r>
        <w:rPr>
          <w:rFonts w:ascii="Arial" w:cs="Arial" w:eastAsia="Arial" w:hAnsi="Arial"/>
          <w:sz w:val="16"/>
          <w:szCs w:val="16"/>
          <w:u w:val="single" w:color="auto"/>
          <w:color w:val="auto"/>
        </w:rPr>
        <w:t>Leasehold Improvements</w:t>
      </w:r>
      <w:r>
        <w:rPr>
          <w:rFonts w:ascii="Arial" w:cs="Arial" w:eastAsia="Arial" w:hAnsi="Arial"/>
          <w:sz w:val="16"/>
          <w:szCs w:val="16"/>
          <w:color w:val="auto"/>
        </w:rPr>
        <w:t xml:space="preserve">”) shall, except as expressly provided in this Lease, remain upon the Premises at the end of the Term without compensation to Tenant. Landlord, by written notice to Tenant at the time Landlord provides its approval for a proposed Alteration, may require Tenant, at Tenant’s expense, to remove any Leasehold Improvements or other affixed installations that, in Landlord’s reasonable judgment, are of a nature that would require removal and repair costs that are materially in excess of the removal and repair costs associated with the baseline condition described in </w:t>
      </w:r>
      <w:r>
        <w:rPr>
          <w:rFonts w:ascii="Arial" w:cs="Arial" w:eastAsia="Arial" w:hAnsi="Arial"/>
          <w:sz w:val="16"/>
          <w:szCs w:val="16"/>
          <w:b w:val="1"/>
          <w:bCs w:val="1"/>
          <w:u w:val="single" w:color="auto"/>
          <w:color w:val="auto"/>
        </w:rPr>
        <w:t>Exhibit J</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w:t>
      </w:r>
      <w:r>
        <w:rPr>
          <w:rFonts w:ascii="Arial" w:cs="Arial" w:eastAsia="Arial" w:hAnsi="Arial"/>
          <w:sz w:val="16"/>
          <w:szCs w:val="16"/>
          <w:u w:val="single" w:color="auto"/>
          <w:color w:val="auto"/>
        </w:rPr>
        <w:t>Required Removables</w:t>
      </w:r>
      <w:r>
        <w:rPr>
          <w:rFonts w:ascii="Arial" w:cs="Arial" w:eastAsia="Arial" w:hAnsi="Arial"/>
          <w:sz w:val="16"/>
          <w:szCs w:val="16"/>
          <w:color w:val="auto"/>
        </w:rPr>
        <w:t>”). Required Removables shall include, without limitation, internal stairways, raised floors,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baths and showers, vaults, rolling file systems, structural alterations and modifications and any Cable installed by or on behalf of Tenant; provided, however, that, notwithstanding anything to the contrary contained in this Lease, Required Removables shall not include any Initial Tenant Work and Tenant shall not be required to remove any portion of the Initial Tenant Work at the end of the Term. The Required Removables shall be removed by Tenant before the expiration or earlier termination of this Lease in accordance with Section 19.</w:t>
      </w:r>
    </w:p>
    <w:p>
      <w:pPr>
        <w:spacing w:after="0" w:line="62"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Signage</w:t>
      </w:r>
      <w:r>
        <w:rPr>
          <w:rFonts w:ascii="Arial" w:cs="Arial" w:eastAsia="Arial" w:hAnsi="Arial"/>
          <w:sz w:val="18"/>
          <w:szCs w:val="18"/>
          <w:color w:val="auto"/>
        </w:rPr>
        <w:t>. No signs, advertisements or notices shall be painted or affixed to windows, doors or other parts of the Building, except those of such color, size, style and in such places as are first approved in writing by Landlord. All tenant identifications, suite number and branding at the entrance to the Premises shall be subject to Landlord’s prior written approval in Landlord’s reasonable discretion, and shall be installed by Landlord, at Tenant’s cost and expense, using the standard graphics for the Building. Landlord, at its sole cost, shall provide Tenant with Building standard signage on all existing tenant directories at the Building.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3" w:right="49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 Repairs and Maintenance.</w:t>
      </w:r>
    </w:p>
    <w:p>
      <w:pPr>
        <w:spacing w:after="0" w:line="118"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Tenant Obligations</w:t>
      </w:r>
      <w:r>
        <w:rPr>
          <w:rFonts w:ascii="Arial" w:cs="Arial" w:eastAsia="Arial" w:hAnsi="Arial"/>
          <w:sz w:val="16"/>
          <w:szCs w:val="16"/>
          <w:color w:val="auto"/>
        </w:rPr>
        <w:t>. During the Term, Tenant, at its sole cost and expense, shall perform all maintenance and repairs to the non-structural elements of the Premises that are not Landlord’s express responsibility under this Lease, and keep the Premises (other than those elements thereof or therein which are Landlord’s express responsibility under this Lease) in good condition and repair, reasonable wear and tear, and damage by Casualty, or taking by eminent domain (which shall instead be governed by Articles 14 and 15 below) excepted. Tenant’s repair and maintenance obligations include, without limitation, repairs to: (a) floor covering; (b) interior partitions; (c) doors; (d) the interior side of demising walls; (e) Alterations (described in Section 8); (f) supplemental air conditioning units, kitchens, including hot water heaters, plumbing, and similar facilities exclusively serving the Premises or any portion thereof, whether such items are installed by Tenant or are currently existing in the Premises (other than the Base Building air handling units outside the Premises, which will be maintained by Landlord); and (g) any Cable. Tenant shall maintain in effect throughout the Term maintenance contracts for any such supplemental air conditioning units or other specialty equipment exclusively serving the Premises and, from time to time upon Landlord’s request, provide Landlord with a copy of such maintenance contract and reasonable evidence of its service record. All repairs and other work performed by Tenant or its contractors, including that involving Cable, shall be subject to the terms of Section 8.01 above. If Tenant fails to make any repairs to the Premises required to be made by Tenant hereunder for more than thirty (30) days after notice from Landlord (although notice shall not be required in an emergency), Landlord may (but shall not be required to do so) make the repairs, and, within thirty (30) days after demand, Tenant shall pay to Landlord the reasonable cost of the repairs.</w:t>
      </w:r>
    </w:p>
    <w:p>
      <w:pPr>
        <w:spacing w:after="0" w:line="172"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Landlord shall have no obligation to provide any cleaning, janitorial or refuse or waste removal services in or to the Premises (other than providing the Ordinary Trash Dumpster pursuant to Section 7.01 above). Tenant shall be responsible, at its sole cost and expense, for providing cleaning and janitorial services to the Premises in a neat and first-class manner consistent with the cleaning standards generally prevailing in comparable buildings in the Greater Boston area for laboratory and office space or as otherwise reasonably established by Landlord in writing from time to time, using an insured contractor or contractors selected by Tenant and reasonably approved in writing by Landlord (it being acknowledged and agreed that it shall be reasonable for Landlord to require a union contractor) and such provider shall not interfere with the use and operation of the Building or Property by Landlord or any other tenant or occupant thereof. Tenant shall also be responsible to arrange for, at Tenant’s sole cost and expense, any waste (including biomedical, hazardous and laboratory waste) and refuse removal services for Tenant’s operations at the Premises. All waste (including biomedical, hazardous and laboratory waste) and refuse removal shall be performed in compliance with applicable environmental Laws using licensed laboratory waste disposal companies. All ordinary trash (i.e., non-organic and non-controlled substances that do not constitute Hazardous Materials) may be stored in the Ordinary Trash Dumpster, but all biomedical, hazardous and laboratory waste and refuse shall be stored in the Premises and shall be removed in compliance with applicable environmental Laws. Tenant shall also cause all extermination of vermin in the Premises or resulting from Tenant’s use of the Premises to be performed by companies reasonably approved by Landlord in writing and shall contract and utilize pest extermination services as reasonably necessary or as reasonably requested by Landlord.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68" w:right="519" w:bottom="1440" w:gutter="0" w:footer="0" w:header="0"/>
        </w:sectPr>
      </w:pPr>
    </w:p>
    <w:bookmarkStart w:id="614" w:name="page615"/>
    <w:bookmarkEnd w:id="614"/>
    <w:p>
      <w:pPr>
        <w:ind w:right="40" w:firstLine="43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9.02 </w:t>
      </w:r>
      <w:r>
        <w:rPr>
          <w:rFonts w:ascii="Arial" w:cs="Arial" w:eastAsia="Arial" w:hAnsi="Arial"/>
          <w:sz w:val="16"/>
          <w:szCs w:val="16"/>
          <w:u w:val="single" w:color="auto"/>
          <w:color w:val="auto"/>
        </w:rPr>
        <w:t>Landlord Obligations</w:t>
      </w:r>
      <w:r>
        <w:rPr>
          <w:rFonts w:ascii="Arial" w:cs="Arial" w:eastAsia="Arial" w:hAnsi="Arial"/>
          <w:sz w:val="16"/>
          <w:szCs w:val="16"/>
          <w:color w:val="auto"/>
        </w:rPr>
        <w:t>. Landlord shall keep and maintain in good repair and working order and perform maintenance to keep the same in such condition (a) the structural elements of the Building, including the foundation, exterior walls, structural columns, structural beams and exterior doors;</w:t>
      </w:r>
    </w:p>
    <w:p>
      <w:pPr>
        <w:spacing w:after="0" w:line="1" w:lineRule="exact"/>
        <w:rPr>
          <w:sz w:val="20"/>
          <w:szCs w:val="20"/>
          <w:color w:val="auto"/>
        </w:rPr>
      </w:pPr>
    </w:p>
    <w:p>
      <w:pPr>
        <w:ind w:firstLine="7"/>
        <w:spacing w:after="0" w:line="286" w:lineRule="auto"/>
        <w:tabs>
          <w:tab w:leader="none" w:pos="252"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the mechanical (including HVAC), electrical, plumbing, fire/life safety, and all other systems serving the Building tenants in general (but excluding any supplemental air conditioning units, hot water heaters, and similar equipment installed by Tenant, any systems or equipment exclusively serving the Premises and any Cable) and the Base Building (i.e., not supplemental) air handling units that serve the Premises; (c) the Common Areas; (d) the roof of the Building, including the structural aspects thereof; (e) the exterior windows and exterior mullions of the Building; (f) the elevators serving the Building, and (g) the pH Neutralization System. Subject to reasonable wear and tear, and damage by Casualty, or taking by eminent domain (which shall instead be governed by Articles 14 and 15 below), Landlord shall from time to time make repairs for which Landlord is responsible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Entry by Landlord.</w:t>
      </w:r>
    </w:p>
    <w:p>
      <w:pPr>
        <w:spacing w:after="0" w:line="118"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Landlord may enter the Premises to inspect, show or clean the Premises or to perform or facilitate the performance of repairs, alterations or additions to the Premises or any portion of the Building. Except in emergencies or to provide Building services, Landlord shall provide Tenant with at least twenty-four (24) hours’ prior written notice of entry (which may be by email). In connection with any such entry for nonemergency work performed during Building Service Hours, Landlord shall use reasonable efforts, consistent with the operation of a first-class office, lab and R&amp;D building, not to unreasonably interfere with Tenant’s use of the Premises. If reasonably necessary, Landlord may temporarily close all or a portion of the Premises to perform repairs, alterations and additions. Landlord shall not close the Premises during Building Service Hours if the work can reasonably be performed on weekends and/or after Building Service Hours. Any such entry by Landlord shall not otherwise constitute a constructive eviction or entitle Tenant to an abatement or reduction of Rent. Notwithstanding the foregoing, in the event that the Premises is closed or access thereto is completely denied in connection with any such repairs, alterations or additions and not due to Force Majeure, and such prohibited access continues for more than one (1) day, then commencing on the second day of such prohibited access, Rent shall abate for each day that Tenant is prevented from having any access to the Premises due to such work and not due to Force Majeure (it being acknowledged and agreed that there shall be no abatement of Rent so long as Tenant has minimum access to the Premises nor shall there be any abatement of Rent in connection with any Force Majeure). Tenant shall at all times, except in the case of emergencies, have the right to escort Landlord or its agents, representatives, contractors or guests while the same are in the Premises, provided that Tenant makes such representative available when such access is reasonably agreed and provided that such escort does not materially and adversely affect Landlord’s access rights hereunder. Landlord shall use reasonable efforts to comply with Tenant’s reasonable security, confidentiality and safety requirements with respect to entering restricted portions of the Premises; provided, however, that Tenant has notified Landlord of such security, confidentiality and safety requirements reasonably prior to Landlord’s entry into the Premises and provided further that in no event shall Tenant bar or prohibit access by Landlord and its employees, agents and contractors for the performance of the obligations of Landlord or the exercise of the rights of Landlord under this Lease.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3" w:right="51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11. Assignment and Subletting.</w:t>
      </w:r>
    </w:p>
    <w:p>
      <w:pPr>
        <w:spacing w:after="0" w:line="118"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Transfers</w:t>
      </w:r>
      <w:r>
        <w:rPr>
          <w:rFonts w:ascii="Arial" w:cs="Arial" w:eastAsia="Arial" w:hAnsi="Arial"/>
          <w:sz w:val="16"/>
          <w:szCs w:val="16"/>
          <w:color w:val="auto"/>
        </w:rPr>
        <w:t>. Except as otherwise provided in Section 11.04 below, Tenant shall not assign, sublease, transfer or encumber any interest in this Lease or allow any third party to use all or any portion of the Premises (in each such case, collectively or individually, a “Transfer” to a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without the prior written consent of Landlord, which consent shall not be unreasonably withheld, conditioned or delayed if Landlord does not exercise its recapture rights under Section 11.02. Without limitation, it is agreed that Landlord’s consent shall not be considered unreasonably withheld if the proposed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(a) is a governmental entity or is an existing occupant of the Building, (b) whether or not an existing occupant of the Building, has been in discussions with Landlord regarding the leasing of space within the Building within the preceding six (6) months, (c) is incompatible with the character of occupancy of the Building, as reasonably determined by Landlord, or (d) would subject the Premises to a use which would: (i) violate any exclusive right granted to another tenant of the Building; (ii) require any addition to or modification of the Premises or the Building in order to comply with building code or other governmental requirements; or (iii) involve a violation of the Permitted Use clauses of this Lease. Except as permitted under Section 11.04 below, if the entity(ies) that directly or indirectly controls the voting shares/rights of Tenant (other than through the ownership of voting securities listed on a recognized securities exchange) changes at any time, such change of ownership or control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constitute a Transfer. Any Transfer in violation of this Section shall, at Landlord’s option, be deemed a Default by Tenant as described in Section 16.01, and shall be voidable by Landlord. In no event shall any Transfer, including a Permitted Transfer, release or relieve the Tenant from any obligation under this Lease, and the Tenant entity originally named in this Lease shall remain primarily liable for the performance of the tenant’s obligations under this Lease, as amended from time to time.</w:t>
      </w:r>
    </w:p>
    <w:p>
      <w:pPr>
        <w:spacing w:after="0" w:line="62"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Process</w:t>
      </w:r>
      <w:r>
        <w:rPr>
          <w:rFonts w:ascii="Arial" w:cs="Arial" w:eastAsia="Arial" w:hAnsi="Arial"/>
          <w:sz w:val="16"/>
          <w:szCs w:val="16"/>
          <w:color w:val="auto"/>
        </w:rPr>
        <w:t>. Tenant shall provide Landlord with financial statements for the proposed Transferee (or, in the case of a change of ownership or control, for the proposed new controlling entity(ies)), a copy of the final form of the proposed assignment, sublease, or other Transfer documentation, and such other information as Landlord may reasonably request within ten (10) Business Days after Tenant’s consent request. Within ten (10) Business Days after receipt of the required information and documentation, Landlord shall either: (a) consent to the Transfer by execution of a consent agreement in a form reasonably acceptable to Landlord; (b) reasonably refuse to consent to the Transfer in writing specifying the reasons therefor; or (c) in the event of a proposed assignment of this Lease or subletting of more than sixty percent (60%) of the Premises for a sublease term for all or substantially all of the remainder of the Term (meaning that the sublease will expire with one (1) year or less remaining in the then lease Term), recapture the portion of the Premises that Tenant is proposing to Transfer. If Landlord exercises its right to recapture,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Notwithstanding the foregoing, if Landlord recaptures the applicable portion of the Premises, Tenant may elect to rescind its request for Landlord’s consent to an assignment or subletting and nullify Landlord’s recapture by notice to Landlord delivered no later than ten (10) Business Days following receipt of Landlord’s recapture election. Tenant shall pay to Landlord the reasonable costs and attorneys’ fees incurred by Landlord in connection with such requested Transfer not to exceed $5,000.00; provided, however, if neither Tenant nor the proposed Transferee requests any material changes to this Lease or Landlord’s standard form of consent in connection with the proposed Transfer, such costs shall not exceed $1,500.00.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480" w:top="268" w:right="559" w:bottom="1440" w:gutter="0" w:footer="0" w:header="0"/>
        </w:sectPr>
      </w:pPr>
    </w:p>
    <w:bookmarkStart w:id="616" w:name="page617"/>
    <w:bookmarkEnd w:id="616"/>
    <w:p>
      <w:pPr>
        <w:ind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11.03 </w:t>
      </w:r>
      <w:r>
        <w:rPr>
          <w:rFonts w:ascii="Arial" w:cs="Arial" w:eastAsia="Arial" w:hAnsi="Arial"/>
          <w:sz w:val="17"/>
          <w:szCs w:val="17"/>
          <w:u w:val="single" w:color="auto"/>
          <w:color w:val="auto"/>
        </w:rPr>
        <w:t>Excess Payments</w:t>
      </w:r>
      <w:r>
        <w:rPr>
          <w:rFonts w:ascii="Arial" w:cs="Arial" w:eastAsia="Arial" w:hAnsi="Arial"/>
          <w:sz w:val="17"/>
          <w:szCs w:val="17"/>
          <w:color w:val="auto"/>
        </w:rPr>
        <w:t>. In the event, if any, that (i) all rent and other consideration which Tenant receives as a result of and attributable to Tenant’s actual transfer of its occupancy rights in the Premises exceeds (ii) the Rent payable to Landlord for the portion of the Premises and Term covered by the Transfer, then Tenant shall, at Landlord’s election, pay to Landlord an amount equal to fifty percent (50%) of such excess, from time to time on a monthly basis upon Tenant’s actual receipt of such excess; provided that in determining any such excess, Tenant may deduct from the excess all reasonable and customary expenses directly incurred by Tenant in connection with such Transfer, except that any construction costs incurred by Tenant in connection with such Transfer shall be deducted on a straight line basis over the term of the applicable Transfer. If Tenant is in Default, Landlord may require that all sublease payments be made directly to Landlord, in which case Tenant shall receive a credit against Rent in the amount of Tenant’s share of payments received by Landlord.</w:t>
      </w:r>
    </w:p>
    <w:p>
      <w:pPr>
        <w:spacing w:after="0" w:line="73" w:lineRule="exact"/>
        <w:rPr>
          <w:sz w:val="20"/>
          <w:szCs w:val="20"/>
          <w:color w:val="auto"/>
        </w:rPr>
      </w:pPr>
    </w:p>
    <w:p>
      <w:pPr>
        <w:ind w:right="60" w:firstLine="436"/>
        <w:spacing w:after="0" w:line="283"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Tenant may (i) assign this Lease or sublet all or a portion of the Premises to a successor to Tenant by merger, consolidation, or the purchase of all or substantially all of Tenant’s assets or ownership interests or effectuate a Change in Control event (collectively, a “</w:t>
      </w:r>
      <w:r>
        <w:rPr>
          <w:rFonts w:ascii="Arial" w:cs="Arial" w:eastAsia="Arial" w:hAnsi="Arial"/>
          <w:sz w:val="16"/>
          <w:szCs w:val="16"/>
          <w:u w:val="single" w:color="auto"/>
          <w:color w:val="auto"/>
        </w:rPr>
        <w:t>Permitted Successor Entity Transfer</w:t>
      </w:r>
      <w:r>
        <w:rPr>
          <w:rFonts w:ascii="Arial" w:cs="Arial" w:eastAsia="Arial" w:hAnsi="Arial"/>
          <w:sz w:val="16"/>
          <w:szCs w:val="16"/>
          <w:color w:val="auto"/>
        </w:rPr>
        <w:t>”), or (ii) assign this Lease or sublet all or a portion of the Premises to an Affiliate (defined below), in any event, without the consent of Landlord (each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and each such transferee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provided that all of the following conditions are satisfied: (a) Tenant must not be in Default; (b) Tenant must give Landlord written notice at least fifteen (15) Business Days before such Transfer, or, if the transfer or transaction is subject to confidentiality restrictions, promptly following the effective date of such assignment or sublease; and (c) if the Transfer is a Permitted Successor Entity Transfer, the Credit Requirement (defined below) must be satisfied. Tenant’s notice to Landlord shall include information and documentation evidencing that the Transfers qualifies as a Permitted Transfer hereunder and that each of the above conditions has beensatisfied.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an entity controlled by, controlling or under common control with Tenant and “</w:t>
      </w:r>
      <w:r>
        <w:rPr>
          <w:rFonts w:ascii="Arial" w:cs="Arial" w:eastAsia="Arial" w:hAnsi="Arial"/>
          <w:sz w:val="16"/>
          <w:szCs w:val="16"/>
          <w:u w:val="single" w:color="auto"/>
          <w:color w:val="auto"/>
        </w:rPr>
        <w:t>control</w:t>
      </w:r>
      <w:r>
        <w:rPr>
          <w:rFonts w:ascii="Arial" w:cs="Arial" w:eastAsia="Arial" w:hAnsi="Arial"/>
          <w:sz w:val="16"/>
          <w:szCs w:val="16"/>
          <w:color w:val="auto"/>
        </w:rPr>
        <w:t>” shall mean ownership of fifty percent (50%) or more of the voting shares/rights of the applicable entity. The “</w:t>
      </w:r>
      <w:r>
        <w:rPr>
          <w:rFonts w:ascii="Arial" w:cs="Arial" w:eastAsia="Arial" w:hAnsi="Arial"/>
          <w:sz w:val="16"/>
          <w:szCs w:val="16"/>
          <w:u w:val="single" w:color="auto"/>
          <w:color w:val="auto"/>
        </w:rPr>
        <w:t>Credit Requirement</w:t>
      </w:r>
      <w:r>
        <w:rPr>
          <w:rFonts w:ascii="Arial" w:cs="Arial" w:eastAsia="Arial" w:hAnsi="Arial"/>
          <w:sz w:val="16"/>
          <w:szCs w:val="16"/>
          <w:color w:val="auto"/>
        </w:rPr>
        <w:t xml:space="preserve">” shall be deemed satisfied if, as of the date immediately preceding the date of the Permitted Transfer, the Net Worth of the successor entity is not less than the greater of (i) Eighty-Seven Million and 00/100 Dollars ($87,000,000.00) or (ii) the </w:t>
      </w:r>
      <w:r>
        <w:rPr>
          <w:rFonts w:ascii="Arial" w:cs="Arial" w:eastAsia="Arial" w:hAnsi="Arial"/>
          <w:sz w:val="16"/>
          <w:szCs w:val="16"/>
          <w:u w:val="single" w:color="auto"/>
          <w:color w:val="auto"/>
        </w:rPr>
        <w:t>Net Worth</w:t>
      </w:r>
      <w:r>
        <w:rPr>
          <w:rFonts w:ascii="Arial" w:cs="Arial" w:eastAsia="Arial" w:hAnsi="Arial"/>
          <w:sz w:val="16"/>
          <w:szCs w:val="16"/>
          <w:color w:val="auto"/>
        </w:rPr>
        <w:t xml:space="preserve"> of Tenant immediately prior to the Transfer. For the purposes herein, “Net Worth” shall be calculated as Total Assets—Total Liabilities—Intangible Assets.</w:t>
      </w:r>
    </w:p>
    <w:p>
      <w:pPr>
        <w:spacing w:after="0" w:line="68" w:lineRule="exact"/>
        <w:rPr>
          <w:sz w:val="20"/>
          <w:szCs w:val="20"/>
          <w:color w:val="auto"/>
        </w:rPr>
      </w:pPr>
    </w:p>
    <w:p>
      <w:pPr>
        <w:ind w:right="20" w:firstLine="436"/>
        <w:spacing w:after="0" w:line="269" w:lineRule="auto"/>
        <w:rPr>
          <w:sz w:val="20"/>
          <w:szCs w:val="20"/>
          <w:color w:val="auto"/>
        </w:rPr>
      </w:pPr>
      <w:r>
        <w:rPr>
          <w:rFonts w:ascii="Arial" w:cs="Arial" w:eastAsia="Arial" w:hAnsi="Arial"/>
          <w:sz w:val="17"/>
          <w:szCs w:val="17"/>
          <w:color w:val="auto"/>
        </w:rPr>
        <w:t xml:space="preserve">11.05 </w:t>
      </w:r>
      <w:r>
        <w:rPr>
          <w:rFonts w:ascii="Arial" w:cs="Arial" w:eastAsia="Arial" w:hAnsi="Arial"/>
          <w:sz w:val="17"/>
          <w:szCs w:val="17"/>
          <w:u w:val="single" w:color="auto"/>
          <w:color w:val="auto"/>
        </w:rPr>
        <w:t>Prohibited Matters</w:t>
      </w:r>
      <w:r>
        <w:rPr>
          <w:rFonts w:ascii="Arial" w:cs="Arial" w:eastAsia="Arial" w:hAnsi="Arial"/>
          <w:sz w:val="17"/>
          <w:szCs w:val="17"/>
          <w:color w:val="auto"/>
        </w:rPr>
        <w:t>. Without limiting Landlord’s right to withhold its consent to any transfer by Tenant, and regardless of whether Landlord shall have consented to any such transfer, neither Tenant nor any other person having an interest in the possession, use or occupancy of the Premises or any part thereof shall enter into any lease, sublease, license, concession, assignment or other transfer or agreement for possession, use or occupancy of all or any portion of the Premises which provides for rent or other payment for such use, occupancy or utilization based, in whole or in part, on the net income or profits derived by any person or entity from the space so leased, used or occupied, and any such purported lease, sublease, license, concession, assignment or other transfer or agreement shall be absolutely void and ineffective as a conveyance of any right or interest in the possession, use or occupancy of all or any part of the Premises.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480" w:top="272" w:right="579" w:bottom="1440" w:gutter="0" w:footer="0" w:header="0"/>
        </w:sectPr>
      </w:pPr>
    </w:p>
    <w:bookmarkStart w:id="617" w:name="page618"/>
    <w:bookmarkEnd w:id="617"/>
    <w:p>
      <w:pPr>
        <w:ind w:firstLine="43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11.06 </w:t>
      </w:r>
      <w:r>
        <w:rPr>
          <w:rFonts w:ascii="Arial" w:cs="Arial" w:eastAsia="Arial" w:hAnsi="Arial"/>
          <w:sz w:val="16"/>
          <w:szCs w:val="16"/>
          <w:u w:val="single" w:color="auto"/>
          <w:color w:val="auto"/>
        </w:rPr>
        <w:t>Shared Users</w:t>
      </w:r>
      <w:r>
        <w:rPr>
          <w:rFonts w:ascii="Arial" w:cs="Arial" w:eastAsia="Arial" w:hAnsi="Arial"/>
          <w:sz w:val="16"/>
          <w:szCs w:val="16"/>
          <w:color w:val="auto"/>
        </w:rPr>
        <w:t xml:space="preserve">. Notwithstanding anything in this Lease to the contrary, provided there does not exist a Default by Tenant hereunder, without being subject to Landlord’s rights and Tenant’s obligations set forth in this </w:t>
      </w:r>
      <w:r>
        <w:rPr>
          <w:rFonts w:ascii="Arial" w:cs="Arial" w:eastAsia="Arial" w:hAnsi="Arial"/>
          <w:sz w:val="16"/>
          <w:szCs w:val="16"/>
          <w:u w:val="single" w:color="auto"/>
          <w:color w:val="auto"/>
        </w:rPr>
        <w:t>Section 11</w:t>
      </w:r>
      <w:r>
        <w:rPr>
          <w:rFonts w:ascii="Arial" w:cs="Arial" w:eastAsia="Arial" w:hAnsi="Arial"/>
          <w:sz w:val="16"/>
          <w:szCs w:val="16"/>
          <w:color w:val="auto"/>
        </w:rPr>
        <w:t>, upon not less than five (5) days’ prior written notice thereof to Landlord, but without Landlord’s consent, Tenant may permit Office Sharing and Lab Sharing (as such terms are hereinafter defined) by any Affiliate of Tenant, any employee of Versant Venture Management, LLC or any Versant Ventures Portfolio Company (collectively, “</w:t>
      </w:r>
      <w:r>
        <w:rPr>
          <w:rFonts w:ascii="Arial" w:cs="Arial" w:eastAsia="Arial" w:hAnsi="Arial"/>
          <w:sz w:val="16"/>
          <w:szCs w:val="16"/>
          <w:u w:val="single" w:color="auto"/>
          <w:color w:val="auto"/>
        </w:rPr>
        <w:t>Shared User(s)</w:t>
      </w:r>
      <w:r>
        <w:rPr>
          <w:rFonts w:ascii="Arial" w:cs="Arial" w:eastAsia="Arial" w:hAnsi="Arial"/>
          <w:sz w:val="16"/>
          <w:szCs w:val="16"/>
          <w:color w:val="auto"/>
        </w:rPr>
        <w:t>”), without the same constituting a subletting within the meaning of this Section. The term “</w:t>
      </w:r>
      <w:r>
        <w:rPr>
          <w:rFonts w:ascii="Arial" w:cs="Arial" w:eastAsia="Arial" w:hAnsi="Arial"/>
          <w:sz w:val="16"/>
          <w:szCs w:val="16"/>
          <w:u w:val="single" w:color="auto"/>
          <w:color w:val="auto"/>
        </w:rPr>
        <w:t>Office Sharing</w:t>
      </w:r>
      <w:r>
        <w:rPr>
          <w:rFonts w:ascii="Arial" w:cs="Arial" w:eastAsia="Arial" w:hAnsi="Arial"/>
          <w:sz w:val="16"/>
          <w:szCs w:val="16"/>
          <w:color w:val="auto"/>
        </w:rPr>
        <w:t>” shall mean the use of the office portions only of the Premises as “desk space” for office uses only and otherwise in compliance with the terms, covenants and conditions of this Lease, not to exceed five (5) “desk spaces” at any given time, and the term “</w:t>
      </w:r>
      <w:r>
        <w:rPr>
          <w:rFonts w:ascii="Arial" w:cs="Arial" w:eastAsia="Arial" w:hAnsi="Arial"/>
          <w:sz w:val="16"/>
          <w:szCs w:val="16"/>
          <w:u w:val="single" w:color="auto"/>
          <w:color w:val="auto"/>
        </w:rPr>
        <w:t>Lab Sharing</w:t>
      </w:r>
      <w:r>
        <w:rPr>
          <w:rFonts w:ascii="Arial" w:cs="Arial" w:eastAsia="Arial" w:hAnsi="Arial"/>
          <w:sz w:val="16"/>
          <w:szCs w:val="16"/>
          <w:color w:val="auto"/>
        </w:rPr>
        <w:t xml:space="preserve">” shall mean the use of the lab portions only of the Premises as “bench space” for lab uses in compliance with the terms, covenants and conditions of this Lease (including, without limitation, Section 3 of </w:t>
      </w:r>
      <w:r>
        <w:rPr>
          <w:rFonts w:ascii="Arial" w:cs="Arial" w:eastAsia="Arial" w:hAnsi="Arial"/>
          <w:sz w:val="16"/>
          <w:szCs w:val="16"/>
          <w:u w:val="single" w:color="auto"/>
          <w:color w:val="auto"/>
        </w:rPr>
        <w:t>Exhibit F</w:t>
      </w:r>
      <w:r>
        <w:rPr>
          <w:rFonts w:ascii="Arial" w:cs="Arial" w:eastAsia="Arial" w:hAnsi="Arial"/>
          <w:sz w:val="16"/>
          <w:szCs w:val="16"/>
          <w:color w:val="auto"/>
        </w:rPr>
        <w:t>), not to exceed five (5) “bench spaces” at any given time, which “desk spaces” and “bench spaces” shall not be separately demised and shall not have separate means of ingress to or egress from the public corridors of the Building, by Shared User(s) pursuant to a written license or other written occupancy agreement, which agreement, by its express terms, shall be subject and subordinate to this Lease and shall terminate automatically upon the termination of this Lease, and which shall expressly provide that the Shared User shall maintain all applicable licenses and permits required by applicable Laws for such Shared User’s use of the Premises. Tenant shall provide Landlord with a copy of each such license or occupancy agreement together with Tenant’s prior written notice of such Office Sharing and/or Lab Sharing. Tenant agrees to notify Landlord, promptly upon Landlord’s written request therefor from time to time, as to the amount (which shall not exceed five (5) “desk spaces” and/or five (5) “bench spaces” at any given time) and the identities of the Shared User(s) then in occupancy. In no event shall the use of any portion of the Premises by any such Shared User create or be deemed to create any right, title or interest of such Shared User in any portion of the Premises or this Lease, and any such Office Sharing or Lab Sharing shall not give rise to a landlord-tenant relationship between Landlord and any Shared User. Each Shared User shall maintain commercial general liability insurance, naming the Landlord as additional insured, in the amounts and coverages required under Section 13 of this Lease (and shall provide certificates of insurance evidencing the same), and, subject to the waiver set forth in Section 13.04 and except to the extent caused by the negligence or willful misconduct of Landlord or any Landlord Related Parties (defined below), Tenant shall indemnify and hold Landlord harmless from and against any and all claims, actions, suits, liabilities, losses, damages, costs, charges, attorneys’ fees, and other expenses of every nature and character which</w:t>
      </w:r>
    </w:p>
    <w:p>
      <w:pPr>
        <w:spacing w:after="0" w:line="182" w:lineRule="exact"/>
        <w:rPr>
          <w:sz w:val="20"/>
          <w:szCs w:val="20"/>
          <w:color w:val="auto"/>
        </w:rPr>
      </w:pPr>
    </w:p>
    <w:p>
      <w:pPr>
        <w:ind w:right="120" w:firstLine="436"/>
        <w:spacing w:after="0" w:line="272" w:lineRule="auto"/>
        <w:rPr>
          <w:sz w:val="20"/>
          <w:szCs w:val="20"/>
          <w:color w:val="auto"/>
        </w:rPr>
      </w:pPr>
      <w:r>
        <w:rPr>
          <w:rFonts w:ascii="Arial" w:cs="Arial" w:eastAsia="Arial" w:hAnsi="Arial"/>
          <w:sz w:val="17"/>
          <w:szCs w:val="17"/>
          <w:color w:val="auto"/>
        </w:rPr>
        <w:t>Landlord shall or may sustain or incur by reason of any claim or demand that may be made as a result of, or in any way related to, any Shared User’s use or occupancy of “desk space” and/or “bench space” in the Premises. Under no circumstances shall any persons or entities engaged in Office Sharing or Lab Sharing have any right to exterior Building signage or any separate identification in the elevator lobby or any entrance to the Premises. By reasonable prior written notice provided to Tenant, Landlord shall have the right to impose such additional reasonable rules and regulations as Landlord reasonably deems appropriate in connection with any such Office Sharing or Lab Sharing.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618" w:name="page619"/>
    <w:bookmarkEnd w:id="6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 Notices.</w:t>
      </w:r>
    </w:p>
    <w:p>
      <w:pPr>
        <w:spacing w:after="0" w:line="118" w:lineRule="exact"/>
        <w:rPr>
          <w:sz w:val="20"/>
          <w:szCs w:val="20"/>
          <w:color w:val="auto"/>
        </w:rPr>
      </w:pPr>
    </w:p>
    <w:p>
      <w:pPr>
        <w:ind w:right="80" w:firstLine="436"/>
        <w:spacing w:after="0" w:line="284" w:lineRule="auto"/>
        <w:rPr>
          <w:sz w:val="20"/>
          <w:szCs w:val="20"/>
          <w:color w:val="auto"/>
        </w:rPr>
      </w:pPr>
      <w:r>
        <w:rPr>
          <w:rFonts w:ascii="Arial" w:cs="Arial" w:eastAsia="Arial" w:hAnsi="Arial"/>
          <w:sz w:val="16"/>
          <w:szCs w:val="16"/>
          <w:color w:val="auto"/>
        </w:rPr>
        <w:t>All demands, approvals, consents or notices (collectively referred to as a “</w:t>
      </w:r>
      <w:r>
        <w:rPr>
          <w:rFonts w:ascii="Arial" w:cs="Arial" w:eastAsia="Arial" w:hAnsi="Arial"/>
          <w:sz w:val="16"/>
          <w:szCs w:val="16"/>
          <w:u w:val="single" w:color="auto"/>
          <w:color w:val="auto"/>
        </w:rPr>
        <w:t>notice</w:t>
      </w:r>
      <w:r>
        <w:rPr>
          <w:rFonts w:ascii="Arial" w:cs="Arial" w:eastAsia="Arial" w:hAnsi="Arial"/>
          <w:sz w:val="16"/>
          <w:szCs w:val="16"/>
          <w:color w:val="auto"/>
        </w:rPr>
        <w:t>”) shall be in writing and delivered by hand or sent by registered, express, or certified mail, with return receipt requested or with delivery confirmation requested from the U.S. postal service, or sent by overnight or same day courier service at the party’s respective Notice Address(es) set forth in Section 1; provided, however, notices may be sent via e-mail to the e-mail address provided by the other party for notices under this Lease so long as such notice is also simultaneously given pursuant to one of the other foregoing methods of delivery.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 via e-mail or in any other practical manner reasonably designed to ensure receipt by the intended recipient. Each notice shall be deemed to have been received on the earlier to occur of actual delivery or the date on which delivery is refused, or, if Tenant has vacated the Premises or any other Notice Address of Tenant without providing a new Notice Address, three (3) Business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Indemnity and Insurance.</w:t>
      </w:r>
    </w:p>
    <w:p>
      <w:pPr>
        <w:spacing w:after="0" w:line="118"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13.01 </w:t>
      </w: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the waiver set forth in Section 13.04 and except to the extent caused by the negligence or willful misconduct of Landlord or any Landlord Related Parties (defined below), and to the maximum extent permitted under applicable law, Tenant shall indemnify, defend and hold Landlord and Landlord Related Parties harmless against and from all liabilities, obligations, damages, penalties, claims, actions, costs, charges and expenses, including, without limitation, reasonable attorneys’ fees and other professional fees (to the extent permitted by applicable Law) (collectively referred to as “</w:t>
      </w:r>
      <w:r>
        <w:rPr>
          <w:rFonts w:ascii="Arial" w:cs="Arial" w:eastAsia="Arial" w:hAnsi="Arial"/>
          <w:sz w:val="16"/>
          <w:szCs w:val="16"/>
          <w:u w:val="single" w:color="auto"/>
          <w:color w:val="auto"/>
        </w:rPr>
        <w:t>Losses</w:t>
      </w:r>
      <w:r>
        <w:rPr>
          <w:rFonts w:ascii="Arial" w:cs="Arial" w:eastAsia="Arial" w:hAnsi="Arial"/>
          <w:sz w:val="16"/>
          <w:szCs w:val="16"/>
          <w:color w:val="auto"/>
        </w:rPr>
        <w:t>”), which may be imposed upon, incurred by or asserted against Landlord or any of the Landlord Related Parties by any third party and arising out of or in connection with (i) any damage or injury occurring in the Premises or (ii) any damage or injury which occurs at or about the Property to the extent caused by the negligence or willful misconduct of Tenant, or its trustees, managers, members, principals, beneficiaries, partners, officers, directors, employees and agents (the “</w:t>
      </w:r>
      <w:r>
        <w:rPr>
          <w:rFonts w:ascii="Arial" w:cs="Arial" w:eastAsia="Arial" w:hAnsi="Arial"/>
          <w:sz w:val="16"/>
          <w:szCs w:val="16"/>
          <w:u w:val="single" w:color="auto"/>
          <w:color w:val="auto"/>
        </w:rPr>
        <w:t>Tenant Related Parties</w:t>
      </w:r>
      <w:r>
        <w:rPr>
          <w:rFonts w:ascii="Arial" w:cs="Arial" w:eastAsia="Arial" w:hAnsi="Arial"/>
          <w:sz w:val="16"/>
          <w:szCs w:val="16"/>
          <w:color w:val="auto"/>
        </w:rPr>
        <w:t>”) or any of Tenant’s transferees, contractors or licensees. Subject to the waiver set forth in Section 13.04 and except to the extent caused by the negligence or willful misconduct of Tenant or any Tenant Related Parties, Landlord hereby agrees to indemnify, defend and hold Tenant and the Tenant Related Parties harmless from and against any and all Losses for property damage, personal injury or any other matter arising, claimed, charged or incurred against or by Tenant or any of the Tenant Related Parties in connection with or relating to any event, condition, matter or thing which occurs in, at or about the Property to the extent due to the negligence or willful misconduct of Landlord or its trustees, managers, members, principals, beneficiaries, partners, officers, directors, employees, Mortgagees (defined in Section 20) and agents (the “</w:t>
      </w:r>
      <w:r>
        <w:rPr>
          <w:rFonts w:ascii="Arial" w:cs="Arial" w:eastAsia="Arial" w:hAnsi="Arial"/>
          <w:sz w:val="16"/>
          <w:szCs w:val="16"/>
          <w:u w:val="single" w:color="auto"/>
          <w:color w:val="auto"/>
        </w:rPr>
        <w:t>Landlord Related Parties</w:t>
      </w:r>
      <w:r>
        <w:rPr>
          <w:rFonts w:ascii="Arial" w:cs="Arial" w:eastAsia="Arial" w:hAnsi="Arial"/>
          <w:sz w:val="16"/>
          <w:szCs w:val="16"/>
          <w:color w:val="auto"/>
        </w:rPr>
        <w:t>” and together with the Tenant Related Parties, the “</w:t>
      </w:r>
      <w:r>
        <w:rPr>
          <w:rFonts w:ascii="Arial" w:cs="Arial" w:eastAsia="Arial" w:hAnsi="Arial"/>
          <w:sz w:val="16"/>
          <w:szCs w:val="16"/>
          <w:u w:val="single" w:color="auto"/>
          <w:color w:val="auto"/>
        </w:rPr>
        <w:t>Related Parties</w:t>
      </w:r>
      <w:r>
        <w:rPr>
          <w:rFonts w:ascii="Arial" w:cs="Arial" w:eastAsia="Arial" w:hAnsi="Arial"/>
          <w:sz w:val="16"/>
          <w:szCs w:val="16"/>
          <w:color w:val="auto"/>
        </w:rPr>
        <w:t>”). To the maximum extent permitted under applicable Law, except to the extent arising due to the negligence or willful misconduct of Landlord but subject to the waiver set forthin Section 13.04, Tenant hereby waives all claims against and releases Landlord and the Landlord Related Parties from all claims for any injury to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69" w:right="519" w:bottom="1440" w:gutter="0" w:footer="0" w:header="0"/>
        </w:sectPr>
      </w:pPr>
    </w:p>
    <w:bookmarkStart w:id="619" w:name="page620"/>
    <w:bookmarkEnd w:id="619"/>
    <w:p>
      <w:pPr>
        <w:ind w:right="14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death of persons, damage to property or business loss to the extent resulting from (a) Force Majeure, (b) acts of third parties, (c) the bursting or leaking of any tank, water closet, drain or other pipe, or (d) the inadequacy or failure of any security or protective services, personnel or equipment. Nothing herein shall be construed as to diminish the repair and maintenance obligations of Landlord contained elsewhere in this Lease.</w:t>
      </w:r>
    </w:p>
    <w:p>
      <w:pPr>
        <w:spacing w:after="0" w:line="43" w:lineRule="exact"/>
        <w:rPr>
          <w:sz w:val="20"/>
          <w:szCs w:val="20"/>
          <w:color w:val="auto"/>
        </w:rPr>
      </w:pPr>
    </w:p>
    <w:p>
      <w:pPr>
        <w:ind w:right="480" w:firstLine="436"/>
        <w:spacing w:after="0" w:line="335" w:lineRule="auto"/>
        <w:rPr>
          <w:sz w:val="20"/>
          <w:szCs w:val="20"/>
          <w:color w:val="auto"/>
        </w:rPr>
      </w:pPr>
      <w:r>
        <w:rPr>
          <w:rFonts w:ascii="Arial" w:cs="Arial" w:eastAsia="Arial" w:hAnsi="Arial"/>
          <w:sz w:val="16"/>
          <w:szCs w:val="16"/>
          <w:color w:val="auto"/>
        </w:rPr>
        <w:t xml:space="preserve">13.02 </w:t>
      </w:r>
      <w:r>
        <w:rPr>
          <w:rFonts w:ascii="Arial" w:cs="Arial" w:eastAsia="Arial" w:hAnsi="Arial"/>
          <w:sz w:val="16"/>
          <w:szCs w:val="16"/>
          <w:u w:val="single" w:color="auto"/>
          <w:color w:val="auto"/>
        </w:rPr>
        <w:t>Insurance</w:t>
      </w:r>
      <w:r>
        <w:rPr>
          <w:rFonts w:ascii="Arial" w:cs="Arial" w:eastAsia="Arial" w:hAnsi="Arial"/>
          <w:sz w:val="16"/>
          <w:szCs w:val="16"/>
          <w:color w:val="auto"/>
        </w:rPr>
        <w:t>. Tenant shall maintain the following coverages in the following amounts throughout the Term (and during any other periods before or after the Term during which Tenant or any Tenant Related Party enters into or occupies all or any portion of the Premises):</w:t>
      </w:r>
    </w:p>
    <w:p>
      <w:pPr>
        <w:spacing w:after="0" w:line="21" w:lineRule="exact"/>
        <w:rPr>
          <w:sz w:val="20"/>
          <w:szCs w:val="20"/>
          <w:color w:val="auto"/>
        </w:rPr>
      </w:pPr>
    </w:p>
    <w:p>
      <w:pPr>
        <w:ind w:right="120" w:firstLine="990"/>
        <w:spacing w:after="0" w:line="281" w:lineRule="auto"/>
        <w:tabs>
          <w:tab w:leader="none" w:pos="1225" w:val="left"/>
        </w:tabs>
        <w:numPr>
          <w:ilvl w:val="0"/>
          <w:numId w:val="541"/>
        </w:numPr>
        <w:rPr>
          <w:rFonts w:ascii="Arial" w:cs="Arial" w:eastAsia="Arial" w:hAnsi="Arial"/>
          <w:sz w:val="17"/>
          <w:szCs w:val="17"/>
          <w:color w:val="auto"/>
        </w:rPr>
      </w:pPr>
      <w:r>
        <w:rPr>
          <w:rFonts w:ascii="Arial" w:cs="Arial" w:eastAsia="Arial" w:hAnsi="Arial"/>
          <w:sz w:val="17"/>
          <w:szCs w:val="17"/>
          <w:color w:val="auto"/>
        </w:rPr>
        <w:t>Commercial General Liability Insurance covering claims of bodily injury, personal injury and property damage arising out of Tenant’s operations and contractual liabilities, including coverage formerly known as broad form, on an occurrence basis, with minimum primary limits of $1,000,000 each occurrence and $2,000,000 annual aggregate and a minimum excess/umbrella limit of $5,000,000.00.</w:t>
      </w:r>
    </w:p>
    <w:p>
      <w:pPr>
        <w:spacing w:after="0" w:line="62" w:lineRule="exact"/>
        <w:rPr>
          <w:rFonts w:ascii="Arial" w:cs="Arial" w:eastAsia="Arial" w:hAnsi="Arial"/>
          <w:sz w:val="17"/>
          <w:szCs w:val="17"/>
          <w:color w:val="auto"/>
        </w:rPr>
      </w:pPr>
    </w:p>
    <w:p>
      <w:pPr>
        <w:ind w:firstLine="990"/>
        <w:spacing w:after="0" w:line="251" w:lineRule="auto"/>
        <w:tabs>
          <w:tab w:leader="none" w:pos="123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Property insurance covering (i) Tenant’s Property (as defined below), and (ii) any Leasehold Improvements in the Premises, whether installed by or for the benefit of Tenant under this Lease or any prior lease or other agreement to which Tenant was a party or otherwise (“</w:t>
      </w:r>
      <w:r>
        <w:rPr>
          <w:rFonts w:ascii="Arial" w:cs="Arial" w:eastAsia="Arial" w:hAnsi="Arial"/>
          <w:sz w:val="18"/>
          <w:szCs w:val="18"/>
          <w:u w:val="single" w:color="auto"/>
          <w:color w:val="auto"/>
        </w:rPr>
        <w:t>Tenant-Insured Improvements</w:t>
      </w:r>
      <w:r>
        <w:rPr>
          <w:rFonts w:ascii="Arial" w:cs="Arial" w:eastAsia="Arial" w:hAnsi="Arial"/>
          <w:sz w:val="18"/>
          <w:szCs w:val="18"/>
          <w:color w:val="auto"/>
        </w:rPr>
        <w:t>”). Such insurance shall be written on a special cause of loss form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coverage for a period of one year.</w:t>
      </w:r>
    </w:p>
    <w:p>
      <w:pPr>
        <w:spacing w:after="0" w:line="89" w:lineRule="exact"/>
        <w:rPr>
          <w:rFonts w:ascii="Arial" w:cs="Arial" w:eastAsia="Arial" w:hAnsi="Arial"/>
          <w:sz w:val="18"/>
          <w:szCs w:val="18"/>
          <w:color w:val="auto"/>
        </w:rPr>
      </w:pPr>
    </w:p>
    <w:p>
      <w:pPr>
        <w:ind w:left="1240" w:hanging="250"/>
        <w:spacing w:after="0"/>
        <w:tabs>
          <w:tab w:leader="none" w:pos="12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Worker’s Compensation and Employer’s Liability or other similar insurance to the extent required by Law.</w:t>
      </w:r>
    </w:p>
    <w:p>
      <w:pPr>
        <w:spacing w:after="0" w:line="221" w:lineRule="exact"/>
        <w:rPr>
          <w:sz w:val="20"/>
          <w:szCs w:val="20"/>
          <w:color w:val="auto"/>
        </w:rPr>
      </w:pPr>
    </w:p>
    <w:p>
      <w:pPr>
        <w:ind w:right="40" w:firstLine="436"/>
        <w:spacing w:after="0" w:line="285" w:lineRule="auto"/>
        <w:rPr>
          <w:sz w:val="20"/>
          <w:szCs w:val="20"/>
          <w:color w:val="auto"/>
        </w:rPr>
      </w:pPr>
      <w:r>
        <w:rPr>
          <w:rFonts w:ascii="Arial" w:cs="Arial" w:eastAsia="Arial" w:hAnsi="Arial"/>
          <w:sz w:val="16"/>
          <w:szCs w:val="16"/>
          <w:color w:val="auto"/>
        </w:rPr>
        <w:t>The minimum limits of insurance required to be carried by Tenant shall not limit Tenant’s liability. Such insurance shall (i) be issued by an insurance company that has an A.M. Best rating of not less than A-VII and (ii) provide that it shall not be canceled or materially changed in a manner resulting in non-compliance with this Section 13.02 without thirty (30) days’ prior notice to Landlord, except that ten (10) days’ prior notice may be given in the case of nonpayment of premiums. Tenant’s Commercial General Liability Insurance shall (a) name Landlord, Landlord’s managing agent, and any other party designated by Landlord (“</w:t>
      </w:r>
      <w:r>
        <w:rPr>
          <w:rFonts w:ascii="Arial" w:cs="Arial" w:eastAsia="Arial" w:hAnsi="Arial"/>
          <w:sz w:val="16"/>
          <w:szCs w:val="16"/>
          <w:u w:val="single" w:color="auto"/>
          <w:color w:val="auto"/>
        </w:rPr>
        <w:t>Additional Insured Parties</w:t>
      </w:r>
      <w:r>
        <w:rPr>
          <w:rFonts w:ascii="Arial" w:cs="Arial" w:eastAsia="Arial" w:hAnsi="Arial"/>
          <w:sz w:val="16"/>
          <w:szCs w:val="16"/>
          <w:color w:val="auto"/>
        </w:rPr>
        <w:t>”) as additional insureds; and (b) be primary insurance as to all claims thereunder and provide that any insurance carried by Landlord is excess and non-contributing with Tenant’s insurance. Landlord shall be designated as a loss payee with respect to Tenant’s property insurance allocable to any Tenant-Insured Improvements. Tenant shall deliver to Landlord, on or before the Term Commencement Date and at least fifteen (15) days before the expiration dates thereof, certificates from Tenant’s insurance company on the forms currently designated “ACORD 28” (Evidence of Commercial Property Insurance) and “ACORD 25-S” (Certificate of Liability Insurance) or the equivalent. Tenant shall give Landlord at least thirty (30) days’ advance written notice of any cancellation, termination or lapse of insurance.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3" w:right="499" w:bottom="1440" w:gutter="0" w:footer="0" w:header="0"/>
        </w:sectPr>
      </w:pPr>
    </w:p>
    <w:bookmarkStart w:id="620" w:name="page621"/>
    <w:bookmarkEnd w:id="620"/>
    <w:p>
      <w:pPr>
        <w:ind w:right="60" w:firstLine="43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maintain such increased amounts of the insurance required to be carried by Tenant under this Section 13.02, and such other types and amounts of insurance covering the Premises and Tenant’s operations therein, as may be reasonably requested by Landlord, but not in excess of the amounts and types of insurance then being required by landlords of buildings comparable to and in the vicinity of the Building.</w:t>
      </w:r>
    </w:p>
    <w:p>
      <w:pPr>
        <w:spacing w:after="0" w:line="169" w:lineRule="exact"/>
        <w:rPr>
          <w:sz w:val="20"/>
          <w:szCs w:val="20"/>
          <w:color w:val="auto"/>
        </w:rPr>
      </w:pPr>
    </w:p>
    <w:p>
      <w:pPr>
        <w:ind w:right="200" w:firstLine="436"/>
        <w:spacing w:after="0" w:line="297" w:lineRule="auto"/>
        <w:rPr>
          <w:sz w:val="20"/>
          <w:szCs w:val="20"/>
          <w:color w:val="auto"/>
        </w:rPr>
      </w:pPr>
      <w:r>
        <w:rPr>
          <w:rFonts w:ascii="Arial" w:cs="Arial" w:eastAsia="Arial" w:hAnsi="Arial"/>
          <w:sz w:val="16"/>
          <w:szCs w:val="16"/>
          <w:color w:val="auto"/>
        </w:rPr>
        <w:t>Landlord shall maintain all-risk property insurance, including flood insurance, insuring the full replacement cost of the Premises (excluding Tenant-Insured Improvements), the Building, and the Property, including the Common Areas. Landlord shall also carry, during the Term, Commercial General Liability Insurance with respect to the Common Areas, with contractual liability insurance, in a combined single limit of not less than $2,000,000 per occurrence for bodily injury, personal injury and property damage and a minimum excess/umbrella limit of $5,000,000.00.</w:t>
      </w:r>
    </w:p>
    <w:p>
      <w:pPr>
        <w:spacing w:after="0" w:line="52"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 xml:space="preserve">13.03 </w:t>
      </w:r>
      <w:r>
        <w:rPr>
          <w:rFonts w:ascii="Arial" w:cs="Arial" w:eastAsia="Arial" w:hAnsi="Arial"/>
          <w:sz w:val="16"/>
          <w:szCs w:val="16"/>
          <w:u w:val="single" w:color="auto"/>
          <w:color w:val="auto"/>
        </w:rPr>
        <w:t>Tenant’s Property</w:t>
      </w:r>
      <w:r>
        <w:rPr>
          <w:rFonts w:ascii="Arial" w:cs="Arial" w:eastAsia="Arial" w:hAnsi="Arial"/>
          <w:sz w:val="16"/>
          <w:szCs w:val="16"/>
          <w:color w:val="auto"/>
        </w:rPr>
        <w:t xml:space="preserve">. All furnishings, fixtures, equipment, and other personal property and effects of Tenant and of all persons claiming through Tenant (including, without limitation, Tenant’s Roof Equipment, as defined in </w:t>
      </w:r>
      <w:r>
        <w:rPr>
          <w:rFonts w:ascii="Arial" w:cs="Arial" w:eastAsia="Arial" w:hAnsi="Arial"/>
          <w:sz w:val="16"/>
          <w:szCs w:val="16"/>
          <w:u w:val="single" w:color="auto"/>
          <w:color w:val="auto"/>
        </w:rPr>
        <w:t>Exhibit F</w:t>
      </w:r>
      <w:r>
        <w:rPr>
          <w:rFonts w:ascii="Arial" w:cs="Arial" w:eastAsia="Arial" w:hAnsi="Arial"/>
          <w:sz w:val="16"/>
          <w:szCs w:val="16"/>
          <w:color w:val="auto"/>
        </w:rPr>
        <w:t>), which from time to time may be on the Premises or elsewhere in the Building or in transit thereto or therefrom (collectively, “</w:t>
      </w:r>
      <w:r>
        <w:rPr>
          <w:rFonts w:ascii="Arial" w:cs="Arial" w:eastAsia="Arial" w:hAnsi="Arial"/>
          <w:sz w:val="16"/>
          <w:szCs w:val="16"/>
          <w:u w:val="single" w:color="auto"/>
          <w:color w:val="auto"/>
        </w:rPr>
        <w:t>Tenant’s Property</w:t>
      </w:r>
      <w:r>
        <w:rPr>
          <w:rFonts w:ascii="Arial" w:cs="Arial" w:eastAsia="Arial" w:hAnsi="Arial"/>
          <w:sz w:val="16"/>
          <w:szCs w:val="16"/>
          <w:color w:val="auto"/>
        </w:rPr>
        <w:t>”) shall be at the sole risk of Tenant to the maximum extent permitted by law and shall be kept insured by Tenant throughout the Term (and during any other periods before or after the Term during which Tenant or any Tenant Related Party enters into or occupies all or any portion of the Premises) at Tenant’s expense in accordance with Section 13.02. Tenant’s Property expressly includes all business fixtures and equipment, including without limitation any security or access control systems installed for the Premises, filing cabinets and racks, removable cubicles and partitions, kitchen equipment, computers and related equipment, raised flooring, supplemental cooling equipment, audiovisual and telecommunications equipment, non-building standard signage, and other tenant equipment installations, in each case including related conduits, cabling, and brackets or mounting components therefor and any connectors to Base Building systems and in each case whether installed or affixed in or about the Premises, in building core areas, or elsewhere in the Building.</w:t>
      </w:r>
    </w:p>
    <w:p>
      <w:pPr>
        <w:spacing w:after="0" w:line="62"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Each party waives, and shall cause its insurance carrier to waive, any right of recovery against the other for any loss of or damage to property which loss or damage is (or, if the insurance required hereunder had been carried, would have been) covered by insurance. For purposes of this Section 13.04, any deductible or self-insured retention with respect to a party’s insurance shall be deemed covered by, and recoverable by such party under, valid and collectable policies of insurance.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Casualty Damage.</w:t>
      </w:r>
    </w:p>
    <w:p>
      <w:pPr>
        <w:spacing w:after="0" w:line="118" w:lineRule="exact"/>
        <w:rPr>
          <w:sz w:val="20"/>
          <w:szCs w:val="20"/>
          <w:color w:val="auto"/>
        </w:rPr>
      </w:pPr>
    </w:p>
    <w:p>
      <w:pPr>
        <w:ind w:right="40" w:firstLine="436"/>
        <w:spacing w:after="0" w:line="272" w:lineRule="auto"/>
        <w:rPr>
          <w:sz w:val="20"/>
          <w:szCs w:val="20"/>
          <w:color w:val="auto"/>
        </w:rPr>
      </w:pPr>
      <w:r>
        <w:rPr>
          <w:rFonts w:ascii="Arial" w:cs="Arial" w:eastAsia="Arial" w:hAnsi="Arial"/>
          <w:sz w:val="17"/>
          <w:szCs w:val="17"/>
          <w:color w:val="auto"/>
        </w:rPr>
        <w:t xml:space="preserve">14.01 </w:t>
      </w:r>
      <w:r>
        <w:rPr>
          <w:rFonts w:ascii="Arial" w:cs="Arial" w:eastAsia="Arial" w:hAnsi="Arial"/>
          <w:sz w:val="17"/>
          <w:szCs w:val="17"/>
          <w:u w:val="single" w:color="auto"/>
          <w:color w:val="auto"/>
        </w:rPr>
        <w:t>Casualty</w:t>
      </w:r>
      <w:r>
        <w:rPr>
          <w:rFonts w:ascii="Arial" w:cs="Arial" w:eastAsia="Arial" w:hAnsi="Arial"/>
          <w:sz w:val="17"/>
          <w:szCs w:val="17"/>
          <w:color w:val="auto"/>
        </w:rPr>
        <w:t>. If all or any portion of the Premises becomes untenantable or all or any material portion of the Building necessary for access to or beneficial use of the Premises shall be damaged by fire or other casualty (collectively a “</w:t>
      </w:r>
      <w:r>
        <w:rPr>
          <w:rFonts w:ascii="Arial" w:cs="Arial" w:eastAsia="Arial" w:hAnsi="Arial"/>
          <w:sz w:val="17"/>
          <w:szCs w:val="17"/>
          <w:u w:val="single" w:color="auto"/>
          <w:color w:val="auto"/>
        </w:rPr>
        <w:t>Casualty</w:t>
      </w:r>
      <w:r>
        <w:rPr>
          <w:rFonts w:ascii="Arial" w:cs="Arial" w:eastAsia="Arial" w:hAnsi="Arial"/>
          <w:sz w:val="17"/>
          <w:szCs w:val="17"/>
          <w:color w:val="auto"/>
        </w:rPr>
        <w:t>”), then Landlord, with reasonable promptness, shall cause a licensed general contractor reasonably selected by Landlord to provide Landlord with a written estimate of the amount of time required, using standard working methods, to substantially complete the repair and restoration of the Premises (exclusive of Tenant’s Property and the Tenant Insured Improvements) and any Common Areas necessary to provide access to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621" w:name="page622"/>
    <w:bookmarkEnd w:id="62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beneficial use of the Premises to substantially their condition prior to the Casualty to the extent reasonably practicable (subject to compliance with Laws) (“</w:t>
      </w:r>
      <w:r>
        <w:rPr>
          <w:rFonts w:ascii="Arial" w:cs="Arial" w:eastAsia="Arial" w:hAnsi="Arial"/>
          <w:sz w:val="16"/>
          <w:szCs w:val="16"/>
          <w:u w:val="single" w:color="auto"/>
          <w:color w:val="auto"/>
        </w:rPr>
        <w:t>Completion Estimate</w:t>
      </w:r>
      <w:r>
        <w:rPr>
          <w:rFonts w:ascii="Arial" w:cs="Arial" w:eastAsia="Arial" w:hAnsi="Arial"/>
          <w:sz w:val="16"/>
          <w:szCs w:val="16"/>
          <w:color w:val="auto"/>
        </w:rPr>
        <w:t>”). Landlord shall promptly forward a copy of the Completion Estimate to Tenant. If the Completion Estimate indicates that the Premises or any Common Areas necessary to provide access to or beneficial use of the Premises cannot be restored to substantially their condition prior to the Casualty to the extent reasonably practicable (subject to compliance with Laws) within two hundred seventy (270) days from the date of the Casualty, then either party shall have the right to terminate this Lease upon written notice to the other within thirty (30) days after Tenant’s receipt of the Completion Estimate. Tenant, however, shall not have the right to terminate this Lease in accordance with this Section 14.01 if the Casualty was caused by the negligence or intentional misconduct of Tenant or any Tenant Related Parties. In addition, Landlord, by notice to Tenant within sixty (60) days after the date of the Casualty, shall have the right to terminate this Lease if: (1) the Premises have been materially damaged during the last twelve (12) months of the Term; (2) any Mortgagee requires that all or a material portion of the insurance proceeds be applied to the payment of the mortgage debt owed to such Mortgagee; or (3) a material uninsured loss to the Building or Premises occurs. If this Lease is terminated by either party on account of any Casualty as provided in this Article 14, then Tenant shall pay to Landlord (by assignment or otherwise) an amount equal to the insurance proceeds actually received by Tenant under the policy(ies) referred to in Section 13.02(b) on account of the damage to or loss of the Leasehold Improvements in the Premises less a reasonable allocation of Tenant’s actual out-of-pocket third party costs, if any, to adjust and collect such proceeds; however, from any such proceeds actually received by Tenant, Tenant shall be entitled to retain an amount equal to the unamortized portion (amortized over the initial Term on a straight-line basis) of the hard costs paid by Tenant to perform any Alterations (excluding, however, any amounts paid by Landlord to perform the Initial Tenant Work).</w:t>
      </w:r>
    </w:p>
    <w:p>
      <w:pPr>
        <w:spacing w:after="0" w:line="72" w:lineRule="exact"/>
        <w:rPr>
          <w:sz w:val="20"/>
          <w:szCs w:val="20"/>
          <w:color w:val="auto"/>
        </w:rPr>
      </w:pPr>
    </w:p>
    <w:p>
      <w:pPr>
        <w:ind w:right="60" w:firstLine="436"/>
        <w:spacing w:after="0" w:line="327" w:lineRule="auto"/>
        <w:rPr>
          <w:sz w:val="20"/>
          <w:szCs w:val="20"/>
          <w:color w:val="auto"/>
        </w:rPr>
      </w:pPr>
      <w:r>
        <w:rPr>
          <w:rFonts w:ascii="Arial" w:cs="Arial" w:eastAsia="Arial" w:hAnsi="Arial"/>
          <w:sz w:val="14"/>
          <w:szCs w:val="14"/>
          <w:color w:val="auto"/>
        </w:rPr>
        <w:t xml:space="preserve">14.02 </w:t>
      </w:r>
      <w:r>
        <w:rPr>
          <w:rFonts w:ascii="Arial" w:cs="Arial" w:eastAsia="Arial" w:hAnsi="Arial"/>
          <w:sz w:val="14"/>
          <w:szCs w:val="14"/>
          <w:u w:val="single" w:color="auto"/>
          <w:color w:val="auto"/>
        </w:rPr>
        <w:t>Restoration</w:t>
      </w:r>
      <w:r>
        <w:rPr>
          <w:rFonts w:ascii="Arial" w:cs="Arial" w:eastAsia="Arial" w:hAnsi="Arial"/>
          <w:sz w:val="14"/>
          <w:szCs w:val="14"/>
          <w:color w:val="auto"/>
        </w:rPr>
        <w:t>. If this Lease is not terminated in accordance with Section 14.01, Landlord shall promptly and diligently, subject to reasonable delays for insurance adjustment or other matters beyond Landlord’s reasonable control, restore the Premises and Common Areas necessary to provide access to or use of the Premises (but excluding Tenant’s Property and the Tenant-Insured Improvements), subject to the following provisions. Such restoration shall be to substantially the same condition that existed prior to the Casualty, except for modifications required by Law or any other modifications to the Common Areas as Landlord may reasonably elect. In no event shall Landlord be required to spend more for the restoration of the Premises, Building and Common Areas than the proceeds received by Landlord from Landlord’s insurance policies together with deductibles thereon, provided, however, if Landlord does not elect to fund any such deficiency, Landlord shall promptly notify Tenant and Tenant or Landlord may elect to terminate this Lease. Landlord shall not be liable for any inconvenience to Tenant or injury to Tenant’s business resulting in any way from the Casualty or the repair thereof. Provided that Tenant is not in Default, during any period of time that all or a portion of the Premises is rendered untenantable, inaccessible or unusable, as applicable, as a result of a Casualty, the Rent shall abate for the portion of the Premises that is untenantable, inaccessible or unusable and not used by Tenant; provided, however, the rent abatement period under the preceding sentence shall end on the earlier of ninety (90) days after Landlord has completed Landlord’s restoration work required herein or the date that Tenant recommences business operations from that portion of the Premises. Promptly following the completion of Landlord’s restoration of the Premises, Building and the Common Areas as required herein and notification from Landlord of such completion, or upon notification from Landlord that Tenant may access the Premises for the concurrent performance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3" w:right="519" w:bottom="1440" w:gutter="0" w:footer="0" w:header="0"/>
        </w:sectPr>
      </w:pPr>
    </w:p>
    <w:bookmarkStart w:id="622" w:name="page623"/>
    <w:bookmarkEnd w:id="62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restoration work by each party, Tenant shall restore the Tenant-Insured Improvements to substantially their condition prior to the Casualty (except for modifications required by Law or otherwise elected by Tenant to reflect Tenant’s business) and in a good and workmanlike manner with reasonable speed and diligence. In no event shall Tenant be required to spend more for the restoration of the Tenant-Insured Improvements than the proceeds received by Tenant from Tenant’s insurance policies or the amount Tenant would have received had Tenant carried the insurance and with limits required in this Lease.</w:t>
      </w:r>
    </w:p>
    <w:p>
      <w:pPr>
        <w:spacing w:after="0" w:line="86" w:lineRule="exact"/>
        <w:rPr>
          <w:sz w:val="20"/>
          <w:szCs w:val="20"/>
          <w:color w:val="auto"/>
        </w:rPr>
      </w:pPr>
    </w:p>
    <w:p>
      <w:pPr>
        <w:ind w:right="100" w:firstLine="436"/>
        <w:spacing w:after="0" w:line="251" w:lineRule="auto"/>
        <w:rPr>
          <w:sz w:val="20"/>
          <w:szCs w:val="20"/>
          <w:color w:val="auto"/>
        </w:rPr>
      </w:pPr>
      <w:r>
        <w:rPr>
          <w:rFonts w:ascii="Arial" w:cs="Arial" w:eastAsia="Arial" w:hAnsi="Arial"/>
          <w:sz w:val="18"/>
          <w:szCs w:val="18"/>
          <w:color w:val="auto"/>
        </w:rPr>
        <w:t xml:space="preserve">14.03 </w:t>
      </w:r>
      <w:r>
        <w:rPr>
          <w:rFonts w:ascii="Arial" w:cs="Arial" w:eastAsia="Arial" w:hAnsi="Arial"/>
          <w:sz w:val="18"/>
          <w:szCs w:val="18"/>
          <w:u w:val="single" w:color="auto"/>
          <w:color w:val="auto"/>
        </w:rPr>
        <w:t>Tenant’s Additional Termination Right</w:t>
      </w:r>
      <w:r>
        <w:rPr>
          <w:rFonts w:ascii="Arial" w:cs="Arial" w:eastAsia="Arial" w:hAnsi="Arial"/>
          <w:sz w:val="18"/>
          <w:szCs w:val="18"/>
          <w:color w:val="auto"/>
        </w:rPr>
        <w:t>. Notwithstanding the foregoing, if Landlord does not substantially complete the repair and restoration work required to be performed by Landlord as provided in Section 14.02 above within the later of (a) two (2) months after the expiration of the estimated amount of time set forth in the applicable Completion Estimate, and (b) two hundred forty (240) days after the date of the Casualty, as each such period of time shall be extended to the extent of any delays due to Force Majeure or delays caused by any Tenant Related Parties (such extension shall not exceed six (6) months in the aggregate on account of Force Majeure delays), then Tenant may terminate this Lease by written notice thereof to Landlord within thirty (30) days after the expiration of such period of time, as the same may be extended, unless Landlord completes its restoration obligations hereunder within such thirty (30) day period, in which event such termination notice shall be null and void and this Lease shall continue in full force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Condemnation.</w:t>
      </w:r>
    </w:p>
    <w:p>
      <w:pPr>
        <w:spacing w:after="0" w:line="118"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17"/>
          <w:szCs w:val="17"/>
          <w:u w:val="single" w:color="auto"/>
          <w:color w:val="auto"/>
        </w:rPr>
        <w:t>Taking</w:t>
      </w:r>
      <w:r>
        <w:rPr>
          <w:rFonts w:ascii="Arial" w:cs="Arial" w:eastAsia="Arial" w:hAnsi="Arial"/>
          <w:sz w:val="17"/>
          <w:szCs w:val="17"/>
          <w:color w:val="auto"/>
        </w:rPr>
        <w:t>”). Landlord shall also have the right to terminate this Lease if there is a Taking of any portion of the Building or Property which would have a material adverse effect on Landlord’s ability to profitably operate the remainder of the Building. The terminating party shall provide written notice of termination to the other party within forty five (45) days after it first receives notice of the Taking. The termination shall be effective as of the effective date of any order granting possession to, or vesting legal title in, the condemning authority. If this Lease is not terminated, Base Rent and Tenant’s Proportionate Share shall be appropriately adjusted to account for any reduction in the square footage of the Building or Premises. All compensation awarded for a Taking shall be the property of Landlord. The right to receive compensation or proceeds are expressly waived by Tenant, provided, however, Tenant may file a separate claim for Tenant’s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of Default.</w:t>
      </w:r>
    </w:p>
    <w:p>
      <w:pPr>
        <w:spacing w:after="0" w:line="118"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 xml:space="preserve">16.01 </w:t>
      </w:r>
      <w:r>
        <w:rPr>
          <w:rFonts w:ascii="Arial" w:cs="Arial" w:eastAsia="Arial" w:hAnsi="Arial"/>
          <w:sz w:val="18"/>
          <w:szCs w:val="18"/>
          <w:u w:val="single" w:color="auto"/>
          <w:color w:val="auto"/>
        </w:rPr>
        <w:t>Default</w:t>
      </w:r>
      <w:r>
        <w:rPr>
          <w:rFonts w:ascii="Arial" w:cs="Arial" w:eastAsia="Arial" w:hAnsi="Arial"/>
          <w:sz w:val="18"/>
          <w:szCs w:val="18"/>
          <w:color w:val="auto"/>
        </w:rPr>
        <w:t>. In addition to any other Default specifically described in this Lease, each of the following occurrences shall be a “</w:t>
      </w:r>
      <w:r>
        <w:rPr>
          <w:rFonts w:ascii="Arial" w:cs="Arial" w:eastAsia="Arial" w:hAnsi="Arial"/>
          <w:sz w:val="18"/>
          <w:szCs w:val="18"/>
          <w:u w:val="single" w:color="auto"/>
          <w:color w:val="auto"/>
        </w:rPr>
        <w:t>Default</w:t>
      </w:r>
      <w:r>
        <w:rPr>
          <w:rFonts w:ascii="Arial" w:cs="Arial" w:eastAsia="Arial" w:hAnsi="Arial"/>
          <w:sz w:val="18"/>
          <w:szCs w:val="18"/>
          <w:color w:val="auto"/>
        </w:rPr>
        <w:t>”: (a) Tenant’s failure to pay any portion of Rent when due, if the failure continues for five (5) Business Days after Landlord gives written notice to Tenant of the applicable failure by Tenant to timely pay such portion of the Rent (“</w:t>
      </w:r>
      <w:r>
        <w:rPr>
          <w:rFonts w:ascii="Arial" w:cs="Arial" w:eastAsia="Arial" w:hAnsi="Arial"/>
          <w:sz w:val="18"/>
          <w:szCs w:val="18"/>
          <w:u w:val="single" w:color="auto"/>
          <w:color w:val="auto"/>
        </w:rPr>
        <w:t>Monetary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3" w:right="499" w:bottom="1440" w:gutter="0" w:footer="0" w:header="0"/>
        </w:sectPr>
      </w:pPr>
    </w:p>
    <w:bookmarkStart w:id="623" w:name="page624"/>
    <w:bookmarkEnd w:id="623"/>
    <w:p>
      <w:pPr>
        <w:ind w:right="20"/>
        <w:spacing w:after="0" w:line="26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6135" cy="38735"/>
                    </a:xfrm>
                    <a:prstGeom prst="rect">
                      <a:avLst/>
                    </a:prstGeom>
                    <a:noFill/>
                  </pic:spPr>
                </pic:pic>
              </a:graphicData>
            </a:graphic>
          </wp:anchor>
        </w:drawing>
        <w:t>Default</w:t>
      </w:r>
      <w:r>
        <w:rPr>
          <w:rFonts w:ascii="Arial" w:cs="Arial" w:eastAsia="Arial" w:hAnsi="Arial"/>
          <w:sz w:val="17"/>
          <w:szCs w:val="17"/>
          <w:color w:val="auto"/>
        </w:rPr>
        <w:t>”); (b) Tenant’s failure (other than a Monetary Default) to comply with any term, provision, condition or covenant of this Lease, if the failure is not cured within thirty (30) days after written notice to Tenant provided, however, if Tenant’s failure to comply cannot reasonably be cured within such thirty-(30)-day period, Tenant shall be allowed additional time (not to exceed an additional ninety (90) days) as is reasonably necessary to cure the failure so long as Tenant begins the cure within such thirty-(30)-day period and diligently pursues the cure to completion; (c) Tenant effects or permits a Transfer without Landlord’s required approval or otherwise in violation of Section 11 of this Lease; (d) Tenant becomes insolvent, makes a transfer in fraud of creditors, makes an assignment for the benefit of creditors, or forfeits or loses its right to conduct business; (e) the leasehold estate is taken by process or operation of Law; or (f) if a receiver, guardian, conservator, trustee in bankruptcy or similar officer shall be appointed by a court of competent jurisdiction to take charge of all or any part of Tenant’s property and such appointment is not discharged within ninety (90) days thereafter, or if a petition including, without limitation, a petition for reorganization or arrangement is filed by Tenant under any bankruptcy law or is filed against Tenant and the same shall not be dismissed within ninety (90) days from the date upon which it is filed. In addition, if Landlord provides Tenant with notice of Tenant’s failure to comply with any specific provision of this Lease on two (2) separate occasions during any twelve-(12)-month period, any subsequent violation of such provision within such twelve-(12)-month period shall, at Landlord’s option, constitute a Default by Tenant without the requirement of any further notice or cure period as provided above. All notices sent under this Section shall be in satisfaction of, and not in addition to, any notice required by Law.</w:t>
      </w:r>
    </w:p>
    <w:p>
      <w:pPr>
        <w:spacing w:after="0" w:line="81"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16.02 </w:t>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of any Default, Landlord may, immediately or at any time thereafter, elect to terminate this Lease by notice of termination, by entry, or by any other means available under Law and may recover possession of the Premises as provided herein. Upon termination by notice, by entry, or by any other means available under Law, Landlord shall be entitled immediately, in the case of termination by notice or entry, and otherwise in accordance with the provisions of Law to recover possession of the Premises from Tenant and those claiming through or under the Tenant. Such termination of this Lease and repossession of the Premises shall be without prejudice to any remedies which Landlord might otherwise have for arrears of rent or for a prior breach of the provisions of this Lease. Landlord may, without notice, store Tenant’s personal property (and those of any person claiming under Tenant) at the expense and risk of Tenant or, if Landlord so elects, Landlord may sell such personal property at public auction or auctions or at private sale or sales after thirty (30) days’ notice to Tenant and apply the net proceeds to the earliest of installments of rent or other charges owing Landlord. Tenant agrees that a notice by Landlord alleging any default shall, at Landlord’s option (the exercise of such option shall be indicated by the inclusion of the words “notice to quit” in such notice), constitute a statutory notice to quit. If Landlord exercises its option to designate a notice of default hereunder as a statutory notice to quit, any grace periods provided for herein shall run concurrently with any statutory notice periods. Tenant further agrees that it shall not interpose any counterclaim or set-off in any summary proceeding or in any action based in whole or in part on non-payment of Rent, unless Tenant would have no right to commence an independent proceeding to seek to recover on account of such claim.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73" w:right="499" w:bottom="1440" w:gutter="0" w:footer="0" w:header="0"/>
        </w:sectPr>
      </w:pPr>
    </w:p>
    <w:bookmarkStart w:id="624" w:name="page625"/>
    <w:bookmarkEnd w:id="624"/>
    <w:p>
      <w:pPr>
        <w:ind w:right="40" w:firstLine="43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16.03 </w:t>
      </w:r>
      <w:r>
        <w:rPr>
          <w:rFonts w:ascii="Arial" w:cs="Arial" w:eastAsia="Arial" w:hAnsi="Arial"/>
          <w:sz w:val="17"/>
          <w:szCs w:val="17"/>
          <w:u w:val="single" w:color="auto"/>
          <w:color w:val="auto"/>
        </w:rPr>
        <w:t>Reimbursement of Expenses</w:t>
      </w:r>
      <w:r>
        <w:rPr>
          <w:rFonts w:ascii="Arial" w:cs="Arial" w:eastAsia="Arial" w:hAnsi="Arial"/>
          <w:sz w:val="17"/>
          <w:szCs w:val="17"/>
          <w:color w:val="auto"/>
        </w:rPr>
        <w:t>. In the case of termination of this Lease pursuant to this Section 16, Tenant shall reimburse Landlord for all reasonable and documented expenses arising out of such termination, including without limitation, all reasonable and documented costs incurred in collecting amounts due from Tenant under this Lease (including reasonable attorneys’ fees, costs of litigation and the like); all reasonable and documented expenses incurred by Landlord in attempting to relet the Premises or parts thereof (including advertisements, brokerage commissions, tenant allowances, costs of preparing space, and the like); and all of Landlord’s then unamortized costs of any work allowances provided to Tenant for the Premises. The reimbursement from Tenant shall be due and payable promptly after Tenant’s receipt of a reasonably detailed invoice thereof, without regard to whether the expense was incurred before or after the termination.</w:t>
      </w:r>
    </w:p>
    <w:p>
      <w:pPr>
        <w:spacing w:after="0" w:line="71"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16.04 </w:t>
      </w:r>
      <w:r>
        <w:rPr>
          <w:rFonts w:ascii="Arial" w:cs="Arial" w:eastAsia="Arial" w:hAnsi="Arial"/>
          <w:sz w:val="16"/>
          <w:szCs w:val="16"/>
          <w:u w:val="single" w:color="auto"/>
          <w:color w:val="auto"/>
        </w:rPr>
        <w:t>Damages</w:t>
      </w:r>
      <w:r>
        <w:rPr>
          <w:rFonts w:ascii="Arial" w:cs="Arial" w:eastAsia="Arial" w:hAnsi="Arial"/>
          <w:sz w:val="16"/>
          <w:szCs w:val="16"/>
          <w:color w:val="auto"/>
        </w:rPr>
        <w:t>. Landlord may elect by written notice to Tenant within one year following such termination to be indemnified for loss of rent by a lump sum payment representing the then present value of the amount of rent and additional charges which would have been paid in accordance with this Lease for the remainder of the Term minus the then present value of the aggregate fair market rent and additional charges payable for the Premises for the remainder of the Term (if less than the rent and additional charges payable hereunder), estimated as of the date of the termination, and taking into account reasonable projections of vacancy and time required to re-lease the Premises. (For the purposes of calculating the rent which would have been paid hereunder for the lump sum payment calculation described herein, the last full year’s Additional Rent under Section 4 is to be deemed constant for each year thereafter. The Federal Reserve discount rate (or equivalent) shall be used in calculating present values.) Should the parties be unable to agree on a fair market rent, the matter shall be submitted, upon the demand of either party, to the Boston, Massachusetts office of the American Arbitration Association (“AAA”), with a request for arbitration in accordance with the rules of the AAA by a single arbitrator who shall be an MAI appraiser with at least seven (7) years’ experience as an appraiser for first-class office, lab and R&amp;D buildings in the Seaport District. The parties agree that a decision of the arbitrator shall be conclusive and binding upon them. If and for so long as Landlord does not make the election provided for in this Section 16.04 above, Tenant shall indemnify Landlord for the loss of rent by a payment at the end of each month which would have been included in the Term, representing the excess of the rent which would have been paid in accordance with this Lease (i.e., Base Rent and Additional Rent that would have been payable to be ascertained monthly) over the rent actually derived from the Premises by Landlord for such month (the amount of rent deemed derived shall be the actual amount less any portion thereof attributable to Landlord’s reletting expenses described in Section 16.03 which have not been reimbursed by Tenant thereunder).</w:t>
      </w:r>
    </w:p>
    <w:p>
      <w:pPr>
        <w:spacing w:after="0" w:line="179"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In lieu of the damages, indemnity, and full recovery by Landlord of the sums payable under the foregoing provisions of this Section 16.04, Landlord may, by written notice to Tenant within six (6) months after termination under any of the provisions contained in Section 16 and before such full recovery, elect to recover, and Tenant shall thereupon pay, as liquidated final damages under this Section 16.04 (excepting any amounts of reimbursement under Section 16.03 with respect to clause (iii) below), an amount equal to (i) the aggregate of the Base Rent and Additional Rent for the twelve-month period ending one year after the termination date (or, if lesser, for the balance of the Term had it not been terminated) if the terms of this Lease had been fully complied with by Tenant, plus (ii) the amount of Base Rent and Additional Rent of any kind accrued and unpaid at the time of termination, and minus (iii) the amount of any recovery by Landlord under the foregoing provisions of this Section 16 up to the time of payment of such liquidated damages (but reduced by any amounts of reimbursement under Section 16.03). The amount under clause (i)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480" w:top="272" w:right="539" w:bottom="1440" w:gutter="0" w:footer="0" w:header="0"/>
        </w:sectPr>
      </w:pPr>
    </w:p>
    <w:bookmarkStart w:id="625" w:name="page626"/>
    <w:bookmarkEnd w:id="625"/>
    <w:p>
      <w:pPr>
        <w:ind w:right="240" w:firstLine="43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Landlord agrees to use reasonable efforts to relet the Premises after Tenant vacates the same in the event this Lease is terminated based upon a Default by Tenant hereunder. Such obligation to relet the Premises shall be subject to the reasonable requirements of Landlord to lease to high quality tenants on such terms as Landlord may from time to time deem appropriate and to develop the Building in a harmonious manner with an appropriate mix of uses, tenants, floor areas and terms of tenancies, and the like, and Landlord shall not be obligated to relet the Premises to any party to whom Landlord or its affiliate may desire to lease other available space in the Building.</w:t>
      </w:r>
    </w:p>
    <w:p>
      <w:pPr>
        <w:spacing w:after="0" w:line="69" w:lineRule="exact"/>
        <w:rPr>
          <w:sz w:val="20"/>
          <w:szCs w:val="20"/>
          <w:color w:val="auto"/>
        </w:rPr>
      </w:pPr>
    </w:p>
    <w:p>
      <w:pPr>
        <w:ind w:firstLine="436"/>
        <w:spacing w:after="0" w:line="281" w:lineRule="auto"/>
        <w:rPr>
          <w:sz w:val="20"/>
          <w:szCs w:val="20"/>
          <w:color w:val="auto"/>
        </w:rPr>
      </w:pPr>
      <w:r>
        <w:rPr>
          <w:rFonts w:ascii="Arial" w:cs="Arial" w:eastAsia="Arial" w:hAnsi="Arial"/>
          <w:sz w:val="17"/>
          <w:szCs w:val="17"/>
          <w:color w:val="auto"/>
        </w:rPr>
        <w:t xml:space="preserve">16.05 </w:t>
      </w:r>
      <w:r>
        <w:rPr>
          <w:rFonts w:ascii="Arial" w:cs="Arial" w:eastAsia="Arial" w:hAnsi="Arial"/>
          <w:sz w:val="17"/>
          <w:szCs w:val="17"/>
          <w:u w:val="single" w:color="auto"/>
          <w:color w:val="auto"/>
        </w:rPr>
        <w:t>Curative Action</w:t>
      </w:r>
      <w:r>
        <w:rPr>
          <w:rFonts w:ascii="Arial" w:cs="Arial" w:eastAsia="Arial" w:hAnsi="Arial"/>
          <w:sz w:val="17"/>
          <w:szCs w:val="17"/>
          <w:color w:val="auto"/>
        </w:rPr>
        <w:t>. If Tenant is in Default of any of its non-monetary obligations under this Lease, Landlord shall have the right, but not the obligation, to perform any such obligation, with five (5) days’ prior written notice (except in the case of any dangerous condition or emergency, in which case no notice shall be required). Tenant shall reimburse Landlord for the cost of such performance upon demand.</w:t>
      </w:r>
    </w:p>
    <w:p>
      <w:pPr>
        <w:spacing w:after="0" w:line="62" w:lineRule="exact"/>
        <w:rPr>
          <w:sz w:val="20"/>
          <w:szCs w:val="20"/>
          <w:color w:val="auto"/>
        </w:rPr>
      </w:pPr>
    </w:p>
    <w:p>
      <w:pPr>
        <w:ind w:right="300" w:firstLine="436"/>
        <w:spacing w:after="0" w:line="255" w:lineRule="auto"/>
        <w:rPr>
          <w:sz w:val="20"/>
          <w:szCs w:val="20"/>
          <w:color w:val="auto"/>
        </w:rPr>
      </w:pPr>
      <w:r>
        <w:rPr>
          <w:rFonts w:ascii="Arial" w:cs="Arial" w:eastAsia="Arial" w:hAnsi="Arial"/>
          <w:sz w:val="18"/>
          <w:szCs w:val="18"/>
          <w:color w:val="auto"/>
        </w:rPr>
        <w:t xml:space="preserve">16.06 </w:t>
      </w:r>
      <w:r>
        <w:rPr>
          <w:rFonts w:ascii="Arial" w:cs="Arial" w:eastAsia="Arial" w:hAnsi="Arial"/>
          <w:sz w:val="18"/>
          <w:szCs w:val="18"/>
          <w:u w:val="single" w:color="auto"/>
          <w:color w:val="auto"/>
        </w:rPr>
        <w:t>Claims in Bankruptcy</w:t>
      </w:r>
      <w:r>
        <w:rPr>
          <w:rFonts w:ascii="Arial" w:cs="Arial" w:eastAsia="Arial" w:hAnsi="Arial"/>
          <w:sz w:val="18"/>
          <w:szCs w:val="18"/>
          <w:color w:val="auto"/>
        </w:rPr>
        <w:t>. Nothing herein shall limit or prejudice the right of Landlord to prove and obtain in a proceeding for bankruptcy, insolvency, arrangement or reorganization, by reason of the termination, an amount equal to the maximum allowed by a statute or law in effect at the time when, and governing the proceedings in which, the damages are to be proved, whether or not the amount is greater to, equal to, or less than the amount of the loss or damage which Landlord has suffered.</w:t>
      </w:r>
    </w:p>
    <w:p>
      <w:pPr>
        <w:spacing w:after="0" w:line="83" w:lineRule="exact"/>
        <w:rPr>
          <w:sz w:val="20"/>
          <w:szCs w:val="20"/>
          <w:color w:val="auto"/>
        </w:rPr>
      </w:pPr>
    </w:p>
    <w:p>
      <w:pPr>
        <w:ind w:right="200" w:firstLine="436"/>
        <w:spacing w:after="0" w:line="269" w:lineRule="auto"/>
        <w:rPr>
          <w:sz w:val="20"/>
          <w:szCs w:val="20"/>
          <w:color w:val="auto"/>
        </w:rPr>
      </w:pPr>
      <w:r>
        <w:rPr>
          <w:rFonts w:ascii="Arial" w:cs="Arial" w:eastAsia="Arial" w:hAnsi="Arial"/>
          <w:sz w:val="17"/>
          <w:szCs w:val="17"/>
          <w:color w:val="auto"/>
        </w:rPr>
        <w:t xml:space="preserve">16.07 </w:t>
      </w:r>
      <w:r>
        <w:rPr>
          <w:rFonts w:ascii="Arial" w:cs="Arial" w:eastAsia="Arial" w:hAnsi="Arial"/>
          <w:sz w:val="17"/>
          <w:szCs w:val="17"/>
          <w:u w:val="single" w:color="auto"/>
          <w:color w:val="auto"/>
        </w:rPr>
        <w:t>Late Charges and Fees</w:t>
      </w:r>
      <w:r>
        <w:rPr>
          <w:rFonts w:ascii="Arial" w:cs="Arial" w:eastAsia="Arial" w:hAnsi="Arial"/>
          <w:sz w:val="17"/>
          <w:szCs w:val="17"/>
          <w:color w:val="auto"/>
        </w:rPr>
        <w:t>. If Tenant does not pay any Rent when due hereunder, then without notice and in addition to all other remedies hereunder, Tenant shall pay to Landlord an administration fee in the amount of four percent (4%) of the unpaid Rent, plus interest on such unpaid amount at the rate of one and one half percent (1.5%) per month from the date such amount was due until the date paid (which interest, as accrued to date, shall be payable from time to time upon Tenant’s receipt of an invoice thereof); provided, however, in no event shall such interest exceed the maximum amount permitted to be charged by applicable law. Notwithstanding the foregoing, Tenant shall be entitled to a grace period of five (5) days for the first two (2) late payments of Rent in any twelve-(12)-month period prior to the imposition of the foregoing amounts. In addition, Tenant shall pay to Landlord a reasonable fee for any checks returned by Tenant’s bank for any reason.</w:t>
      </w:r>
    </w:p>
    <w:p>
      <w:pPr>
        <w:spacing w:after="0" w:line="71"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 xml:space="preserve">16.08 </w:t>
      </w:r>
      <w:r>
        <w:rPr>
          <w:rFonts w:ascii="Arial" w:cs="Arial" w:eastAsia="Arial" w:hAnsi="Arial"/>
          <w:sz w:val="18"/>
          <w:szCs w:val="18"/>
          <w:u w:val="single" w:color="auto"/>
          <w:color w:val="auto"/>
        </w:rPr>
        <w:t>Enforcement Costs</w:t>
      </w:r>
      <w:r>
        <w:rPr>
          <w:rFonts w:ascii="Arial" w:cs="Arial" w:eastAsia="Arial" w:hAnsi="Arial"/>
          <w:sz w:val="18"/>
          <w:szCs w:val="18"/>
          <w:color w:val="auto"/>
        </w:rPr>
        <w:t>. Tenant shall pay to Landlord, as Additional Rent, the costs and expenses, including reasonable attorneys’ fees, incurred in enforcing any obligations of Tenant under this Lease with which Tenant has failed to comply.</w:t>
      </w:r>
    </w:p>
    <w:p>
      <w:pPr>
        <w:spacing w:after="0" w:line="68"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6"/>
          <w:szCs w:val="16"/>
          <w:color w:val="auto"/>
        </w:rPr>
        <w:t xml:space="preserve">16.09 </w:t>
      </w:r>
      <w:r>
        <w:rPr>
          <w:rFonts w:ascii="Arial" w:cs="Arial" w:eastAsia="Arial" w:hAnsi="Arial"/>
          <w:sz w:val="16"/>
          <w:szCs w:val="16"/>
          <w:u w:val="single" w:color="auto"/>
          <w:color w:val="auto"/>
        </w:rPr>
        <w:t>General</w:t>
      </w:r>
      <w:r>
        <w:rPr>
          <w:rFonts w:ascii="Arial" w:cs="Arial" w:eastAsia="Arial" w:hAnsi="Arial"/>
          <w:sz w:val="16"/>
          <w:szCs w:val="16"/>
          <w:color w:val="auto"/>
        </w:rPr>
        <w:t>. The repossession or re-entering of all or any part of the Premises shall not relieve Tenant of its liabilities and obligations under this Lease. No right or remedy of Landlord shall be exclusive of any other right or remedy, and each right and remedy shall be cumulative and in addition to any other right and remedy now or subsequently available to Landlord at law or in equity. Without limiting the generality of the foregoing, in addition to the other remedies provided in this Lease, Landlord shall be entitled to the restraint by court order of the violation or attempted or threatened violation of any of the provisions of this Lease or of applicable Law or to a decree compelling specific performance of any such provisions.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80" w:top="273" w:right="49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17. Limitation of Liability.</w:t>
      </w:r>
    </w:p>
    <w:p>
      <w:pPr>
        <w:spacing w:after="0" w:line="118"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 xml:space="preserve">17.01 </w:t>
      </w:r>
      <w:r>
        <w:rPr>
          <w:rFonts w:ascii="Arial" w:cs="Arial" w:eastAsia="Arial" w:hAnsi="Arial"/>
          <w:sz w:val="17"/>
          <w:szCs w:val="17"/>
          <w:u w:val="single" w:color="auto"/>
          <w:color w:val="auto"/>
        </w:rPr>
        <w:t>Landlord’s Liability</w:t>
      </w:r>
      <w:r>
        <w:rPr>
          <w:rFonts w:ascii="Arial" w:cs="Arial" w:eastAsia="Arial" w:hAnsi="Arial"/>
          <w:sz w:val="17"/>
          <w:szCs w:val="17"/>
          <w:color w:val="auto"/>
        </w:rPr>
        <w:t>. Tenant agrees from time to time to look only to Landlord’s interest in the Property (including, without limitation, uncollected rent, property insurance, condemnation and sale proceeds prior to distribution thereof, but subject to the rights of any Mortgagee and to Landlord’s right to use any insurance and condemnation proceeds for the purposes of repairing and restoring the Building and the Property) for satisfaction of any claim against Landlord hereunder or under any other instrument related to the Lease (including any separate agreements among the parties and any notices or certificates delivered by Landlord) and not to any other property or assets of Landlord. If Landlord from time to time transfers its interest in the Building (or part thereof which includes the Premises), then from and after each such transfer, so long as such transferee shall have assumed all of Landlord’s obligations as under this Lease, Tenant shall look solely to the interests in the Building of each of Landlord’s transferees for the performance of all of the obligations of Landlord hereunder (or under any related instrument). The obligations of Landlord shall not be binding on any direct or indirect partners (or members, trustees or beneficiaries) of Landlord or of any successor, individually, but only upon Landlord’s or such successor’s interest described above. If Landlord shall refuse or fail to provide any consent or approval for any matter for which Landlord’s consent or approval is required under this Lease or is otherwise requested by Tenant, Landlord shall not be liable for damages as a result thereof, and Tenant’s sole remedy to enforce any alleged obligation of Landlord to provide such consent or approval shall be an action for specific performance, injunction, or declaratory relief.</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17.02 </w:t>
      </w:r>
      <w:r>
        <w:rPr>
          <w:rFonts w:ascii="Arial" w:cs="Arial" w:eastAsia="Arial" w:hAnsi="Arial"/>
          <w:sz w:val="18"/>
          <w:szCs w:val="18"/>
          <w:u w:val="single" w:color="auto"/>
          <w:color w:val="auto"/>
        </w:rPr>
        <w:t>Assignment of Rents</w:t>
      </w:r>
      <w:r>
        <w:rPr>
          <w:rFonts w:ascii="Arial" w:cs="Arial" w:eastAsia="Arial" w:hAnsi="Arial"/>
          <w:sz w:val="18"/>
          <w:szCs w:val="18"/>
          <w:color w:val="auto"/>
        </w:rPr>
        <w:t>.</w:t>
      </w:r>
    </w:p>
    <w:p>
      <w:pPr>
        <w:spacing w:after="0" w:line="114" w:lineRule="exact"/>
        <w:rPr>
          <w:sz w:val="20"/>
          <w:szCs w:val="20"/>
          <w:color w:val="auto"/>
        </w:rPr>
      </w:pPr>
    </w:p>
    <w:p>
      <w:pPr>
        <w:ind w:firstLine="990"/>
        <w:spacing w:after="0" w:line="252" w:lineRule="auto"/>
        <w:tabs>
          <w:tab w:leader="none" w:pos="122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With reference to any assignment by Landlord of Landlord’s interest in this Lease, or the rents payable hereunder, conditional in nature or otherwise, which assignment is made to the holder of a mortgage on property which includes the Premises, Tenant agrees 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 except as aforesaid, such holder shall be treated as having assumed Landlord’s obligations hereunder only upon foreclosure of such holder’s mortgage and the taking of possession of the Premises.</w:t>
      </w:r>
    </w:p>
    <w:p>
      <w:pPr>
        <w:spacing w:after="0" w:line="86" w:lineRule="exact"/>
        <w:rPr>
          <w:rFonts w:ascii="Arial" w:cs="Arial" w:eastAsia="Arial" w:hAnsi="Arial"/>
          <w:sz w:val="18"/>
          <w:szCs w:val="18"/>
          <w:color w:val="auto"/>
        </w:rPr>
      </w:pPr>
    </w:p>
    <w:p>
      <w:pPr>
        <w:ind w:right="100" w:firstLine="990"/>
        <w:spacing w:after="0" w:line="343" w:lineRule="auto"/>
        <w:tabs>
          <w:tab w:leader="none" w:pos="1235" w:val="left"/>
        </w:tabs>
        <w:numPr>
          <w:ilvl w:val="0"/>
          <w:numId w:val="542"/>
        </w:numPr>
        <w:rPr>
          <w:rFonts w:ascii="Arial" w:cs="Arial" w:eastAsia="Arial" w:hAnsi="Arial"/>
          <w:sz w:val="14"/>
          <w:szCs w:val="14"/>
          <w:color w:val="auto"/>
        </w:rPr>
      </w:pPr>
      <w:r>
        <w:rPr>
          <w:rFonts w:ascii="Arial" w:cs="Arial" w:eastAsia="Arial" w:hAnsi="Arial"/>
          <w:sz w:val="14"/>
          <w:szCs w:val="14"/>
          <w:color w:val="auto"/>
        </w:rPr>
        <w:t>In no event shall the acquisition of Landlord’s interest in the Property by a purchaser which, simultaneously therewith, leases Landlord’s entire interest in the Property back to the seller thereof be treated as an assumption by operation of law or otherwise, of Landlord’s obligations hereunder, but Tenant shall look solely to such seller-lessee, and its successors from time to time in title, for performance of Landlord’s obligations hereunder. In any such event, this Lease shall be subject and subordinate to the lease to such purchaser. For all purposes, such seller-lessee, and its successors in title, shall be the Landlord hereunder unless and until Landlord’s position shall have been assumed by such purchaser-lessor.</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480" w:top="268" w:right="559" w:bottom="1440" w:gutter="0" w:footer="0" w:header="0"/>
        </w:sectPr>
      </w:pPr>
    </w:p>
    <w:bookmarkStart w:id="627" w:name="page628"/>
    <w:bookmarkEnd w:id="627"/>
    <w:p>
      <w:pPr>
        <w:ind w:right="180" w:firstLine="990"/>
        <w:spacing w:after="0" w:line="293" w:lineRule="auto"/>
        <w:tabs>
          <w:tab w:leader="none" w:pos="1225" w:val="left"/>
        </w:tabs>
        <w:numPr>
          <w:ilvl w:val="0"/>
          <w:numId w:val="5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Except as provided in paragraph (b) of this Section 17.02, in the event of any transfer of title to the Property by Landlord, Landlord shall thereafter be entirely freed and relieved from the performance and observance of all covenants and obligations hereunder; provided, however, Landlord shall be released only to the extent such successor landlord shall have assumed all of Landlord’s obligations under this Lease. Tenant hereby agrees to enter into such reasonable agreements or instruments as may, from time to time, be requested in confirmation of the foregoing, so long as the same provide that Tenant’s rights hereunder shall continue undisturbed so long as there is no Default of Tenant in existence and continuing.</w:t>
      </w:r>
    </w:p>
    <w:p>
      <w:pPr>
        <w:spacing w:after="0" w:line="54"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 xml:space="preserve">17.03 </w:t>
      </w:r>
      <w:r>
        <w:rPr>
          <w:rFonts w:ascii="Arial" w:cs="Arial" w:eastAsia="Arial" w:hAnsi="Arial"/>
          <w:sz w:val="16"/>
          <w:szCs w:val="16"/>
          <w:u w:val="single" w:color="auto"/>
          <w:color w:val="auto"/>
        </w:rPr>
        <w:t>Landlord Default</w:t>
      </w:r>
      <w:r>
        <w:rPr>
          <w:rFonts w:ascii="Arial" w:cs="Arial" w:eastAsia="Arial" w:hAnsi="Arial"/>
          <w:sz w:val="16"/>
          <w:szCs w:val="16"/>
          <w:color w:val="auto"/>
        </w:rPr>
        <w:t>. In the event Tenant alleges that Landlord is in default under any of Landlord’s obligations under this Lease, Tenant agrees to give any Mortgagee (as defined in Section 20), by registered mail, a copy of any notice of default which is served upon the Landlord, provided that prior to such notice, Tenant has been notified, in writing (whether by way of notice of an assignment of lease, request to execute an estoppel letter, or otherwise), of the address of any such Mortgagee. Tenant further agrees that if Landlord shall have failed to cure such default within thirty (30) days after written notice thereof by Tenant (provided, if the nature of Landlord’s failure is such that more than thirty (30) days are reasonably required in order to cure, Landlord shall not be in default if Landlord commences to cure such failure within such thirty (30) day period, and thereafter diligently pursues to cure such failure to completion), such Mortgagee shall have an additional thirty (30) days within which to cure such default, but shall not be obligated to cure such default. If such default cannot be cured within such thirty- (30)-day period, then such Mortgagee shall have such additional time as may be necessary to cure such default, if prior to the end of such thirty-(30)-day period such Mortgagee has commenced and is diligently pursuing such cure or the remedies under the Mortgage necessary for Mortgagee to be able to effect such cure, in which event Tenant shall have no right with respect to such default while such cure and remedies are being diligently pursued by such Mortgagee. Except as may be expressly provided in this Lease, in no event shall Tenant have the right to terminate the Lease nor shall Tenant’s obligation to pay Base Rent or other charges under this Lease abate based upon any default by Landlord of its obligations under the Lease.</w:t>
      </w:r>
    </w:p>
    <w:p>
      <w:pPr>
        <w:spacing w:after="0" w:line="68"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 xml:space="preserve">17.04 </w:t>
      </w:r>
      <w:r>
        <w:rPr>
          <w:rFonts w:ascii="Arial" w:cs="Arial" w:eastAsia="Arial" w:hAnsi="Arial"/>
          <w:sz w:val="18"/>
          <w:szCs w:val="18"/>
          <w:u w:val="single" w:color="auto"/>
          <w:color w:val="auto"/>
        </w:rPr>
        <w:t>Waiver of Consequential Damages</w:t>
      </w:r>
      <w:r>
        <w:rPr>
          <w:rFonts w:ascii="Arial" w:cs="Arial" w:eastAsia="Arial" w:hAnsi="Arial"/>
          <w:sz w:val="18"/>
          <w:szCs w:val="18"/>
          <w:color w:val="auto"/>
        </w:rPr>
        <w:t>. In no event shall Landlord or any Landlord Related Party ever be liable to Tenant for loss of profits, loss of business, or indirect or consequential damages suffered by Tenant from whatever cause. Notwithstanding anything to the contrary contained in this Lease, except for any liability of Tenant expressly permitted under Article 18 of this Lease, Tenant shall not be liable to Landlord or any Landlord Related Party for any loss of rent, loss of business, indirect or consequential damages incurred by Landlord from any cause whatsoever, including the negligence or fault of any of Tenant or the Tenant Related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Holding Over.</w:t>
      </w:r>
    </w:p>
    <w:p>
      <w:pPr>
        <w:spacing w:after="0" w:line="118"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If Tenant fails to surrender all or any part of the Premises at the expiration or earlier termination of this Lease, any such occupancy of all or any part of the Premises after such expiration or termination shall be that of a tenancy at sufferance. Any such occupancy after such expiration or termination shall be subject to all the terms and provisions of this Lease, except that Tenant shall pay an amount for such occupancy (on a per month basis without reduction for partial months during the holdover) equal to the sum of one hundred fifty percent (150%) of the Base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628" w:name="page629"/>
    <w:bookmarkEnd w:id="628"/>
    <w:p>
      <w:pPr>
        <w:ind w:righ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Rent due for the month immediately preceding the holdover and one hundred percent (100%) of any Additional Rent due for the month immediately preceding the holdover. No holdover by Tenant or payment by Tenant after the expiration or earlier termination of this Lease shall be construed to extend the Term or prevent Landlord from immediate recovery of possession of the Premises by summary proceedings or otherwise. In addition, if as a result of such holdover, Landlord is unable to deliver possession of space to a new tenant or to perform improvements therein fora new tenant due to Tenant’s failure to timely vacate all or part of the Premises, Tenant shall be liable to Landlord for all damages and losses that Landlord suffers from the holdover.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Surrender of Premises.</w:t>
      </w:r>
    </w:p>
    <w:p>
      <w:pPr>
        <w:spacing w:after="0" w:line="118" w:lineRule="exact"/>
        <w:rPr>
          <w:sz w:val="20"/>
          <w:szCs w:val="20"/>
          <w:color w:val="auto"/>
        </w:rPr>
      </w:pPr>
    </w:p>
    <w:p>
      <w:pPr>
        <w:ind w:right="60" w:firstLine="436"/>
        <w:spacing w:after="0" w:line="281" w:lineRule="auto"/>
        <w:rPr>
          <w:sz w:val="20"/>
          <w:szCs w:val="20"/>
          <w:color w:val="auto"/>
        </w:rPr>
      </w:pPr>
      <w:r>
        <w:rPr>
          <w:rFonts w:ascii="Arial" w:cs="Arial" w:eastAsia="Arial" w:hAnsi="Arial"/>
          <w:sz w:val="16"/>
          <w:szCs w:val="16"/>
          <w:color w:val="auto"/>
        </w:rPr>
        <w:t>At the expiration or earlier termination of this Lease or Tenant’s right of possession hereunder, Tenant shall remove all Required Removables (if any) under Section 8.03, remove all Tenant’s Property from the Premises, remove all signage installed by or on behalf of Tenant, and quit and surrender the Premises to Landlord, broom clean, and in good order, condition and repair, reasonable wear and tear, taking by eminent domain, damage by Casualty and damage and elements of the Premises which Landlord is obligated to repair hereunder excepted. Tenant shall repair any damage caused by the installation or removal of Tenant’s Property or Required Removables or Tenant’s signage. If Tenant fails to remove any of Tenant’s Property or to restore or repair the Premises to the required condition as provided herein upon the expiration of the Term of this Lease (or, as applicable, within two</w:t>
      </w:r>
    </w:p>
    <w:p>
      <w:pPr>
        <w:spacing w:after="0" w:line="4" w:lineRule="exact"/>
        <w:rPr>
          <w:sz w:val="20"/>
          <w:szCs w:val="20"/>
          <w:color w:val="auto"/>
        </w:rPr>
      </w:pPr>
    </w:p>
    <w:p>
      <w:pPr>
        <w:ind w:right="120" w:firstLine="7"/>
        <w:spacing w:after="0" w:line="286" w:lineRule="auto"/>
        <w:tabs>
          <w:tab w:leader="none" w:pos="252" w:val="left"/>
        </w:tabs>
        <w:numPr>
          <w:ilvl w:val="0"/>
          <w:numId w:val="544"/>
        </w:numPr>
        <w:rPr>
          <w:rFonts w:ascii="Arial" w:cs="Arial" w:eastAsia="Arial" w:hAnsi="Arial"/>
          <w:sz w:val="16"/>
          <w:szCs w:val="16"/>
          <w:color w:val="auto"/>
        </w:rPr>
      </w:pPr>
      <w:r>
        <w:rPr>
          <w:rFonts w:ascii="Arial" w:cs="Arial" w:eastAsia="Arial" w:hAnsi="Arial"/>
          <w:sz w:val="16"/>
          <w:szCs w:val="16"/>
          <w:color w:val="auto"/>
        </w:rPr>
        <w:t>days after any earlier termination of this Lease or Tenant’s right to possession hereunder), then Landlord, at Tenant’s sole cost and expense, shall be entitled, but not obligated, to remove and store Tenant’s Property and/or perform such restoration or repair of the Premises. Landlord shall not be responsible for the value, preservation, or safekeeping of Tenant’s Property, and Tenant shall pay to Landlord, upon demand, the expenses and storage charges so incurred. If Tenant fails to remove Tenant’s Property from the Premises or storage, within thirty (30) days after notice, Landlord may deem all or any part of Tenant’s Property to be abandoned and, at Landlord’s option, subject to applicable Laws, title to Tenant’s Property shall vest in Landlord or Landlord may dispose of Tenant’s Property in any manner Landlord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Subordination; Estoppel Certificate.</w:t>
      </w:r>
    </w:p>
    <w:p>
      <w:pPr>
        <w:spacing w:after="0" w:line="118" w:lineRule="exact"/>
        <w:rPr>
          <w:sz w:val="20"/>
          <w:szCs w:val="20"/>
          <w:color w:val="auto"/>
        </w:rPr>
      </w:pPr>
    </w:p>
    <w:p>
      <w:pPr>
        <w:ind w:right="160" w:firstLine="436"/>
        <w:spacing w:after="0" w:line="253" w:lineRule="auto"/>
        <w:rPr>
          <w:sz w:val="20"/>
          <w:szCs w:val="20"/>
          <w:color w:val="auto"/>
        </w:rPr>
      </w:pPr>
      <w:r>
        <w:rPr>
          <w:rFonts w:ascii="Arial" w:cs="Arial" w:eastAsia="Arial" w:hAnsi="Arial"/>
          <w:sz w:val="18"/>
          <w:szCs w:val="18"/>
          <w:color w:val="auto"/>
        </w:rPr>
        <w:t xml:space="preserve">20.01 </w:t>
      </w:r>
      <w:r>
        <w:rPr>
          <w:rFonts w:ascii="Arial" w:cs="Arial" w:eastAsia="Arial" w:hAnsi="Arial"/>
          <w:sz w:val="18"/>
          <w:szCs w:val="18"/>
          <w:u w:val="single" w:color="auto"/>
          <w:color w:val="auto"/>
        </w:rPr>
        <w:t>Subordination to Ground Lease</w:t>
      </w:r>
      <w:r>
        <w:rPr>
          <w:rFonts w:ascii="Arial" w:cs="Arial" w:eastAsia="Arial" w:hAnsi="Arial"/>
          <w:sz w:val="18"/>
          <w:szCs w:val="18"/>
          <w:color w:val="auto"/>
        </w:rPr>
        <w:t>. This Lease is and shall be subject and subordinate to the Amended, Restated and Consolidated Ground Lease between the Massachusetts Port Authority (as ground lessor) (the “</w:t>
      </w:r>
      <w:r>
        <w:rPr>
          <w:rFonts w:ascii="Arial" w:cs="Arial" w:eastAsia="Arial" w:hAnsi="Arial"/>
          <w:sz w:val="18"/>
          <w:szCs w:val="18"/>
          <w:u w:val="single" w:color="auto"/>
          <w:color w:val="auto"/>
        </w:rPr>
        <w:t>Ground Lessor</w:t>
      </w:r>
      <w:r>
        <w:rPr>
          <w:rFonts w:ascii="Arial" w:cs="Arial" w:eastAsia="Arial" w:hAnsi="Arial"/>
          <w:sz w:val="18"/>
          <w:szCs w:val="18"/>
          <w:color w:val="auto"/>
        </w:rPr>
        <w:t>” or the “</w:t>
      </w:r>
      <w:r>
        <w:rPr>
          <w:rFonts w:ascii="Arial" w:cs="Arial" w:eastAsia="Arial" w:hAnsi="Arial"/>
          <w:sz w:val="18"/>
          <w:szCs w:val="18"/>
          <w:u w:val="single" w:color="auto"/>
          <w:color w:val="auto"/>
        </w:rPr>
        <w:t>Authority</w:t>
      </w:r>
      <w:r>
        <w:rPr>
          <w:rFonts w:ascii="Arial" w:cs="Arial" w:eastAsia="Arial" w:hAnsi="Arial"/>
          <w:sz w:val="18"/>
          <w:szCs w:val="18"/>
          <w:color w:val="auto"/>
        </w:rPr>
        <w:t>”), and Landlord, as successor in interest to Boston Harbor Industrial Development LLC (as ground lessee), dated as of March 31, 2010, notice of which is recorded with the Suffolk County Registry of Deeds in Book 46261, Page 23, and filed with the Suffolk Registry District of the Land Court as Document No. 776685 (the “</w:t>
      </w:r>
      <w:r>
        <w:rPr>
          <w:rFonts w:ascii="Arial" w:cs="Arial" w:eastAsia="Arial" w:hAnsi="Arial"/>
          <w:sz w:val="18"/>
          <w:szCs w:val="18"/>
          <w:u w:val="single" w:color="auto"/>
          <w:color w:val="auto"/>
        </w:rPr>
        <w:t>Ground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Lease</w:t>
      </w:r>
      <w:r>
        <w:rPr>
          <w:rFonts w:ascii="Arial" w:cs="Arial" w:eastAsia="Arial" w:hAnsi="Arial"/>
          <w:sz w:val="18"/>
          <w:szCs w:val="18"/>
          <w:color w:val="auto"/>
        </w:rPr>
        <w:t>”).</w:t>
      </w:r>
    </w:p>
    <w:p>
      <w:pPr>
        <w:spacing w:after="0" w:line="86" w:lineRule="exact"/>
        <w:rPr>
          <w:sz w:val="20"/>
          <w:szCs w:val="20"/>
          <w:color w:val="auto"/>
        </w:rPr>
      </w:pPr>
    </w:p>
    <w:p>
      <w:pPr>
        <w:ind w:firstLine="990"/>
        <w:spacing w:after="0" w:line="275" w:lineRule="auto"/>
        <w:tabs>
          <w:tab w:leader="none" w:pos="1224"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Ground Lessor Consent</w:t>
      </w:r>
      <w:r>
        <w:rPr>
          <w:rFonts w:ascii="Arial" w:cs="Arial" w:eastAsia="Arial" w:hAnsi="Arial"/>
          <w:sz w:val="17"/>
          <w:szCs w:val="17"/>
          <w:color w:val="auto"/>
        </w:rPr>
        <w:t>. Notwithstanding anything to the contrary, Tenant acknowledges that the terms and provisions of this Lease are subject to the prior written consent of Ground Lessor. Accordingly, the effectiveness of this Lease is expressly contingent upon Landlord obtaining Ground Lessor’s consent on or before the date that is sixty (60) days after the Effective Date. Landlord shall use good faith efforts to obtain Ground Lessor’s consent within such sixty (60) day period and shall notify Tenant promptly upon obtaining Ground Lessor’s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480" w:top="272" w:right="519" w:bottom="1440" w:gutter="0" w:footer="0" w:header="0"/>
        </w:sectPr>
      </w:pPr>
    </w:p>
    <w:bookmarkStart w:id="629" w:name="page630"/>
    <w:bookmarkEnd w:id="62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consent. If Ground Lessor disapproves of this Lease, Landlord or Tenant may terminate this Lease by delivering written notice thereof to the other party, whereupon this Lease shall become null and void. If Landlord is unable to obtain Ground Lessor’s consent on or before the date that is sixty (60) days after the Effective Date, then Tenant may terminate this Lease by delivering written notice thereof to Landlord, whereupon this Lease shall become null and void.</w:t>
      </w:r>
    </w:p>
    <w:p>
      <w:pPr>
        <w:spacing w:after="0" w:line="83" w:lineRule="exact"/>
        <w:rPr>
          <w:sz w:val="20"/>
          <w:szCs w:val="20"/>
          <w:color w:val="auto"/>
        </w:rPr>
      </w:pPr>
    </w:p>
    <w:p>
      <w:pPr>
        <w:ind w:right="40" w:firstLine="990"/>
        <w:spacing w:after="0" w:line="285" w:lineRule="auto"/>
        <w:tabs>
          <w:tab w:leader="none" w:pos="1234"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Ground Lease Terminates Prior to Lease</w:t>
      </w:r>
      <w:r>
        <w:rPr>
          <w:rFonts w:ascii="Arial" w:cs="Arial" w:eastAsia="Arial" w:hAnsi="Arial"/>
          <w:sz w:val="16"/>
          <w:szCs w:val="16"/>
          <w:color w:val="auto"/>
        </w:rPr>
        <w:t xml:space="preserve">. In the event the Ground Lease is terminated prior to the termination of this Lease, Ground Lessor, at its option, may require Tenant to attorn to Ground Lessor as landlord and waive any right Tenant has to terminate this Lease, or surrender possession to the Premises as a result of the termination of the Ground Lease, at which time this Lease shall terminate simultaneously with the Ground Lease. Notwithstanding the foregoing or anything to the contrary contained in this Lease, Landlord shall use commercially reasonable efforts to secure for Tenant a Subordination, Non-Disturbance and Attornment Agreement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NDA</w:t>
      </w:r>
      <w:r>
        <w:rPr>
          <w:rFonts w:ascii="Arial" w:cs="Arial" w:eastAsia="Arial" w:hAnsi="Arial"/>
          <w:sz w:val="16"/>
          <w:szCs w:val="16"/>
          <w:color w:val="auto"/>
        </w:rPr>
        <w:t>”), which may be recorded by Tenant at Tenant’s sole expense. As used in the previous sentence, “commercially reasonable efforts” shall mean that, within five (5) business days after the full execution of this Lease, Landlord shall deliver this Lease to Ground Lessor and request that Ground Lessor execute the NDA, and thereafter Landlord shall diligently pursue and use good faith efforts to obtain the executed NDA from Ground Lessor and shall keep Tenant regularly apprised of Landlord’s progress. If Landlord has not delivered to Tenant the NDA within ninety (90) days after the Effective Date, Tenant shall have the right to terminate this Lease by delivering written notice to Landlord.</w:t>
      </w:r>
    </w:p>
    <w:p>
      <w:pPr>
        <w:spacing w:after="0" w:line="61" w:lineRule="exact"/>
        <w:rPr>
          <w:rFonts w:ascii="Arial" w:cs="Arial" w:eastAsia="Arial" w:hAnsi="Arial"/>
          <w:sz w:val="16"/>
          <w:szCs w:val="16"/>
          <w:color w:val="auto"/>
        </w:rPr>
      </w:pPr>
    </w:p>
    <w:p>
      <w:pPr>
        <w:ind w:right="220" w:firstLine="990"/>
        <w:spacing w:after="0" w:line="259" w:lineRule="auto"/>
        <w:tabs>
          <w:tab w:leader="none" w:pos="1224"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Tenant Receives Notice of Landlord Default</w:t>
      </w:r>
      <w:r>
        <w:rPr>
          <w:rFonts w:ascii="Arial" w:cs="Arial" w:eastAsia="Arial" w:hAnsi="Arial"/>
          <w:sz w:val="18"/>
          <w:szCs w:val="18"/>
          <w:color w:val="auto"/>
        </w:rPr>
        <w:t>. In the event Tenant receives notice from Ground Lessor that an “Event of Default” has occurred under the terms of the Ground Lease, Tenant shall thereafter be obligated to pay all Base Rent, Additional Rent and all other sums due hereunder to Ground Lessor or as Ground Lessor may direct.</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Compliance with Massachusetts Port Authority’s Non-discrimination and Affirmative Action Requirements</w:t>
      </w:r>
      <w:r>
        <w:rPr>
          <w:rFonts w:ascii="Arial" w:cs="Arial" w:eastAsia="Arial" w:hAnsi="Arial"/>
          <w:sz w:val="18"/>
          <w:szCs w:val="18"/>
          <w:color w:val="auto"/>
        </w:rPr>
        <w:t>. Tenant shall:</w:t>
      </w:r>
    </w:p>
    <w:p>
      <w:pPr>
        <w:spacing w:after="0" w:line="113" w:lineRule="exact"/>
        <w:rPr>
          <w:rFonts w:ascii="Arial" w:cs="Arial" w:eastAsia="Arial" w:hAnsi="Arial"/>
          <w:sz w:val="18"/>
          <w:szCs w:val="18"/>
          <w:color w:val="auto"/>
        </w:rPr>
      </w:pPr>
    </w:p>
    <w:p>
      <w:pPr>
        <w:ind w:right="80" w:firstLine="1426"/>
        <w:spacing w:after="0" w:line="268" w:lineRule="auto"/>
        <w:tabs>
          <w:tab w:leader="none" w:pos="1632" w:val="left"/>
        </w:tabs>
        <w:numPr>
          <w:ilvl w:val="1"/>
          <w:numId w:val="546"/>
        </w:numPr>
        <w:rPr>
          <w:rFonts w:ascii="Arial" w:cs="Arial" w:eastAsia="Arial" w:hAnsi="Arial"/>
          <w:sz w:val="17"/>
          <w:szCs w:val="17"/>
          <w:color w:val="auto"/>
        </w:rPr>
      </w:pPr>
      <w:r>
        <w:rPr>
          <w:rFonts w:ascii="Arial" w:cs="Arial" w:eastAsia="Arial" w:hAnsi="Arial"/>
          <w:sz w:val="17"/>
          <w:szCs w:val="17"/>
          <w:color w:val="auto"/>
        </w:rPr>
        <w:t>Not discriminate against any person, employee, or applicant for employment because of that person’s membership in any legally protected class, including, but not limited to, their race, color, gender, religion, creed, national origin, ancestry, age being greater than forty years, sex, sexual orientation, disability, genetic information, or Vietnam-era veteran status in the use of the Premises, including the hiring and discharging of employees, the provision or use of services, the selection of suppliers and contractors, in the subleasing or refusing to sublease any portion of the Premises or providing or refusing to provide any services or use of any facility. In addition, Tenant its successors in interest, subtenants, licensees, managers, operators, and assigns shall not discriminate against any person, employee, or applicant for employment who is a member of, or applies to perform service in, or has an obligation to perform service in a uniformed military service of the United States, including the National Guard, on the basis of that membership, application or obligation.</w:t>
      </w:r>
    </w:p>
    <w:p>
      <w:pPr>
        <w:spacing w:after="0" w:line="72" w:lineRule="exact"/>
        <w:rPr>
          <w:rFonts w:ascii="Arial" w:cs="Arial" w:eastAsia="Arial" w:hAnsi="Arial"/>
          <w:sz w:val="17"/>
          <w:szCs w:val="17"/>
          <w:color w:val="auto"/>
        </w:rPr>
      </w:pPr>
    </w:p>
    <w:p>
      <w:pPr>
        <w:ind w:right="500" w:firstLine="1426"/>
        <w:spacing w:after="0" w:line="271" w:lineRule="auto"/>
        <w:tabs>
          <w:tab w:leader="none" w:pos="1681"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Conspicuously post notices to employees and prospective employees setting forth the Fair Employee Practices Law of the Commonwealth of Massachusetts.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80" w:top="272" w:right="539" w:bottom="1440" w:gutter="0" w:footer="0" w:header="0"/>
        </w:sectPr>
      </w:pPr>
    </w:p>
    <w:bookmarkStart w:id="630" w:name="page631"/>
    <w:bookmarkEnd w:id="630"/>
    <w:p>
      <w:pPr>
        <w:ind w:right="40" w:firstLine="1972"/>
        <w:spacing w:after="0" w:line="307" w:lineRule="auto"/>
        <w:tabs>
          <w:tab w:leader="none" w:pos="2276" w:val="left"/>
        </w:tabs>
        <w:numPr>
          <w:ilvl w:val="0"/>
          <w:numId w:val="5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Comply with all applicable federal, state and local laws, rules, regulations and orders and the Authority’s rules and orders (provided that, with respect to the Authority’s rules and orders, copies of such rules and orders have been provided to Tenant) pertaining to Civil Rights and Equal Opportunity, including but not limited to Executive Orders 11246 and 11478 as amended, unless otherwise exempt therefrom.</w:t>
      </w:r>
    </w:p>
    <w:p>
      <w:pPr>
        <w:spacing w:after="0" w:line="43"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 xml:space="preserve">20.02 </w:t>
      </w:r>
      <w:r>
        <w:rPr>
          <w:rFonts w:ascii="Arial" w:cs="Arial" w:eastAsia="Arial" w:hAnsi="Arial"/>
          <w:sz w:val="16"/>
          <w:szCs w:val="16"/>
          <w:u w:val="single" w:color="auto"/>
          <w:color w:val="auto"/>
        </w:rPr>
        <w:t>Subordination to Mortgages</w:t>
      </w:r>
      <w:r>
        <w:rPr>
          <w:rFonts w:ascii="Arial" w:cs="Arial" w:eastAsia="Arial" w:hAnsi="Arial"/>
          <w:sz w:val="16"/>
          <w:szCs w:val="16"/>
          <w:color w:val="auto"/>
        </w:rPr>
        <w:t>. This Lease is and shall be subject and subordinate to the lien of any mortgage(s), deed(s) of trust, deeds to secure debt, ground lease(s) other than the Ground Lease, or other lien(s) now or subsequently arising upon the Premises, the Building or the Property, and to all renewals, modifications, refinancings, and extensions thereof (collectively referred to as a “</w:t>
      </w:r>
      <w:r>
        <w:rPr>
          <w:rFonts w:ascii="Arial" w:cs="Arial" w:eastAsia="Arial" w:hAnsi="Arial"/>
          <w:sz w:val="16"/>
          <w:szCs w:val="16"/>
          <w:u w:val="single" w:color="auto"/>
          <w:color w:val="auto"/>
        </w:rPr>
        <w:t>Mortgage</w:t>
      </w:r>
      <w:r>
        <w:rPr>
          <w:rFonts w:ascii="Arial" w:cs="Arial" w:eastAsia="Arial" w:hAnsi="Arial"/>
          <w:sz w:val="16"/>
          <w:szCs w:val="16"/>
          <w:color w:val="auto"/>
        </w:rPr>
        <w:t>”). The party having the benefit of a Mortgage shall be referred to as a “</w:t>
      </w:r>
      <w:r>
        <w:rPr>
          <w:rFonts w:ascii="Arial" w:cs="Arial" w:eastAsia="Arial" w:hAnsi="Arial"/>
          <w:sz w:val="16"/>
          <w:szCs w:val="16"/>
          <w:u w:val="single" w:color="auto"/>
          <w:color w:val="auto"/>
        </w:rPr>
        <w:t>Mortgagee</w:t>
      </w:r>
      <w:r>
        <w:rPr>
          <w:rFonts w:ascii="Arial" w:cs="Arial" w:eastAsia="Arial" w:hAnsi="Arial"/>
          <w:sz w:val="16"/>
          <w:szCs w:val="16"/>
          <w:color w:val="auto"/>
        </w:rPr>
        <w:t>”. This clause shall be self-operative, but upon request from Landlord or a Mortgagee, Tenant shall execute a subordination agreement in favor of the Mortgagee and Tenant in such Mortgagee’s standard form, with such commercially reasonable changes as Tenant may request that are acceptable to Mortgagee for other comparable leases in the Building. As an alternative, any Mortgagee shall have the right at any time to subordinate its Mortgage to this Lease. Upon request, Tenant, without charge, shall attorn to any successor to Landlord’s interest in this Lease. In the event Mortgagee enforces it rights under the Mortgage, Tenant, at Mortgagee’s option, will attorn to Mortgagee or its successor; provided, however, that Mortgagee or its successor shall not be liable for or bound by (i) any payment of any Rent installment which may have been made more than thirty (30) days before the due date of such installment, (ii) any actor omission of or default by Landlord under this Lease (but Mortgagee, or such successor, shall be subject to the continuing obligations of landlord under the Lease arising from and after such succession, but only to the extent of Mortgagee’s, or such successor’s, interest in the Property as provided in Section 17), (iii) any credits, claims, setoffs or defenses which Tenant may have against Landlord, or (iv) any obligation under this Lease to maintain a fitness facility at the Building, if any. Tenant, upon the reasonable request by Mortgagee or such successor in interest, shall execute and deliver an instrument or instruments confirming such attornment.</w:t>
      </w:r>
    </w:p>
    <w:p>
      <w:pPr>
        <w:spacing w:after="0" w:line="65"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20.03 </w:t>
      </w:r>
      <w:r>
        <w:rPr>
          <w:rFonts w:ascii="Arial" w:cs="Arial" w:eastAsia="Arial" w:hAnsi="Arial"/>
          <w:sz w:val="18"/>
          <w:szCs w:val="18"/>
          <w:u w:val="single" w:color="auto"/>
          <w:color w:val="auto"/>
        </w:rPr>
        <w:t>Modification of Lease</w:t>
      </w:r>
      <w:r>
        <w:rPr>
          <w:rFonts w:ascii="Arial" w:cs="Arial" w:eastAsia="Arial" w:hAnsi="Arial"/>
          <w:sz w:val="18"/>
          <w:szCs w:val="18"/>
          <w:color w:val="auto"/>
        </w:rPr>
        <w:t>. If any Mortgagee requires a modification of this Lease, which modification will not cause an increased cost or expense to Tenant or in any other way adversely change the rights and obligations of Tenant hereunder, Tenant agrees that this Lease may be so modified and agrees to execute whatever documents are reasonably required therefor and to deliver the same to Landlord within ten (10) Business Days following a request therefor. At the request of Landlord or any Mortgagee, Tenant agrees to execute a short form of this Lease and deliver the same to Landlord within ten (10) Business Days following the request therefor.</w:t>
      </w:r>
    </w:p>
    <w:p>
      <w:pPr>
        <w:spacing w:after="0" w:line="86" w:lineRule="exact"/>
        <w:rPr>
          <w:sz w:val="20"/>
          <w:szCs w:val="20"/>
          <w:color w:val="auto"/>
        </w:rPr>
      </w:pPr>
    </w:p>
    <w:p>
      <w:pPr>
        <w:ind w:right="100" w:firstLine="436"/>
        <w:spacing w:after="0" w:line="275" w:lineRule="auto"/>
        <w:rPr>
          <w:sz w:val="20"/>
          <w:szCs w:val="20"/>
          <w:color w:val="auto"/>
        </w:rPr>
      </w:pPr>
      <w:r>
        <w:rPr>
          <w:rFonts w:ascii="Arial" w:cs="Arial" w:eastAsia="Arial" w:hAnsi="Arial"/>
          <w:sz w:val="17"/>
          <w:szCs w:val="17"/>
          <w:color w:val="auto"/>
        </w:rPr>
        <w:t xml:space="preserve">20.04 </w:t>
      </w:r>
      <w:r>
        <w:rPr>
          <w:rFonts w:ascii="Arial" w:cs="Arial" w:eastAsia="Arial" w:hAnsi="Arial"/>
          <w:sz w:val="17"/>
          <w:szCs w:val="17"/>
          <w:u w:val="single" w:color="auto"/>
          <w:color w:val="auto"/>
        </w:rPr>
        <w:t>Estoppel Certificate</w:t>
      </w:r>
      <w:r>
        <w:rPr>
          <w:rFonts w:ascii="Arial" w:cs="Arial" w:eastAsia="Arial" w:hAnsi="Arial"/>
          <w:sz w:val="17"/>
          <w:szCs w:val="17"/>
          <w:color w:val="auto"/>
        </w:rPr>
        <w:t>. Tenant shall, within ten (10) Business Days after receipt of a written request, execute and deliver a commercially reasonable estoppel certificate addressed to Landlord and any parties reasonably requested by Landlord, such as a current or prospective Mortgagee or purchaser of the Building. Without limitation, such estoppel certificate may include a certification as to the status of this Lease and any particular obligations thereunder, the existence of any defaults, and the amount of Rent that is then due and payable.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480" w:top="272" w:right="579" w:bottom="1440" w:gutter="0" w:footer="0" w:header="0"/>
        </w:sectPr>
      </w:pPr>
    </w:p>
    <w:bookmarkStart w:id="631" w:name="page632"/>
    <w:bookmarkEnd w:id="631"/>
    <w:p>
      <w:pPr>
        <w:ind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20.05 </w:t>
      </w:r>
      <w:r>
        <w:rPr>
          <w:rFonts w:ascii="Arial" w:cs="Arial" w:eastAsia="Arial" w:hAnsi="Arial"/>
          <w:sz w:val="17"/>
          <w:szCs w:val="17"/>
          <w:u w:val="single" w:color="auto"/>
          <w:color w:val="auto"/>
        </w:rPr>
        <w:t>Tenant Information</w:t>
      </w:r>
      <w:r>
        <w:rPr>
          <w:rFonts w:ascii="Arial" w:cs="Arial" w:eastAsia="Arial" w:hAnsi="Arial"/>
          <w:sz w:val="17"/>
          <w:szCs w:val="17"/>
          <w:color w:val="auto"/>
        </w:rPr>
        <w:t>. Upon Landlord’s request from time to time (but not more than once in any twelve (12) month period, except in connection with a proposed sale, financing or refinancing of the Building, or following a Default, in which cases the foregoing limitation shall not apply), Tenant shall provide to Landlord the financial statements for Tenant that have been most recently prepared by Tenant (typically through the fiscal quarter immediately prior to such request). Financial statements for each fiscal year shall be prepared and certified by a certified public accountant; financial statements for each quarter shall be prepared and certified by Tenant’s chief financial officer. Notwithstanding the foregoing, in no event shall Tenant be required to provide any financial information to Landlord which Tenant does not otherwise prepare (or cause to be prepared) for its own purposes. If requested by Tenant, such financial statements shall be furnished pursuant to a confidentiality agreement in a form reasonably provided by Landlord and reasonably acceptable to Tenant for such purpose.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Miscellaneous.</w:t>
      </w:r>
    </w:p>
    <w:p>
      <w:pPr>
        <w:spacing w:after="0" w:line="118"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21.01 </w:t>
      </w:r>
      <w:r>
        <w:rPr>
          <w:rFonts w:ascii="Arial" w:cs="Arial" w:eastAsia="Arial" w:hAnsi="Arial"/>
          <w:sz w:val="16"/>
          <w:szCs w:val="16"/>
          <w:u w:val="single" w:color="auto"/>
          <w:color w:val="auto"/>
        </w:rPr>
        <w:t>Measurement of Floor Area</w:t>
      </w:r>
      <w:r>
        <w:rPr>
          <w:rFonts w:ascii="Arial" w:cs="Arial" w:eastAsia="Arial" w:hAnsi="Arial"/>
          <w:sz w:val="16"/>
          <w:szCs w:val="16"/>
          <w:color w:val="auto"/>
        </w:rPr>
        <w:t xml:space="preserve">. Landlord and Tenant stipulate and agree that the Rentable Floor Area of the Premises originally leased to Tenant shall be conclusively deemed to be as specified in Section 1 and that the Rentable Floor Area of the Building is as specified in Section 1 as of the date hereof. Any change in the Rentable Floor Area of the Premises on account of expansion shall be conclusively deemed to be as specified in any applicable expansion provisions under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(if any) or in any amendment hereafter executed by Landlord and Tenant in connection with such expansion (if any). Any other change in the Rentable Floor Area of the Premises on account of casualty, condemnation, or the like shall be determined in accordance with the measurement standard that was originally used to determine the stipulated Rentable Floor Area for the space in question. Any change in the Rentable Floor Area of the Building on account of casualty, condemnation, or the like shall be determined from time to time by Landlord based on area computations supplied by Landlord’s architect, which determinations shall be conclusive. References in this Lease to floor area measurements and square footage shall mean Rentable Floor Area unless the reference explicitly provides otherwise.</w:t>
      </w:r>
    </w:p>
    <w:p>
      <w:pPr>
        <w:spacing w:after="0" w:line="60" w:lineRule="exact"/>
        <w:rPr>
          <w:sz w:val="20"/>
          <w:szCs w:val="20"/>
          <w:color w:val="auto"/>
        </w:rPr>
      </w:pPr>
    </w:p>
    <w:p>
      <w:pPr>
        <w:ind w:right="60" w:firstLine="436"/>
        <w:spacing w:after="0" w:line="282" w:lineRule="auto"/>
        <w:rPr>
          <w:sz w:val="20"/>
          <w:szCs w:val="20"/>
          <w:color w:val="auto"/>
        </w:rPr>
      </w:pPr>
      <w:r>
        <w:rPr>
          <w:rFonts w:ascii="Arial" w:cs="Arial" w:eastAsia="Arial" w:hAnsi="Arial"/>
          <w:sz w:val="16"/>
          <w:szCs w:val="16"/>
          <w:color w:val="auto"/>
        </w:rPr>
        <w:t xml:space="preserve">21.02 </w:t>
      </w:r>
      <w:r>
        <w:rPr>
          <w:rFonts w:ascii="Arial" w:cs="Arial" w:eastAsia="Arial" w:hAnsi="Arial"/>
          <w:sz w:val="16"/>
          <w:szCs w:val="16"/>
          <w:u w:val="single" w:color="auto"/>
          <w:color w:val="auto"/>
        </w:rPr>
        <w:t>Notice of Lease</w:t>
      </w:r>
      <w:r>
        <w:rPr>
          <w:rFonts w:ascii="Arial" w:cs="Arial" w:eastAsia="Arial" w:hAnsi="Arial"/>
          <w:sz w:val="16"/>
          <w:szCs w:val="16"/>
          <w:color w:val="auto"/>
        </w:rPr>
        <w:t>. Tenant shall not record this Lease. Tenant, at Tenant’s cost and expense, shall be entitled to record a memorandum or notice of lease or other short form lease (each deemed a “</w:t>
      </w:r>
      <w:r>
        <w:rPr>
          <w:rFonts w:ascii="Arial" w:cs="Arial" w:eastAsia="Arial" w:hAnsi="Arial"/>
          <w:sz w:val="16"/>
          <w:szCs w:val="16"/>
          <w:u w:val="single" w:color="auto"/>
          <w:color w:val="auto"/>
        </w:rPr>
        <w:t>notice of lease</w:t>
      </w:r>
      <w:r>
        <w:rPr>
          <w:rFonts w:ascii="Arial" w:cs="Arial" w:eastAsia="Arial" w:hAnsi="Arial"/>
          <w:sz w:val="16"/>
          <w:szCs w:val="16"/>
          <w:color w:val="auto"/>
        </w:rPr>
        <w:t>” hereunder) in accordance with any statutory requirements of the state in which the Building is located, and otherwise subject to Landlord’s reasonable approval regarding the form and substance of the notice of lease, and Landlord agrees to execute and have the same acknowledged and returned to Tenant promptly following Tenant’s request. Tenant shall record all necessary documentation to release such notice of lease of record within thirty (30) days following the earlier to occur of (i) the Term Expiration Date, or</w:t>
      </w:r>
    </w:p>
    <w:p>
      <w:pPr>
        <w:spacing w:after="0" w:line="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(ii) termination of this Lease or Tenant’s right to possession under this Lease. If Tenant fails to have such notice of lease released within such thirty-(30)-day period, Landlord shall be entitled to take all action as is reasonably necessary to cause such notice of lease to be released. In such event, Tenant shall reimburse Landlord for any reasonable costs and expenses, including reasonable attorneys’ fees, incurred by Landlord in causing the notice of lease to be released of record. In no event shall such notice of lease set forth the rent or other charges payable by Tenant under this Lease; and any such document shall expressly state that it is executed pursuant to the provisions contained in this Lease and is not intended to vary the terms and conditions of this Lease.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1" w:right="499" w:bottom="1440" w:gutter="0" w:footer="0" w:header="0"/>
        </w:sectPr>
      </w:pPr>
    </w:p>
    <w:bookmarkStart w:id="632" w:name="page633"/>
    <w:bookmarkEnd w:id="632"/>
    <w:p>
      <w:pPr>
        <w:ind w:firstLine="43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21.03 </w:t>
      </w:r>
      <w:r>
        <w:rPr>
          <w:rFonts w:ascii="Arial" w:cs="Arial" w:eastAsia="Arial" w:hAnsi="Arial"/>
          <w:sz w:val="16"/>
          <w:szCs w:val="16"/>
          <w:u w:val="single" w:color="auto"/>
          <w:color w:val="auto"/>
        </w:rPr>
        <w:t>Governing Law, Etc</w:t>
      </w:r>
      <w:r>
        <w:rPr>
          <w:rFonts w:ascii="Arial" w:cs="Arial" w:eastAsia="Arial" w:hAnsi="Arial"/>
          <w:sz w:val="16"/>
          <w:szCs w:val="16"/>
          <w:color w:val="auto"/>
        </w:rPr>
        <w:t>. This Lease shall be interpreted and enforced in accordance with the Laws of the state or commonwealth in which the Building is located and Landlord and Tenant hereby irrevocably consent to the jurisdiction and proper venue of such state or commonwealth. This Lease contains all of the agreements and understandings between Landlord and Tenant with respect to the Premises and supersedes all prior writings and dealings between them with respect thereto, including all lease proposals, letters of intent and other documents. Neither party is relying upon any warranty, statement or representation not contained in this Lease. If any term or provision of this Lease shall to any extent be void or unenforceable, the remainder of this Lease shall not be affected. This Lease may be amended only by a writing signed by all of the parties hereto. The titles are for convenience only and shall not be considered a part of the Lease. Where the phrases “persons acting under Tenant” or “persons claiming under Tenant” or similar phrases are used, such persons shall include subtenants, sub-subtenants, and licensees, and all employees, agents, independent contractors and invitees of Tenant or of such other parties. The enumeration of specific examples of or inclusions in a general provision shall not be construed as a limitation of the general provision. If Tenant is granted any extension option, expansion option, or other right or option, the exercise of such right or option (and notice thereof) must be irrevocable to be effective, time always being of the essence to the exercise of such right or option; and if Tenant purports to condition the exercise of any option or to vary its terms in any manner, then the option granted shall be void and the purported exercise shall be ineffective. Unless otherwise stated herein, any consent or approval required hereunder may be given or withheld in the sole absolute discretion of the party whose consent or approval is required. Nothing herein shall be construed as creating the relationship between Landlord and Tenant of principal and agent, or of partners or joint venturers, or any relationship other than landlord and tenant. Tenant’s covenants contained in this Lease are independent and not dependent, and Tenant hereby waives the benefit of any statute or judicial law to the contrary. Tenant’s covenant to pay Rent is independent of every other covenant in this Lease. Tenant’s obligation to pay Rent shall not be discharged or otherwise affected by any law or regulation now or hereafter applicable to the Premises or any other restriction on Tenant’s use (except as expressly provided in this Lease), or any casualty or taking (except as expressly provided in this Lease), or any other occurrence; and no termination or abatement remedy that is not expressly provided for in this Lease for any breach or failure by Landlord to perform any obligation under this Lease shall be implied or applicable as a matter of law.</w:t>
      </w:r>
    </w:p>
    <w:p>
      <w:pPr>
        <w:spacing w:after="0" w:line="63" w:lineRule="exact"/>
        <w:rPr>
          <w:sz w:val="20"/>
          <w:szCs w:val="20"/>
          <w:color w:val="auto"/>
        </w:rPr>
      </w:pPr>
    </w:p>
    <w:p>
      <w:pPr>
        <w:ind w:right="20" w:firstLine="436"/>
        <w:spacing w:after="0" w:line="285" w:lineRule="auto"/>
        <w:rPr>
          <w:sz w:val="20"/>
          <w:szCs w:val="20"/>
          <w:color w:val="auto"/>
        </w:rPr>
      </w:pPr>
      <w:r>
        <w:rPr>
          <w:rFonts w:ascii="Arial" w:cs="Arial" w:eastAsia="Arial" w:hAnsi="Arial"/>
          <w:sz w:val="16"/>
          <w:szCs w:val="16"/>
          <w:color w:val="auto"/>
        </w:rPr>
        <w:t xml:space="preserve">21.04 </w:t>
      </w:r>
      <w:r>
        <w:rPr>
          <w:rFonts w:ascii="Arial" w:cs="Arial" w:eastAsia="Arial" w:hAnsi="Arial"/>
          <w:sz w:val="16"/>
          <w:szCs w:val="16"/>
          <w:u w:val="single" w:color="auto"/>
          <w:color w:val="auto"/>
        </w:rPr>
        <w:t>Representations</w:t>
      </w:r>
      <w:r>
        <w:rPr>
          <w:rFonts w:ascii="Arial" w:cs="Arial" w:eastAsia="Arial" w:hAnsi="Arial"/>
          <w:sz w:val="16"/>
          <w:szCs w:val="16"/>
          <w:color w:val="auto"/>
        </w:rPr>
        <w:t>. Tenant represents and warrants to Landlord, and agrees, that each individual executing this Lease on behalf of Tenant is authorized to do so on behalf of Tenant and that Tenant and all beneficial owners of Tenant are not and at no time will be (i) in violation of any Laws relating to terrorism or money laundering, or (ii) among the individuals or entities with whom U.S.persons or entities are restricted from doing business under regulations of the Office of Foreign Assets Control (“OFAC”) of the Department of the Treasury (including those named on OFAC’s Specially Designated Nationals and Blocked Persons List for the purpose of identifying suspected terrorists or on the most current list published by the U.S. Treasury Department Office of Foreign Assets Control at its official website, http://www.treasury.gov/resource-center/sanctions/SDN-List/Pages/default.aspx or any replacement website or other replacement official publication of such list) or under any statute, executive order (including the September 24, 2001, Executive Order Blocking Property and Prohibiting Transactions with Persons Who Commit, Threaten to Commit, or Support Terrorism, known as Executive Order 13224), or other governmental action and Tenant will not Transfer this Lease to, contract with or otherwise engage in any dealings or transactions or be otherwise associated with such persons or entities.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80" w:top="272" w:right="499" w:bottom="1440" w:gutter="0" w:footer="0" w:header="0"/>
        </w:sectPr>
      </w:pPr>
    </w:p>
    <w:bookmarkStart w:id="633" w:name="page634"/>
    <w:bookmarkEnd w:id="633"/>
    <w:p>
      <w:pPr>
        <w:ind w:right="260"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Landlord represents it is not (a) a person or entity designated by the U.S. Government as a Specially Designated National and Blocked Person, designated on the Sectoral Sanctions Identification List or Foreign Sanctions Evader List, maintained by the U.S. Department of Treasury’s Office of Foreign Assets Control; (b) a person or entity who is otherwise the target of any U.S. economic sanctions program such that a U.S. person or entity cannot deal with or otherwise engage in business transactions involving such person or entity; (c) owned at 50% or higher level, or acting for or on behalf of, any person or entity identified in clause (a) and/or (b) above; or (d) located, domiciled or residing in a country that is the target of any U.S. economic sanctions program such that the entry into this Lease would be prohibited under U.S. law.</w:t>
      </w:r>
    </w:p>
    <w:p>
      <w:pPr>
        <w:spacing w:after="0" w:line="71" w:lineRule="exact"/>
        <w:rPr>
          <w:sz w:val="20"/>
          <w:szCs w:val="20"/>
          <w:color w:val="auto"/>
        </w:rPr>
      </w:pPr>
    </w:p>
    <w:p>
      <w:pPr>
        <w:ind w:right="100" w:firstLine="436"/>
        <w:spacing w:after="0" w:line="253" w:lineRule="auto"/>
        <w:rPr>
          <w:sz w:val="20"/>
          <w:szCs w:val="20"/>
          <w:color w:val="auto"/>
        </w:rPr>
      </w:pPr>
      <w:r>
        <w:rPr>
          <w:rFonts w:ascii="Arial" w:cs="Arial" w:eastAsia="Arial" w:hAnsi="Arial"/>
          <w:sz w:val="18"/>
          <w:szCs w:val="18"/>
          <w:color w:val="auto"/>
        </w:rPr>
        <w:t xml:space="preserve">21.05 </w:t>
      </w:r>
      <w:r>
        <w:rPr>
          <w:rFonts w:ascii="Arial" w:cs="Arial" w:eastAsia="Arial" w:hAnsi="Arial"/>
          <w:sz w:val="18"/>
          <w:szCs w:val="18"/>
          <w:u w:val="single" w:color="auto"/>
          <w:color w:val="auto"/>
        </w:rPr>
        <w:t>Waiver of Trial by Jury; No Other Waiver</w:t>
      </w:r>
      <w:r>
        <w:rPr>
          <w:rFonts w:ascii="Arial" w:cs="Arial" w:eastAsia="Arial" w:hAnsi="Arial"/>
          <w:sz w:val="18"/>
          <w:szCs w:val="18"/>
          <w:color w:val="auto"/>
        </w:rPr>
        <w:t>. Landlord and Tenant hereby waive any right to trial by jury in any proceeding based upon a breach of this Lease. No failure by either party to declare a default immediately upon its occurrence, nor any delay by either party in taking action for a default, nor Landlord’s acceptance of Rent with knowledge of a default by Tenant, shall constitute a waiver of the default, nor shall it constitute an estoppel. The delivery of keys to Landlord or to Landlord’s property manager shall not operate as a termination of this Lease or a surrender of the Premises.</w:t>
      </w:r>
    </w:p>
    <w:p>
      <w:pPr>
        <w:spacing w:after="0" w:line="86"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 xml:space="preserve">21.06 </w:t>
      </w:r>
      <w:r>
        <w:rPr>
          <w:rFonts w:ascii="Arial" w:cs="Arial" w:eastAsia="Arial" w:hAnsi="Arial"/>
          <w:sz w:val="18"/>
          <w:szCs w:val="18"/>
          <w:u w:val="single" w:color="auto"/>
          <w:color w:val="auto"/>
        </w:rPr>
        <w:t>Time Periods</w:t>
      </w:r>
      <w:r>
        <w:rPr>
          <w:rFonts w:ascii="Arial" w:cs="Arial" w:eastAsia="Arial" w:hAnsi="Arial"/>
          <w:sz w:val="18"/>
          <w:szCs w:val="18"/>
          <w:color w:val="auto"/>
        </w:rPr>
        <w:t>. Whenever a period of time is prescribed for the taking of an action by Landlord or Tenant (other than the payment of the security deposit or Rent or any amounts to be paid by Landlord pursuant to the express terms of this Lease), the period of time for the performance of such action shall be extended by the number of days that the performance is actually delayed due to strikes, acts of God, shortages of labor or materials, war, terrorist acts, public health emergencies, epidemics, pandemics, governmental mandates or orders, civil disturbances and other causes beyond the reasonable control of the performing party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86"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 xml:space="preserve">21.07 </w:t>
      </w:r>
      <w:r>
        <w:rPr>
          <w:rFonts w:ascii="Arial" w:cs="Arial" w:eastAsia="Arial" w:hAnsi="Arial"/>
          <w:sz w:val="18"/>
          <w:szCs w:val="18"/>
          <w:u w:val="single" w:color="auto"/>
          <w:color w:val="auto"/>
        </w:rPr>
        <w:t>Transfer of the Property</w:t>
      </w:r>
      <w:r>
        <w:rPr>
          <w:rFonts w:ascii="Arial" w:cs="Arial" w:eastAsia="Arial" w:hAnsi="Arial"/>
          <w:sz w:val="18"/>
          <w:szCs w:val="18"/>
          <w:color w:val="auto"/>
        </w:rPr>
        <w:t>. Landlord shall have the right from time to time to transfer and assign, in whole or in part, all of its rights and obligations under this Lease and in the Building and Property and, upon transfer, Landlord shall be released from any further obligations hereunder to the degree that the transferee assumes Landlord’s obligations under this Lease and, in such event, and Tenant agrees to look solely to the successor in interest of Landlord for the performance of such obligations, to the extent that any successor pursuant to a voluntary, third party transfer (but not as part of an involuntary transfer resulting from a foreclosure or deed in lieu thereof) shall have assumed Landlord’s obligations under this Lease from and after the date of the transfer.</w:t>
      </w:r>
    </w:p>
    <w:p>
      <w:pPr>
        <w:spacing w:after="0" w:line="87"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 xml:space="preserve">21.08 </w:t>
      </w:r>
      <w:r>
        <w:rPr>
          <w:rFonts w:ascii="Arial" w:cs="Arial" w:eastAsia="Arial" w:hAnsi="Arial"/>
          <w:sz w:val="18"/>
          <w:szCs w:val="18"/>
          <w:u w:val="single" w:color="auto"/>
          <w:color w:val="auto"/>
        </w:rPr>
        <w:t>Submission</w:t>
      </w:r>
      <w:r>
        <w:rPr>
          <w:rFonts w:ascii="Arial" w:cs="Arial" w:eastAsia="Arial" w:hAnsi="Arial"/>
          <w:sz w:val="18"/>
          <w:szCs w:val="18"/>
          <w:color w:val="auto"/>
        </w:rPr>
        <w:t>. The submission of this Lease to Tenant or a summary of some or all of its provisions for examination does not constitute a reservation of or option for the Premises or an offer to lease, and no legal obligations shall arise with respect to the Premises or other matters herein unless and until such time as this Lease is executed and delivered by Landlord and Tenant and approved by the holder of any mortgage on the Building having the right to approve this Lease.</w:t>
      </w:r>
    </w:p>
    <w:p>
      <w:pPr>
        <w:spacing w:after="0" w:line="83"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21.09 </w:t>
      </w: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that it has dealt directly with and only with the Brokers (described in Section 1) as a broker, agent or finder in connection with this Lease. Tenant shall indemnify and hold Landlord and the Landlord Related Parties harmless from all claims of any brokers, agents or finders other than the Tenant’s Broker claiming to have represented Tenant in connection with this Lease. Landlord hereby agrees to pay all brokerage commissions or finder’s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480" w:top="272" w:right="519" w:bottom="1440" w:gutter="0" w:footer="0" w:header="0"/>
        </w:sectPr>
      </w:pPr>
    </w:p>
    <w:bookmarkStart w:id="634" w:name="page635"/>
    <w:bookmarkEnd w:id="634"/>
    <w:p>
      <w:pPr>
        <w:ind w:right="3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fees (if any) that may be due to the Brokers in connection with this Lease pursuant to its written agreements, if any, with each such Broker. Landlord shall indemnify and hold Tenant and the Tenant Related Parties harmless from all claims of any brokers, agents or finders other than the Landlord’s Broker claiming to have represented Landlord in connection with this Lease. Any assistance rendered by any agent or employee of Landlord in connection with this Lease or any subsequent amendment or modification or any other document related hereto has been or will be made as an accommodation to Tenant solely in furtherance of consummating the transaction on behalf of Landlord, and not as agent for Tenant.</w:t>
      </w:r>
    </w:p>
    <w:p>
      <w:pPr>
        <w:spacing w:after="0" w:line="54" w:lineRule="exact"/>
        <w:rPr>
          <w:sz w:val="20"/>
          <w:szCs w:val="20"/>
          <w:color w:val="auto"/>
        </w:rPr>
      </w:pPr>
    </w:p>
    <w:p>
      <w:pPr>
        <w:ind w:right="300" w:firstLine="436"/>
        <w:spacing w:after="0" w:line="271" w:lineRule="auto"/>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u w:val="single" w:color="auto"/>
          <w:color w:val="auto"/>
        </w:rPr>
        <w:t>Survival</w:t>
      </w:r>
      <w:r>
        <w:rPr>
          <w:rFonts w:ascii="Arial" w:cs="Arial" w:eastAsia="Arial" w:hAnsi="Arial"/>
          <w:sz w:val="18"/>
          <w:szCs w:val="18"/>
          <w:color w:val="auto"/>
        </w:rPr>
        <w:t>. The expiration of the Term, whether by lapse of time, termination or otherwise, shall not relieve either party of any obligations that accrued prior to or which expressly survive the expiration or termination of this Lease.</w:t>
      </w:r>
    </w:p>
    <w:p>
      <w:pPr>
        <w:spacing w:after="0" w:line="68"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u w:val="single" w:color="auto"/>
          <w:color w:val="auto"/>
        </w:rPr>
        <w:t>Quiet Enjoyment</w:t>
      </w:r>
      <w:r>
        <w:rPr>
          <w:rFonts w:ascii="Arial" w:cs="Arial" w:eastAsia="Arial" w:hAnsi="Arial"/>
          <w:sz w:val="18"/>
          <w:szCs w:val="18"/>
          <w:color w:val="auto"/>
        </w:rPr>
        <w:t>. This Lease is subject to all easements, restrictions, agreements, and encumbrances of record to the extent in force and applicable. Landlord covenants that, provided there is no Default of Tenant in existence and continuing, Tenant shall peacefully and quietly have, hold and enjoy the Premises, free from any claim by Landlord or persons claiming under Landlord, but subject to all of the terms and provisions hereof, provisions of Law, and rights of record to which this Lease is or may become subordinate. This covenant is in lieu of any other so called quiet enjoyment covenant, either express or implied. This covenant shall be binding upon Landlord and its successors only during its or their respective periods of ownership of the Building.</w:t>
      </w:r>
    </w:p>
    <w:p>
      <w:pPr>
        <w:spacing w:after="0" w:line="87" w:lineRule="exact"/>
        <w:rPr>
          <w:sz w:val="20"/>
          <w:szCs w:val="20"/>
          <w:color w:val="auto"/>
        </w:rPr>
      </w:pPr>
    </w:p>
    <w:p>
      <w:pPr>
        <w:ind w:right="20" w:firstLine="436"/>
        <w:spacing w:after="0" w:line="264" w:lineRule="auto"/>
        <w:rPr>
          <w:sz w:val="20"/>
          <w:szCs w:val="20"/>
          <w:color w:val="auto"/>
        </w:rPr>
      </w:pPr>
      <w:r>
        <w:rPr>
          <w:rFonts w:ascii="Arial" w:cs="Arial" w:eastAsia="Arial" w:hAnsi="Arial"/>
          <w:sz w:val="17"/>
          <w:szCs w:val="17"/>
          <w:color w:val="auto"/>
        </w:rPr>
        <w:t xml:space="preserve">21.12 </w:t>
      </w:r>
      <w:r>
        <w:rPr>
          <w:rFonts w:ascii="Arial" w:cs="Arial" w:eastAsia="Arial" w:hAnsi="Arial"/>
          <w:sz w:val="17"/>
          <w:szCs w:val="17"/>
          <w:u w:val="single" w:color="auto"/>
          <w:color w:val="auto"/>
        </w:rPr>
        <w:t>Reservations</w:t>
      </w:r>
      <w:r>
        <w:rPr>
          <w:rFonts w:ascii="Arial" w:cs="Arial" w:eastAsia="Arial" w:hAnsi="Arial"/>
          <w:sz w:val="17"/>
          <w:szCs w:val="17"/>
          <w:color w:val="auto"/>
        </w:rPr>
        <w:t>. This Lease does not grant any rights to light or air over or about the Building. Landlord excepts and reserves to itself any and all rights not specifically granted to Tenant under this Lease. Landlord reserves the right to make changes to the Property, Building and Common Areas as Landlord deems appropriate, provided the changes do not materially adversely affect Tenant’s ability to use the Premises for the Permitted Use or reduce the usable square footage of the Premises. Wherever this Lease requires Landlord to provide a customary service or to act in a reasonable manner (whether in incurring an expense, establishing a rule or regulation, providing an approval or consent, or performing any other act), this Lease shall be deemed also to provide that whether such service is customary or such conduct is reasonable shall be determined by reference to the practices of owners of buildings that (i) are comparable to the Building in size, age, class, quality and location, and (ii) at Landlord’s option, have been, or are being prepared to be, certified under the U.S. Green Building Council’s Leadership in Energy and Environmental Design (LEED) rating system or a similar rating system. Landlord shall also have the right (but not the obligation) to temporarily close the Building if Landlord reasonably determines that there is an imminent danger of significant damage to the Building or of personal injury to Landlord’s employees or the occupants of the Building. The circumstances under which Landlord may temporarily close the Building shall include, without limitation, electrical interruptions, hurricanes and civil disturbances. A closure of the Building under such circumstances shall not constitute a constructive eviction nor entitle Tenant to an abatement or reduction of Rent. Notwithstanding the foregoing, in the event that Landlord closes the Building due to an imminent danger of significant damage to the Building or of personal injury to Landlord’s employees or the occupants of the Building for a reason that is not necessitated by Force Majeure, which closure entirely prevents Tenant from accessing the Premises, then if such prohibited access continues for more than one (1) Business Day, then commencing on the second Business Day of such prohibited access, Rent shall abate for each day that Tenant is prevented from having any access to the Premises due to such closure of the Building by Landlord and not due to Force Majeure (it being acknowledged and agreed that there shall be no abatement of Rent in connection with any Force Majeure or in connection with any Building closure where Tenant has minimum access to the Premises).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80" w:top="272" w:right="499" w:bottom="1440" w:gutter="0" w:footer="0" w:header="0"/>
        </w:sectPr>
      </w:pPr>
    </w:p>
    <w:bookmarkStart w:id="635" w:name="page636"/>
    <w:bookmarkEnd w:id="63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21.13 </w:t>
      </w:r>
      <w:r>
        <w:rPr>
          <w:rFonts w:ascii="Arial" w:cs="Arial" w:eastAsia="Arial" w:hAnsi="Arial"/>
          <w:sz w:val="16"/>
          <w:szCs w:val="16"/>
          <w:u w:val="single" w:color="auto"/>
          <w:color w:val="auto"/>
        </w:rPr>
        <w:t>REIT Provisions</w:t>
      </w:r>
      <w:r>
        <w:rPr>
          <w:rFonts w:ascii="Arial" w:cs="Arial" w:eastAsia="Arial" w:hAnsi="Arial"/>
          <w:sz w:val="16"/>
          <w:szCs w:val="16"/>
          <w:color w:val="auto"/>
        </w:rPr>
        <w:t>. Tenant and Landlord intend that all amounts payable by Tenant to Landlord shall qualify as “rents from real property,”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will otherwise not constitute “unrelated business taxable income” or “impermissible tenant services income,” all within the meaning of Section 856(d)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U.S. Department of Treasury Regulations promulgated thereunder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Regulations</w:t>
      </w:r>
      <w:r>
        <w:rPr>
          <w:rFonts w:ascii="Arial" w:cs="Arial" w:eastAsia="Arial" w:hAnsi="Arial"/>
          <w:sz w:val="16"/>
          <w:szCs w:val="16"/>
          <w:color w:val="auto"/>
        </w:rPr>
        <w:t>”). In the event that Landlord determines that there is any risk that any amount payable under this Lease may not qualify as “rents from real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property” or will otherwise constitute impermissible tenant services income within the meaning of Section 856(d) of the Code and the Regulations,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Tenant agrees to (a) cooperate with Landlord, at no material expense to Tenant, by entering into such amendment or amendments as Landlord deems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necessary to qualify all amounts payable under this Lease as “rents from real property,” and (b) permit (and, upon request, to acknowledge in writing) an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assignment of the obligation to provide certain services under the Lease, and, upon request, to enter into direct agreements with the parties furnishing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such services (which shall include, but not be limited to, a taxable REIT subsidiary of Landlord). Notwithstanding the foregoing, Tenant shall not be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required to take any action pursuant to the preceding sentence (including acknowledging in writing an assignment of services pursuant thereto) if such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action would result in (i) Tenant incurring more than de minimis additional liability under this Lease, or (ii) more than a de minimis negative change in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quality or level of Building operations or services rendered to Tenant under this Lease. For the avoidance of doubt: (A) if Tenant does not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acknowledge in writing an assignment as described in clause (b) above (it being agreed that Tenant shall not unreasonably withhold, condition or delay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such acknowledgment so long as the criteria in clauses (i) and (ii) hereinabove are satisfied), then Landlord shall not be released from liability under this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Lease with respect to the services so assigned; and (B) nothing in this Section shall limit or otherwise affect Landlord’s ability to assign its entire interest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this Lease to any party as part of a conveyance of Landlord’s ownership interest in the Building.</w:t>
      </w:r>
    </w:p>
    <w:p>
      <w:pPr>
        <w:spacing w:after="0" w:line="101" w:lineRule="exact"/>
        <w:rPr>
          <w:sz w:val="20"/>
          <w:szCs w:val="20"/>
          <w:color w:val="auto"/>
        </w:rPr>
      </w:pPr>
    </w:p>
    <w:p>
      <w:pPr>
        <w:ind w:right="120" w:firstLine="436"/>
        <w:spacing w:after="0" w:line="252"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u w:val="single" w:color="auto"/>
          <w:color w:val="auto"/>
        </w:rPr>
        <w:t>Execution</w:t>
      </w:r>
      <w:r>
        <w:rPr>
          <w:rFonts w:ascii="Arial" w:cs="Arial" w:eastAsia="Arial" w:hAnsi="Arial"/>
          <w:sz w:val="18"/>
          <w:szCs w:val="18"/>
          <w:color w:val="auto"/>
        </w:rPr>
        <w:t>. This Lease may be executed by DocuSign or other electronic means, in one or more counterparts and, when executed by each party,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of the signed counterpart of the Lease shall be deemed the equivalent of the delivery of the original, and any party so delivering a facsimile or pdf copy of the signed counterpart of the Lease by email transmission shall in all events deliver to the other party an original signature promptly upon request.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73" w:right="499" w:bottom="1440" w:gutter="0" w:footer="0" w:header="0"/>
        </w:sectPr>
      </w:pPr>
    </w:p>
    <w:bookmarkStart w:id="636" w:name="page637"/>
    <w:bookmarkEnd w:id="636"/>
    <w:p>
      <w:pPr>
        <w:ind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21.15 </w:t>
      </w:r>
      <w:r>
        <w:rPr>
          <w:rFonts w:ascii="Arial" w:cs="Arial" w:eastAsia="Arial" w:hAnsi="Arial"/>
          <w:sz w:val="18"/>
          <w:szCs w:val="18"/>
          <w:u w:val="single" w:color="auto"/>
          <w:color w:val="auto"/>
        </w:rPr>
        <w:t>Prevailing Party</w:t>
      </w:r>
      <w:r>
        <w:rPr>
          <w:rFonts w:ascii="Arial" w:cs="Arial" w:eastAsia="Arial" w:hAnsi="Arial"/>
          <w:sz w:val="18"/>
          <w:szCs w:val="18"/>
          <w:color w:val="auto"/>
        </w:rPr>
        <w:t>. If any dispute arises between the parties hereto concerning the meaning or interpretation of any provision of this Lease, then the party not prevailing in such dispute, as the case may be, shall pay any and all costs and expenses reasonably incurred by the other party in enforcing or establishing its rights hereunder through legal proceedings, including, but not limited to, court costs, expert fees and costs and reasonable attorneys’ fees and disbursements.</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 on Following Page]</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480" w:top="272" w:right="699" w:bottom="1440" w:gutter="0" w:footer="0" w:header="0"/>
        </w:sectPr>
      </w:pPr>
    </w:p>
    <w:bookmarkStart w:id="637" w:name="page638"/>
    <w:bookmarkEnd w:id="637"/>
    <w:p>
      <w:pPr>
        <w:ind w:right="2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Landlord and Tenant have executed this Lease as a sealed Massachusetts instrument in two or more counterparts as of the Effective Date of this Lease set forth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OPG MP PARCEL OWNER (DE) LLC, a Delaware limited</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liability company</w:t>
      </w:r>
    </w:p>
    <w:p>
      <w:pPr>
        <w:spacing w:after="0" w:line="208"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Barriero</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Brian Barriero</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Kristen Binck</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Kristen Binck</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MONTE ROSA THERAPEUTICS, INC.,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 Delaware corporation</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Markus Warmuth</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CEO</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80" w:top="273" w:right="499" w:bottom="1440" w:gutter="0" w:footer="0" w:header="0"/>
        </w:sectPr>
      </w:pPr>
    </w:p>
    <w:bookmarkStart w:id="638" w:name="page639"/>
    <w:bookmarkEnd w:id="63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OUTLINE AND LOCATION OF PREMISES</w:t>
      </w:r>
    </w:p>
    <w:p>
      <w:pPr>
        <w:spacing w:after="0" w:line="221"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color w:val="auto"/>
        </w:rPr>
        <w:t>This Exhibit is attached to and made a part of the Lease Agreement (the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OPG MP PARCEL OWNER (DE)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MONTE ROSA THERAPEUTICS,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for space in the Building located at 645 Summer Street, Boston, MA 02210.</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intended only to show the general layout of the Premises as of the beginning of the Term of this Lease. The depiction of interior windows, cubicles, modules, furniture and equipment in this Exhibit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and changes in such arrangements and/or locations. It is not to be scaled; any measurements or distances shown should be taken as approximate. The inclusion of elevators, stairways electrical and mechanical closets, and other similar facilities for the benefit of occupants of the Building does not mean such items are part of the Premises.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[See Attached Plan]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80"/>
          </w:cols>
          <w:pgMar w:left="480" w:top="268" w:right="639" w:bottom="1440" w:gutter="0" w:footer="0" w:header="0"/>
        </w:sectPr>
      </w:pPr>
    </w:p>
    <w:bookmarkStart w:id="639" w:name="page640"/>
    <w:bookmarkEnd w:id="6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757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6135" cy="722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9019"/>
          </w:cols>
          <w:pgMar w:left="1440" w:top="1440" w:right="1440" w:bottom="1440" w:gutter="0" w:footer="0" w:header="0"/>
        </w:sectPr>
      </w:pPr>
    </w:p>
    <w:bookmarkStart w:id="640" w:name="page641"/>
    <w:bookmarkEnd w:id="6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EXPENSES AND TAXES</w:t>
      </w:r>
    </w:p>
    <w:p>
      <w:pPr>
        <w:spacing w:after="0" w:line="225" w:lineRule="exact"/>
        <w:rPr>
          <w:sz w:val="20"/>
          <w:szCs w:val="20"/>
          <w:color w:val="auto"/>
        </w:rPr>
      </w:pPr>
    </w:p>
    <w:p>
      <w:pPr>
        <w:ind w:right="180" w:firstLine="436"/>
        <w:spacing w:after="0" w:line="307" w:lineRule="auto"/>
        <w:rPr>
          <w:sz w:val="20"/>
          <w:szCs w:val="20"/>
          <w:color w:val="auto"/>
        </w:rPr>
      </w:pPr>
      <w:r>
        <w:rPr>
          <w:rFonts w:ascii="Arial" w:cs="Arial" w:eastAsia="Arial" w:hAnsi="Arial"/>
          <w:sz w:val="16"/>
          <w:szCs w:val="16"/>
          <w:color w:val="auto"/>
        </w:rPr>
        <w:t>This Exhibit is attached to and made a part of the Lease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OPG MP PARCEL OWNER (DE)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MONTE ROSA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for space in the Building located at 645 Summer Street, Boston, MA 02210. Capitalized terms used but not defined herein shall have the meanings given in the Lease.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Payments.</w:t>
      </w:r>
    </w:p>
    <w:p>
      <w:pPr>
        <w:spacing w:after="0" w:line="118"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1.1 1 </w:t>
      </w:r>
      <w:r>
        <w:rPr>
          <w:rFonts w:ascii="Arial" w:cs="Arial" w:eastAsia="Arial" w:hAnsi="Arial"/>
          <w:sz w:val="16"/>
          <w:szCs w:val="16"/>
          <w:u w:val="single" w:color="auto"/>
          <w:color w:val="auto"/>
        </w:rPr>
        <w:t>Expenses and Taxes</w:t>
      </w:r>
      <w:r>
        <w:rPr>
          <w:rFonts w:ascii="Arial" w:cs="Arial" w:eastAsia="Arial" w:hAnsi="Arial"/>
          <w:sz w:val="16"/>
          <w:szCs w:val="16"/>
          <w:color w:val="auto"/>
        </w:rPr>
        <w:t>. From and after the Term Commencement Date, Tenant shall pay (a) Tenant’s Proportionate Share of Expenses (defined below), for each calendar year during the Term (“</w:t>
      </w:r>
      <w:r>
        <w:rPr>
          <w:rFonts w:ascii="Arial" w:cs="Arial" w:eastAsia="Arial" w:hAnsi="Arial"/>
          <w:sz w:val="16"/>
          <w:szCs w:val="16"/>
          <w:u w:val="single" w:color="auto"/>
          <w:color w:val="auto"/>
        </w:rPr>
        <w:t>Tenant’s Share of Expenses</w:t>
      </w:r>
      <w:r>
        <w:rPr>
          <w:rFonts w:ascii="Arial" w:cs="Arial" w:eastAsia="Arial" w:hAnsi="Arial"/>
          <w:sz w:val="16"/>
          <w:szCs w:val="16"/>
          <w:color w:val="auto"/>
        </w:rPr>
        <w:t>”), and (b) Tenant’s Proportionate Share of Taxes (defined below) for each Fiscal Year (i.e., a period commencing on July 1</w:t>
      </w:r>
      <w:r>
        <w:rPr>
          <w:rFonts w:ascii="Arial" w:cs="Arial" w:eastAsia="Arial" w:hAnsi="Arial"/>
          <w:sz w:val="13"/>
          <w:szCs w:val="13"/>
          <w:color w:val="auto"/>
        </w:rPr>
        <w:t>st</w:t>
      </w:r>
      <w:r>
        <w:rPr>
          <w:rFonts w:ascii="Arial" w:cs="Arial" w:eastAsia="Arial" w:hAnsi="Arial"/>
          <w:sz w:val="16"/>
          <w:szCs w:val="16"/>
          <w:color w:val="auto"/>
        </w:rPr>
        <w:t xml:space="preserve"> and ending on June 30</w:t>
      </w:r>
      <w:r>
        <w:rPr>
          <w:rFonts w:ascii="Arial" w:cs="Arial" w:eastAsia="Arial" w:hAnsi="Arial"/>
          <w:sz w:val="13"/>
          <w:szCs w:val="13"/>
          <w:color w:val="auto"/>
        </w:rPr>
        <w:t>th</w:t>
      </w:r>
      <w:r>
        <w:rPr>
          <w:rFonts w:ascii="Arial" w:cs="Arial" w:eastAsia="Arial" w:hAnsi="Arial"/>
          <w:sz w:val="16"/>
          <w:szCs w:val="16"/>
          <w:color w:val="auto"/>
        </w:rPr>
        <w:t>) during the Term (“</w:t>
      </w:r>
      <w:r>
        <w:rPr>
          <w:rFonts w:ascii="Arial" w:cs="Arial" w:eastAsia="Arial" w:hAnsi="Arial"/>
          <w:sz w:val="16"/>
          <w:szCs w:val="16"/>
          <w:u w:val="single" w:color="auto"/>
          <w:color w:val="auto"/>
        </w:rPr>
        <w:t>Tenant’s Share of Taxes</w:t>
      </w:r>
      <w:r>
        <w:rPr>
          <w:rFonts w:ascii="Arial" w:cs="Arial" w:eastAsia="Arial" w:hAnsi="Arial"/>
          <w:sz w:val="16"/>
          <w:szCs w:val="16"/>
          <w:color w:val="auto"/>
        </w:rPr>
        <w:t>”). Landlord shall provide Tenant with a good faith estimate of the Tenant’s Share of Expenses for each calendar year and of the Tenant’s Share of Taxes for each Fiscal Year during the Term. On or before the first day of each month, Tenant shall pay to Landlord a monthly installment equal to one-twelfth of Landlord’s estimate of both the Tenant’s Share of Expenses and Tenant’s Share of Taxes. If Landlord determines that its good faith estimate of the Tenant’s Share of Expenses or of the Tenant’s Share of Taxes was incorrect by a material amount, Landlord may from time to time provide Tenant with a revised estimate. Commencing with the next monthly installment payment due thirty (30) days after Tenant’s receipt of such revised estimate, Tenant’s monthly payments shall be based upon the revised estimate. If Landlord does not provide Tenant with an estimate of the Tenant’s Share of Expenses by January 1 of a calendar year or the Tenant’s Share of Taxes by July 1 of a Fiscal Year, then Tenant shall continue to pay monthly installments based on the previous year’s estimate(s) until Landlord provides Tenant with the new estimate. Upon delivery of the new estimate, an adjustment shall be made for any month for which Tenant paid monthly installments based on the previous year’s estimate. Tenant shall pay Landlord the amount of any underpayment within thirty (30) days after receipt of the new estimate and invoice for such amounts. Any overpayment shall be refunded to Tenant within thirty (30) days or credited against the next due future installment(s) of Additional Rent. Appropriate adjustments shall be made for any portion of a year at the beginning or end of the Term or for any year during which changes occur in the percentage of occupancy of the Building or in the Rentable Floor Area to which Landlord furnishes particular services.</w:t>
      </w:r>
    </w:p>
    <w:p>
      <w:pPr>
        <w:spacing w:after="0" w:line="72"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Reconciliation</w:t>
      </w:r>
      <w:r>
        <w:rPr>
          <w:rFonts w:ascii="Arial" w:cs="Arial" w:eastAsia="Arial" w:hAnsi="Arial"/>
          <w:sz w:val="16"/>
          <w:szCs w:val="16"/>
          <w:color w:val="auto"/>
        </w:rPr>
        <w:t>. As soon as is practical (which Landlord shall use reasonable efforts to do within one hundred twenty (120) days) following the end of each (a) calendar year, Landlord shall furnish Tenant with a reasonably detailed statement containing breakdowns for the calculation of the actual Expenses and Tenant’s Share of Expenses for the prior calendar year, and (b) Fiscal Year, Landlord shall furnish Tenant with a reasonably detailed statement containing breakdowns for the calculation of the actual Taxes and Tenant’s Share of Taxes for the prior Fiscal Year. If Tenant desires additional details, Tenant may request such details and/or breakdowns for the calculation of Tenant’s Share of Expenses or Tenant’s Share of Taxes and Landlord shall promptly furnish the same to Tenant. If the estimated Tenant’s Share of Expenses for the prior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900"/>
          </w:cols>
          <w:pgMar w:left="480" w:top="268" w:right="519" w:bottom="1440" w:gutter="0" w:footer="0" w:header="0"/>
        </w:sectPr>
      </w:pPr>
    </w:p>
    <w:bookmarkStart w:id="641" w:name="page642"/>
    <w:bookmarkEnd w:id="6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calendar year is more than the actual Tenant’s Share of Expenses for the prior calendar year, or if the estimated Tenant’s Share of Taxes for the prior Fiscal Year is more than the actual Tenant’s Share of Taxes for the prior Fiscal Year, as the case may be, then Landlord shall either provide Tenant with a refund or apply any overpayment by Tenant against Additional Rent due or next becoming due; provided that, if the Term expires before the determination of the overpayment, then Landlord shall refund any overpayment to Tenant after first deducting the amount of Rent due. If the estimated Tenant’s Share of Expenses for the prior calendar year is less than the actual Tenant’s Share of Expenses for the prior calendar year, or if the estimated Tenant’s Share of Taxes for the prior Fiscal Year is less than the actual Tenant’s Share of Taxes for the prior Fiscal Year, as the case may be, then Tenant shall pay Landlord, within thirty (30) days after its receipt of the statement and invoice for such amount of Expenses or Taxes, any underpayment for the prior calendar year (for Expenses) or for the prior Fiscal Year (for Taxes), as the case may be. Notwithstanding any dispute concerning any Landlord’s statement, payments shall be made by the parties in accordance with Landlord’s statement at the time and in the manner set forth above, and if necessary there shall be a further adjustment between the parties at the time the dispute is resolved.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Operating Expenses.</w:t>
      </w:r>
    </w:p>
    <w:p>
      <w:pPr>
        <w:spacing w:after="0" w:line="118" w:lineRule="exact"/>
        <w:rPr>
          <w:sz w:val="20"/>
          <w:szCs w:val="20"/>
          <w:color w:val="auto"/>
        </w:rPr>
      </w:pPr>
    </w:p>
    <w:p>
      <w:pPr>
        <w:ind w:right="20" w:firstLine="436"/>
        <w:spacing w:after="0" w:line="280" w:lineRule="auto"/>
        <w:rPr>
          <w:sz w:val="20"/>
          <w:szCs w:val="20"/>
          <w:color w:val="auto"/>
        </w:rPr>
      </w:pPr>
      <w:r>
        <w:rPr>
          <w:rFonts w:ascii="Arial" w:cs="Arial" w:eastAsia="Arial" w:hAnsi="Arial"/>
          <w:sz w:val="16"/>
          <w:szCs w:val="16"/>
          <w:color w:val="auto"/>
        </w:rPr>
        <w:t>2.01 “</w:t>
      </w:r>
      <w:r>
        <w:rPr>
          <w:rFonts w:ascii="Arial" w:cs="Arial" w:eastAsia="Arial" w:hAnsi="Arial"/>
          <w:sz w:val="16"/>
          <w:szCs w:val="16"/>
          <w:u w:val="single" w:color="auto"/>
          <w:color w:val="auto"/>
        </w:rPr>
        <w:t>Expenses</w:t>
      </w:r>
      <w:r>
        <w:rPr>
          <w:rFonts w:ascii="Arial" w:cs="Arial" w:eastAsia="Arial" w:hAnsi="Arial"/>
          <w:sz w:val="16"/>
          <w:szCs w:val="16"/>
          <w:color w:val="auto"/>
        </w:rPr>
        <w:t>” means all costs and expenses incurred in each calendar year in connection with operating, maintaining, repairing, and managing the Building, the Property and the Industrial Park. It is understood that the Building is part of the Industrial Park and is operated along with all or some of the other portions of the Industrial Park, and that the Expenses for the Building include shared costs and expenses which are allocated among the Building and other portions of the Industrial Park based upon the proportionate usage or benefit derived from the shared facilities (including the Parking Facilities), as reasonably determined by Landlord. Expenses include, without limitation: (a) all labor and labor related costs, including wages, salaries, bonuses, taxes, insurance, uniforms, training, retirement plans, pension plans and other employee benefits; (b) management fees; (c) the cost of equipping, staffing and operating an on-site and/or off-site management office for the Building (including, without limitation, the fair market rental value of any management office located in the Building), provided if the management office services one or more other buildings or properties, the shared costs and expenses of equipping, staffing and operating such management office(s) shall be equitably prorated and apportioned between the Building and the other buildings or properties; (d) costs of accounting and IT services (which shall be equitably prorated between the Building and other buildings or properties to which such services are provided); (e) the cost of services; (f) rental and purchase cost of parts, supplies, tools and equipment;</w:t>
      </w:r>
    </w:p>
    <w:p>
      <w:pPr>
        <w:spacing w:after="0" w:line="6" w:lineRule="exact"/>
        <w:rPr>
          <w:sz w:val="20"/>
          <w:szCs w:val="20"/>
          <w:color w:val="auto"/>
        </w:rPr>
      </w:pPr>
    </w:p>
    <w:p>
      <w:pPr>
        <w:ind w:right="20" w:firstLine="7"/>
        <w:spacing w:after="0" w:line="279" w:lineRule="auto"/>
        <w:tabs>
          <w:tab w:leader="none" w:pos="252" w:val="left"/>
        </w:tabs>
        <w:numPr>
          <w:ilvl w:val="0"/>
          <w:numId w:val="548"/>
        </w:numPr>
        <w:rPr>
          <w:rFonts w:ascii="Arial" w:cs="Arial" w:eastAsia="Arial" w:hAnsi="Arial"/>
          <w:sz w:val="16"/>
          <w:szCs w:val="16"/>
          <w:color w:val="auto"/>
        </w:rPr>
      </w:pPr>
      <w:r>
        <w:rPr>
          <w:rFonts w:ascii="Arial" w:cs="Arial" w:eastAsia="Arial" w:hAnsi="Arial"/>
          <w:sz w:val="16"/>
          <w:szCs w:val="16"/>
          <w:color w:val="auto"/>
        </w:rPr>
        <w:t>insurance premiums and commercially reasonable deductibles; (h) electricity, gas and other utility costs, except to the extent that such charges are reimbursed to Landlord separately (or paid directly to the utility company) by Tenant or any other tenant, occupant, person or other party; (i) ground lease rent (for purposes hereof “ground lease rent” shall be limited to the Base Rent provided in Section 5.1(a) of the Ground Lease and the District Service Fee provided in Section 5.6 of the Ground Lease and the Infrastructure Improvement Credit shall be credited against the same); and (j) the amortized cost of capital improvements and capital repairs and capital replacements (as distinguished from non-capital repair and replacement parts or components made or installed in the ordinary course of business) that are: (1) reasonably intended to reduce current or future operating expense costs, or</w:t>
      </w:r>
    </w:p>
    <w:p>
      <w:pPr>
        <w:spacing w:after="0"/>
        <w:rPr>
          <w:rFonts w:ascii="Arial" w:cs="Arial" w:eastAsia="Arial" w:hAnsi="Arial"/>
          <w:sz w:val="16"/>
          <w:szCs w:val="16"/>
          <w:color w:val="auto"/>
        </w:rPr>
      </w:pPr>
      <w:r>
        <w:rPr>
          <w:rFonts w:ascii="Arial" w:cs="Arial" w:eastAsia="Arial" w:hAnsi="Arial"/>
          <w:sz w:val="18"/>
          <w:szCs w:val="18"/>
          <w:color w:val="auto"/>
        </w:rPr>
        <w:t>(2) required to comply with any Laws that are first effective, or first interpreted to apply to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00"/>
          </w:cols>
          <w:pgMar w:left="480" w:top="272" w:right="519" w:bottom="1440" w:gutter="0" w:footer="0" w:header="0"/>
        </w:sectPr>
      </w:pPr>
    </w:p>
    <w:bookmarkStart w:id="642" w:name="page643"/>
    <w:bookmarkEnd w:id="642"/>
    <w:p>
      <w:pPr>
        <w:ind w:right="4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Property after the Term Commencement Date (“</w:t>
      </w:r>
      <w:r>
        <w:rPr>
          <w:rFonts w:ascii="Arial" w:cs="Arial" w:eastAsia="Arial" w:hAnsi="Arial"/>
          <w:sz w:val="17"/>
          <w:szCs w:val="17"/>
          <w:u w:val="single" w:color="auto"/>
          <w:color w:val="auto"/>
        </w:rPr>
        <w:t>Permitted Capital Expenses</w:t>
      </w:r>
      <w:r>
        <w:rPr>
          <w:rFonts w:ascii="Arial" w:cs="Arial" w:eastAsia="Arial" w:hAnsi="Arial"/>
          <w:sz w:val="17"/>
          <w:szCs w:val="17"/>
          <w:color w:val="auto"/>
        </w:rPr>
        <w:t>”). The cost of Permitted Capital Expenses shall be amortized by Landlord over the useful life of the Permitted Capital Expenses or, in the case of a cost saving capital improvement, over the Payback Period (as defined below). The amortized cost of Permitted Capital Expenses may, at Landlord’s option, include actual or imputed interest at the rate that Landlord would reasonably be required to pay to finance the cost of the capital improvement or such other items. “</w:t>
      </w:r>
      <w:r>
        <w:rPr>
          <w:rFonts w:ascii="Arial" w:cs="Arial" w:eastAsia="Arial" w:hAnsi="Arial"/>
          <w:sz w:val="17"/>
          <w:szCs w:val="17"/>
          <w:u w:val="single" w:color="auto"/>
          <w:color w:val="auto"/>
        </w:rPr>
        <w:t>Payback Period</w:t>
      </w:r>
      <w:r>
        <w:rPr>
          <w:rFonts w:ascii="Arial" w:cs="Arial" w:eastAsia="Arial" w:hAnsi="Arial"/>
          <w:sz w:val="17"/>
          <w:szCs w:val="17"/>
          <w:color w:val="auto"/>
        </w:rPr>
        <w:t>” means the reasonably estimated period of time that it takes for the cost savings resulting from Permitted Capital Expenses to equal the total cost of the Permitted Capital Expenses. Expenses incurred in connection with obtaining LEED certification for the Building shall be capitalized and included in Expenses only to the extent allowed as Permitted Capital Expenses pursuant to the foregoing provisions. Landlord, by itself or through an affiliate, shall have the right to directly perform, provide and be compensated for any services under the Lease. If Landlord incurs Expenses for the Building, Property or Industrial Park together with one or more other buildings or properties, whether pursuant to a reciprocal easement agreement, common area agreement or otherwise, the shared costs and expenses shall be equitably prorated and apportioned between the Building, Property or Industrial Park and the other buildings or properties.</w:t>
      </w:r>
    </w:p>
    <w:p>
      <w:pPr>
        <w:spacing w:after="0" w:line="78" w:lineRule="exact"/>
        <w:rPr>
          <w:sz w:val="20"/>
          <w:szCs w:val="20"/>
          <w:color w:val="auto"/>
        </w:rPr>
      </w:pPr>
    </w:p>
    <w:p>
      <w:pPr>
        <w:ind w:firstLine="436"/>
        <w:spacing w:after="0" w:line="280"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Exclusions</w:t>
      </w:r>
      <w:r>
        <w:rPr>
          <w:rFonts w:ascii="Arial" w:cs="Arial" w:eastAsia="Arial" w:hAnsi="Arial"/>
          <w:sz w:val="16"/>
          <w:szCs w:val="16"/>
          <w:color w:val="auto"/>
        </w:rPr>
        <w:t>. Expenses shall not include: (1) the cost of capital improvements, capital repairs or capital replacements (except as expressly set forth above with respect to Permitted Capital Expenses); (2) depreciation; (3) principal and interest payments and other such charges with respect to mortgage and other non-operating debts of Landlord or with respect to the Property; (4) the cost of repairs or other work to the extent Landlord is reimbursed by insurance or condemnation proceeds, by other tenants (other than through the payment of Expenses) or from any other source; (5) costs in connection with leasing space in the Building or Industrial Park, including brokerage commissions, lease concessions, rental abatements, and construction allowances granted to specific tenants; (6) costs incurred in connection with the sale, financing or refinancing of the Building or the Industrial Park or any portion thereof; (7) fines, interest and penalties incurred due to the late payment of Taxes or Expenses; (8) organizational expenses associated with the creation and operation of the entity which constitutes Landlord; (9) any penalties or damages that Landlord pays to Tenant under this Lease or to other tenants in the Building or the Industrial Park under their respective leases; (10) wages, bonuses and other compensation of any employee who does not devote substantially all of his or her employed time to the Building unless such wages and benefits are prorated on a reasonable basis to reflect time spent on the operation and management of the Building vis-a-vis time spent on matters unrelated to the operation and management of the Building; (11) wages, bonuses and other compensation of employees above the grade of general manager (provided that with respect to any general manager or employee that does not devote substantially all of his or her employed time to the Building, such wages, bonuses and other compensation are prorated on a reasonable basis to reflect time spent on the operation and management of the Building vis-a-vis time spent on matters unrelated to the operation and management of the Building); (12) [intentionally deleted]; (13) costs of electricity provided to tenants’ premises, if and to the extent that Tenant is charged for such electricity services under other provisions of this Lease; (14) charitable or political contributions;</w:t>
      </w:r>
    </w:p>
    <w:p>
      <w:pPr>
        <w:spacing w:after="0" w:line="2" w:lineRule="exact"/>
        <w:rPr>
          <w:sz w:val="20"/>
          <w:szCs w:val="20"/>
          <w:color w:val="auto"/>
        </w:rPr>
      </w:pPr>
    </w:p>
    <w:p>
      <w:pPr>
        <w:ind w:right="20" w:firstLine="7"/>
        <w:spacing w:after="0" w:line="250" w:lineRule="auto"/>
        <w:tabs>
          <w:tab w:leader="none" w:pos="34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[intentionally deleted]; (16) the cost of testing, remediation or removal, transportation or storage of Hazardous Materials at the Property (provided that the foregoing shall not relieve Tenant of its obligations with respect to those costs for which Tenant is otherwise responsible pursuant to the terms of this Lease); (17) fines, penalties, or interest resulting from Landlord’s negligence, willful misconduct, violation of law or breach of contract or that of Landlord’s employees, agents,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20"/>
          </w:cols>
          <w:pgMar w:left="480" w:top="273" w:right="499" w:bottom="1440" w:gutter="0" w:footer="0" w:header="0"/>
        </w:sectPr>
      </w:pPr>
    </w:p>
    <w:bookmarkStart w:id="643" w:name="page644"/>
    <w:bookmarkEnd w:id="643"/>
    <w:p>
      <w:pPr>
        <w:ind w:right="1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contractors; (18) insurance deductibles in excess of commercially reasonable deductibles; (19) the amount of a judgment or settlement against Landlord which is not covered by the insurance required to be carried by Landlord under this Lease; (20) subject to the terms of Article 7 of the Lease, costs for electricity supplied to tenants’ premises in the Building and all costs of water supplied to tenants’ premises in the Building if and to the extent Tenant’s usage of electricity or water, respectively, is separately metered, check metered or submetered and paid separately by Tenant; (21) any Expenses paid to an affiliate of Landlord to the extent the same is in excess of the reasonable cost of said item or service in an arm’s length transaction;</w:t>
      </w:r>
    </w:p>
    <w:p>
      <w:pPr>
        <w:spacing w:after="0" w:line="2" w:lineRule="exact"/>
        <w:rPr>
          <w:sz w:val="20"/>
          <w:szCs w:val="20"/>
          <w:color w:val="auto"/>
        </w:rPr>
      </w:pPr>
    </w:p>
    <w:p>
      <w:pPr>
        <w:ind w:firstLine="7"/>
        <w:spacing w:after="0" w:line="282" w:lineRule="auto"/>
        <w:tabs>
          <w:tab w:leader="none" w:pos="342" w:val="left"/>
        </w:tabs>
        <w:numPr>
          <w:ilvl w:val="0"/>
          <w:numId w:val="550"/>
        </w:numPr>
        <w:rPr>
          <w:rFonts w:ascii="Arial" w:cs="Arial" w:eastAsia="Arial" w:hAnsi="Arial"/>
          <w:sz w:val="16"/>
          <w:szCs w:val="16"/>
          <w:color w:val="auto"/>
        </w:rPr>
      </w:pPr>
      <w:r>
        <w:rPr>
          <w:rFonts w:ascii="Arial" w:cs="Arial" w:eastAsia="Arial" w:hAnsi="Arial"/>
          <w:sz w:val="16"/>
          <w:szCs w:val="16"/>
          <w:color w:val="auto"/>
        </w:rPr>
        <w:t>reserves of any kind; (23) Taxes (which shall be payable by Tenant, separate from Expenses, as provided pursuant to the terms of this Lease) and any inheritance, estate, succession, transfer, gift, franchise, corporation, income, gains or profit tax or capital levy and other taxes excluded from the definition of Taxes; (24) management fees in excess of three percent (3%) of Landlord’s net rents at the Property; (25) leasing commissions, fees and costs, advertising and promotional expenses and other costs incurred in selling the Building or the Property; (26) legal fees or other expenses incurred in connection with negotiating and enforcing leases, letters, deal memos, letters of intent, subleases and/or assignments with tenants or occupants in the Building, including costs incurred in connection with consents and approvals under leases in the Building; (27) cost of any work or service performed on an extra cost basis for any tenant in the Building or the Property to the extent such work or service is in excess of any work or service Landlord makes available to Tenant or generally to other tenants in the Building at Landlord’s expense; (28) costs incurred in connection with repair, maintenance and replacement of any bathrooms located within the premises of another tenant of the Building to the extent such costs are separately billed; and (29) costs incurred in connection with upgrading the Building to correct any violation of Laws existing as of the Term Commencement Date (provided that the foregoing shall not relieve Tenant of its obligations with respect to any compliance, contest or settlement of any claimed violation of law or requirements of law for which Tenant is responsible under the terms of this Lease).</w:t>
      </w:r>
    </w:p>
    <w:p>
      <w:pPr>
        <w:spacing w:after="0" w:line="68"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u w:val="single" w:color="auto"/>
          <w:color w:val="auto"/>
        </w:rPr>
        <w:t>Adjustments</w:t>
      </w:r>
      <w:r>
        <w:rPr>
          <w:rFonts w:ascii="Arial" w:cs="Arial" w:eastAsia="Arial" w:hAnsi="Arial"/>
          <w:sz w:val="17"/>
          <w:szCs w:val="17"/>
          <w:color w:val="auto"/>
        </w:rPr>
        <w:t>. If at any time during a calendar year the Building is not at least 95% leased and/or occupied and receiving Landlord services hereunder (or if a service provided by Landlord to tenants of the Building generally is not provided by Landlord to particular tenant(s) due to self-provided services or other circumstances), Expenses that vary based upon the occupancy of the Building shall, at Landlord’s option, be determined as if the Building had been 95% leased and/or occupied (and all services provided by Landlord to tenants of the Building generally had been provided by Landlord to tenants occupying 95% of the entire Building) during that calendar year. Notwithstanding the foregoing, Landlord may calculate the extrapolation of Expenses under this Section based on 100% occupancy and service so long as such percentage is used consistently for each year of the Term. The extrapolation of Expenses under this Section shall be performed by appropriately adjusting the cost of those components of Expenses that are impacted by changes in the occupancy or service levels of the Building and, upon Tenant’s request, Landlord shall provide reasonable documentation of such calculation to Tenant.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Taxes.</w:t>
      </w:r>
    </w:p>
    <w:p>
      <w:pPr>
        <w:spacing w:after="0" w:line="118"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 all real property taxes and other assessments on the Building and/or Property, including, but not limited to, gross receipts taxes, assessments for special improvement districts and business improvement districts, governmental charges, fees and assessments for police, fire, traffic mitigation or other governmental service of purported benefit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20"/>
          </w:cols>
          <w:pgMar w:left="480" w:top="273" w:right="499" w:bottom="1440" w:gutter="0" w:footer="0" w:header="0"/>
        </w:sectPr>
      </w:pPr>
    </w:p>
    <w:bookmarkStart w:id="644" w:name="page645"/>
    <w:bookmarkEnd w:id="644"/>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the Property, taxes and assessments levied in substitution or supplementation in whole or in part of any such taxes and assessments and the Property’s share of any real estate taxes and assessments under any reciprocal easement agreement, common area agreement, or similar agreement as to the Property; (b) all personal property taxes for property that is owned by Landlord and used in connection with the operation, maintenance and repair of the Property; and (c) all commercially reasonable costs and fees incurred in connection with seeking reductions in any tax liabilities described in (a) and (b), including, without limitation, any costs incurred by Landlord for compliance, review, and appeal of tax liabilities. Without limitation, Taxes shall be determined without regard to any “green building” credit and shall not include any income, capital levy, transfer, capital gain, gift, estate, or inheritance tax or any fines, interest or penalties incurred due to the late payment of Taxes (unless such late payment is due to Tenant’s delinquency). If a change in Taxes is obtained for any year of the Term during which Tenant paid Tenant’s Proportionate Share of any Tenant’s Share of Taxes, then Taxes for that year will be retroactively adjusted and Landlord shall provide Tenant with a credit, if any, based on the adjustment. Tenant shall pay Landlord the amount of Tenant’s Proportionate Share of any such increase in the Tenant’s Share of Taxes within thirty (30) days after Tenant’s receipt of a statement from Landlord.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00"/>
          </w:cols>
          <w:pgMar w:left="480" w:top="273" w:right="519" w:bottom="1440" w:gutter="0" w:footer="0" w:header="0"/>
        </w:sectPr>
      </w:pPr>
    </w:p>
    <w:bookmarkStart w:id="645" w:name="page646"/>
    <w:bookmarkEnd w:id="6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180" w:firstLine="436"/>
        <w:spacing w:after="0" w:line="307" w:lineRule="auto"/>
        <w:rPr>
          <w:sz w:val="20"/>
          <w:szCs w:val="20"/>
          <w:color w:val="auto"/>
        </w:rPr>
      </w:pPr>
      <w:r>
        <w:rPr>
          <w:rFonts w:ascii="Arial" w:cs="Arial" w:eastAsia="Arial" w:hAnsi="Arial"/>
          <w:sz w:val="16"/>
          <w:szCs w:val="16"/>
          <w:color w:val="auto"/>
        </w:rPr>
        <w:t>This Exhibit is attached to and made a part of the Lease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OPG MP PARCEL OWNER (DE)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MONTE ROSA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for space in the Building located at 645 Summer Street, Boston, MA 02210. Capitalized terms used but not defined herein shall have the meanings given in the Lease.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4"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C.2 </w:t>
      </w:r>
      <w:r>
        <w:rPr>
          <w:rFonts w:ascii="Arial" w:cs="Arial" w:eastAsia="Arial" w:hAnsi="Arial"/>
          <w:sz w:val="17"/>
          <w:szCs w:val="17"/>
          <w:u w:val="single" w:color="auto"/>
          <w:color w:val="auto"/>
        </w:rPr>
        <w:t>Landlord’s Work</w:t>
      </w:r>
      <w:r>
        <w:rPr>
          <w:rFonts w:ascii="Arial" w:cs="Arial" w:eastAsia="Arial" w:hAnsi="Arial"/>
          <w:sz w:val="17"/>
          <w:szCs w:val="17"/>
          <w:color w:val="auto"/>
        </w:rPr>
        <w:t xml:space="preserve">. Landlord shall perform the base building work listed in the “Landlord” column and identified as “Base Building Work” on the Landlord / Tenant Responsibility Matrix attached hereto as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Responsibility Matrix</w:t>
      </w:r>
      <w:r>
        <w:rPr>
          <w:rFonts w:ascii="Arial" w:cs="Arial" w:eastAsia="Arial" w:hAnsi="Arial"/>
          <w:sz w:val="17"/>
          <w:szCs w:val="17"/>
          <w:color w:val="auto"/>
        </w:rPr>
        <w:t>”), using Building standard materials, quantities and finishes (the “</w:t>
      </w:r>
      <w:r>
        <w:rPr>
          <w:rFonts w:ascii="Arial" w:cs="Arial" w:eastAsia="Arial" w:hAnsi="Arial"/>
          <w:sz w:val="17"/>
          <w:szCs w:val="17"/>
          <w:u w:val="single" w:color="auto"/>
          <w:color w:val="auto"/>
        </w:rPr>
        <w:t>Base Building Work</w:t>
      </w:r>
      <w:r>
        <w:rPr>
          <w:rFonts w:ascii="Arial" w:cs="Arial" w:eastAsia="Arial" w:hAnsi="Arial"/>
          <w:sz w:val="17"/>
          <w:szCs w:val="17"/>
          <w:color w:val="auto"/>
        </w:rPr>
        <w:t xml:space="preserve">”). In addition, the Initial Tenant Work shall be constructed by Landlord in accordance with, and subject to, the provisions of this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All work to be performed by Landlord under this Paragraph C.2 shall be performed in a good and workmanlike manner and in accordance with all applicable Laws, including without limitation, the Environmental, Health and Safety Laws and the Americans with Disabilities Act. Subject to Force Majeure and Tenant Delays, Landlord shall use reasonable efforts to perform the Base Building Work and the Initial Tenant Work in accordance with the milestone schedule attached hereto as </w:t>
      </w:r>
      <w:r>
        <w:rPr>
          <w:rFonts w:ascii="Arial" w:cs="Arial" w:eastAsia="Arial" w:hAnsi="Arial"/>
          <w:sz w:val="17"/>
          <w:szCs w:val="17"/>
          <w:u w:val="single" w:color="auto"/>
          <w:color w:val="auto"/>
        </w:rPr>
        <w:t>Schedule C-2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Milestone Schedule</w:t>
      </w:r>
      <w:r>
        <w:rPr>
          <w:rFonts w:ascii="Arial" w:cs="Arial" w:eastAsia="Arial" w:hAnsi="Arial"/>
          <w:sz w:val="17"/>
          <w:szCs w:val="17"/>
          <w:color w:val="auto"/>
        </w:rPr>
        <w:t>”). Notwithstanding anything to the contrary, the completion of the Security and AV Wiring (ID #247) and the Data Wiring Rough (ID #249) may be delayed beyond the completion date of October 2, 2020 for both such items as set forth on the Milestone Schedule for up to one week in each instance to October 9, 2020, due to acts or omissions of Tenant without the same constituting a “Tenant Delay” under this Lease.</w:t>
      </w:r>
    </w:p>
    <w:p>
      <w:pPr>
        <w:spacing w:after="0" w:line="179" w:lineRule="exact"/>
        <w:rPr>
          <w:sz w:val="20"/>
          <w:szCs w:val="20"/>
          <w:color w:val="auto"/>
        </w:rPr>
      </w:pPr>
    </w:p>
    <w:p>
      <w:pPr>
        <w:ind w:right="120" w:firstLine="436"/>
        <w:spacing w:after="0" w:line="26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Substantial Completion Date</w:t>
      </w:r>
      <w:r>
        <w:rPr>
          <w:rFonts w:ascii="Arial" w:cs="Arial" w:eastAsia="Arial" w:hAnsi="Arial"/>
          <w:sz w:val="17"/>
          <w:szCs w:val="17"/>
          <w:color w:val="auto"/>
        </w:rPr>
        <w:t>” (for purposes of Section 3.01(b) of the Lease) shall mean the date on which the Landlord has substantially completed the Base Building Work and the Initial Tenant Work. Landlord shall use commercially reasonable efforts to substantially complete the Base Building Work and the Initial Tenant Work on or before the Estimated Term Commencement Date. In the event that the Substantial Completion Date is delayed beyond the Estimated Term Commencement Date (other than due to a Tenant Delay, as defined below), then the “</w:t>
      </w:r>
      <w:r>
        <w:rPr>
          <w:rFonts w:ascii="Arial" w:cs="Arial" w:eastAsia="Arial" w:hAnsi="Arial"/>
          <w:sz w:val="17"/>
          <w:szCs w:val="17"/>
          <w:u w:val="single" w:color="auto"/>
          <w:color w:val="auto"/>
        </w:rPr>
        <w:t>Estimated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Commencement Date</w:t>
      </w:r>
      <w:r>
        <w:rPr>
          <w:rFonts w:ascii="Arial" w:cs="Arial" w:eastAsia="Arial" w:hAnsi="Arial"/>
          <w:sz w:val="17"/>
          <w:szCs w:val="17"/>
          <w:color w:val="auto"/>
        </w:rPr>
        <w:t xml:space="preserve">” set forth in Section 1 of the Lease shall be delayed by one day for each day of such delay by Landlord in achieving the Substantial Completion Date. Notwithstanding anything to the contrary contained in this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the Lease, in the event that a Tenant Delay and a Force Majeure delay are occurring on the same date, only one (1) day of delay resulting from such Tenant Delay and Force Majeure delay may be claimed for each such overlapping day.</w:t>
      </w:r>
    </w:p>
    <w:p>
      <w:pPr>
        <w:spacing w:after="0" w:line="180"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For purposes hereof, “substantially complete” and “substantial completion” shall mean that the applicable work by Landlord under this Paragraph C.2 has been completed, other than minor punchlist-type items the completion of which will not unreasonably delay or interfere with Tenant’s occupancy of the Premises for the regular conduct of business, as certified in writing by Landlord’s architect, and as evidenced by the issuance of a temporary or permanent certificate of</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900"/>
          </w:cols>
          <w:pgMar w:left="480" w:top="268" w:right="519" w:bottom="1440" w:gutter="0" w:footer="0" w:header="0"/>
        </w:sectPr>
      </w:pPr>
    </w:p>
    <w:bookmarkStart w:id="646" w:name="page647"/>
    <w:bookmarkEnd w:id="646"/>
    <w:p>
      <w:pPr>
        <w:ind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occupancy for the Premises; provided, however, that if such certificate of occupancy cannot be issued due to any work to be performed by Tenant or installation of cabling, furniture, fixtures or equipment to be performed by Tenant, or any other action required of Tenant, then the issuance of a certificate of occupancy shall not be a condition to the occurrence of the Substantial Completion Date or the Term Commencement Date, and the Base Building Work and the Initial Tenant Work shall be deemed substantially complete on the date that the certificate of occupancy would have issued but for the non-completion of such work, installation or action to be performed by Tenant.</w:t>
      </w:r>
    </w:p>
    <w:p>
      <w:pPr>
        <w:spacing w:after="0" w:line="176" w:lineRule="exact"/>
        <w:rPr>
          <w:sz w:val="20"/>
          <w:szCs w:val="20"/>
          <w:color w:val="auto"/>
        </w:rPr>
      </w:pPr>
    </w:p>
    <w:p>
      <w:pPr>
        <w:ind w:right="20" w:firstLine="436"/>
        <w:spacing w:after="0" w:line="251"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the Lease, Landlord shall deliver to Tenant notice of a Force Majeure delay and/or Tenant Delay within five (5) Business Days after Landlord has actual knowledge of the occurrence of same (except that no notice shall be required in connection with any failure by Tenant to timely comply with any time periods expressly set forth in this Lease). If Landlord fails to deliver to Tenant notice of a Force Majeure delay and/or Tenant Delay within five (5) Business Days after Landlord has actual knowledge of the occurrence of same, the period prior to the delivery of Landlord’s notice of a Force Majeure delay and/or Tenant Delay event will not be counted as a Force Majeure delay and/or Tenant Delay. If Tenant disputes whether such Force Majeure delay and/or Tenant Delay has occurred, such dispute shall be subject to Paragraph C.11 below.</w:t>
      </w:r>
    </w:p>
    <w:p>
      <w:pPr>
        <w:spacing w:after="0" w:line="90" w:lineRule="exact"/>
        <w:rPr>
          <w:sz w:val="20"/>
          <w:szCs w:val="20"/>
          <w:color w:val="auto"/>
        </w:rPr>
      </w:pPr>
    </w:p>
    <w:p>
      <w:pPr>
        <w:ind w:right="340" w:firstLine="436"/>
        <w:spacing w:after="0" w:line="275" w:lineRule="auto"/>
        <w:rPr>
          <w:sz w:val="20"/>
          <w:szCs w:val="20"/>
          <w:color w:val="auto"/>
        </w:rPr>
      </w:pPr>
      <w:r>
        <w:rPr>
          <w:rFonts w:ascii="Arial" w:cs="Arial" w:eastAsia="Arial" w:hAnsi="Arial"/>
          <w:sz w:val="17"/>
          <w:szCs w:val="17"/>
          <w:color w:val="auto"/>
        </w:rPr>
        <w:t xml:space="preserve">C.3 </w:t>
      </w:r>
      <w:r>
        <w:rPr>
          <w:rFonts w:ascii="Arial" w:cs="Arial" w:eastAsia="Arial" w:hAnsi="Arial"/>
          <w:sz w:val="17"/>
          <w:szCs w:val="17"/>
          <w:u w:val="single" w:color="auto"/>
          <w:color w:val="auto"/>
        </w:rPr>
        <w:t>Landlord’s Construction Documents</w:t>
      </w:r>
      <w:r>
        <w:rPr>
          <w:rFonts w:ascii="Arial" w:cs="Arial" w:eastAsia="Arial" w:hAnsi="Arial"/>
          <w:sz w:val="17"/>
          <w:szCs w:val="17"/>
          <w:color w:val="auto"/>
        </w:rPr>
        <w:t>. Landlord shall prepare the plans and specifications for the Initial Tenant Work (the “</w:t>
      </w:r>
      <w:r>
        <w:rPr>
          <w:rFonts w:ascii="Arial" w:cs="Arial" w:eastAsia="Arial" w:hAnsi="Arial"/>
          <w:sz w:val="17"/>
          <w:szCs w:val="17"/>
          <w:u w:val="single" w:color="auto"/>
          <w:color w:val="auto"/>
        </w:rPr>
        <w:t>Construction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The Construction Documents shall be consistent with the plan attached hereto as </w:t>
      </w:r>
      <w:r>
        <w:rPr>
          <w:rFonts w:ascii="Arial" w:cs="Arial" w:eastAsia="Arial" w:hAnsi="Arial"/>
          <w:sz w:val="17"/>
          <w:szCs w:val="17"/>
          <w:u w:val="single" w:color="auto"/>
          <w:color w:val="auto"/>
        </w:rPr>
        <w:t>Schedule C-3</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Spec Plan</w:t>
      </w:r>
      <w:r>
        <w:rPr>
          <w:rFonts w:ascii="Arial" w:cs="Arial" w:eastAsia="Arial" w:hAnsi="Arial"/>
          <w:sz w:val="17"/>
          <w:szCs w:val="17"/>
          <w:color w:val="auto"/>
        </w:rPr>
        <w:t xml:space="preserve">”). Tenant shall respond promptly (and in all events within seven (7) Business Days) to Landlord’s requests from time to time for Tenant’s approval of all construction-related items (e.g., carpet and paint selections) not specified on </w:t>
      </w:r>
      <w:r>
        <w:rPr>
          <w:rFonts w:ascii="Arial" w:cs="Arial" w:eastAsia="Arial" w:hAnsi="Arial"/>
          <w:sz w:val="17"/>
          <w:szCs w:val="17"/>
          <w:u w:val="single" w:color="auto"/>
          <w:color w:val="auto"/>
        </w:rPr>
        <w:t>Schedule C-3</w:t>
      </w:r>
      <w:r>
        <w:rPr>
          <w:rFonts w:ascii="Arial" w:cs="Arial" w:eastAsia="Arial" w:hAnsi="Arial"/>
          <w:sz w:val="17"/>
          <w:szCs w:val="17"/>
          <w:color w:val="auto"/>
        </w:rPr>
        <w:t>.</w:t>
      </w:r>
    </w:p>
    <w:p>
      <w:pPr>
        <w:spacing w:after="0" w:line="67"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Cost of the Base Building Work and Initial Tenant Work</w:t>
      </w:r>
      <w:r>
        <w:rPr>
          <w:rFonts w:ascii="Arial" w:cs="Arial" w:eastAsia="Arial" w:hAnsi="Arial"/>
          <w:sz w:val="18"/>
          <w:szCs w:val="18"/>
          <w:color w:val="auto"/>
        </w:rPr>
        <w:t>. Landlord shall perform the Base Building Work at Landlord’s sole expense. In addition, Landlord shall perform the portions of the Initial Tenant Work listed in the “Landlord” column on the Responsibility Matrix and shown on the Spec Plan, at Landlord’s sole expense. Tenant shall be responsible, at Tenant’s sole cost and expense, for any item of work not listed in the “Landlord” column on the Responsibility Matrix and any item not shown on the Spec Plan.</w:t>
      </w:r>
    </w:p>
    <w:p>
      <w:pPr>
        <w:spacing w:after="0" w:line="83"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C.5 </w:t>
      </w:r>
      <w:r>
        <w:rPr>
          <w:rFonts w:ascii="Arial" w:cs="Arial" w:eastAsia="Arial" w:hAnsi="Arial"/>
          <w:sz w:val="16"/>
          <w:szCs w:val="16"/>
          <w:u w:val="single" w:color="auto"/>
          <w:color w:val="auto"/>
        </w:rPr>
        <w:t>Change Orders</w:t>
      </w:r>
      <w:r>
        <w:rPr>
          <w:rFonts w:ascii="Arial" w:cs="Arial" w:eastAsia="Arial" w:hAnsi="Arial"/>
          <w:sz w:val="16"/>
          <w:szCs w:val="16"/>
          <w:color w:val="auto"/>
        </w:rPr>
        <w:t>. Tenant may, from time to time, by written order to Landlord on a form specified by Landlord (“Change Order”), request a change in the Initial Tenant Work shown on the Construction Documents, which requested Change Order shall be subject to Landlord’s approval in Landlord’s sole discretion. If approved by Landlord in its sole discretion, Landlord shall cause the Initial Tenant Work to be performed in accordance with such Change Order, and Tenant shall be solely responsible for all additional costs arising from any Change Order (including, without limitation, as to each such Change Order, the general contractor mark-ups for general conditions and fees and the applicable construction management fee equal to five percent (5.0%) of the total additional costs of such Change Order, including any mark-ups charged by the general contractor, architect or other consultants for Landlord’s managing agent providing such construction management services) (collectively, the “Change Order Costs”). Landlord may from time to time require Tenant to pay the estimated amount of the Change Order Costs to Landlord before performing such Change Order or otherwise within thirty (30) days following receipt of each Landlord’s invoices for each such Change Order.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20"/>
          </w:cols>
          <w:pgMar w:left="480" w:top="273" w:right="499" w:bottom="1440" w:gutter="0" w:footer="0" w:header="0"/>
        </w:sectPr>
      </w:pPr>
    </w:p>
    <w:bookmarkStart w:id="647" w:name="page648"/>
    <w:bookmarkEnd w:id="647"/>
    <w:p>
      <w:pPr>
        <w:jc w:val="both"/>
        <w:ind w:firstLine="43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C.6 </w:t>
      </w:r>
      <w:r>
        <w:rPr>
          <w:rFonts w:ascii="Arial" w:cs="Arial" w:eastAsia="Arial" w:hAnsi="Arial"/>
          <w:sz w:val="16"/>
          <w:szCs w:val="16"/>
          <w:u w:val="single" w:color="auto"/>
          <w:color w:val="auto"/>
        </w:rPr>
        <w:t>Landlord’s Performance of the Work</w:t>
      </w:r>
      <w:r>
        <w:rPr>
          <w:rFonts w:ascii="Arial" w:cs="Arial" w:eastAsia="Arial" w:hAnsi="Arial"/>
          <w:sz w:val="16"/>
          <w:szCs w:val="16"/>
          <w:color w:val="auto"/>
        </w:rPr>
        <w:t>. Landlord shall be deemed authorized to proceed with the Initial Tenant Work shown on the Construction Documents as of the Effective Date, unless Tenant has then requested that Landlord delay the commencement of the Initial Tenant Work, in which event any such timely request (or any subsequent request) by Tenant to delay the work shall be subject to the provisions on Tenant Delay under Paragraph</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C.10 below. All Initial Tenant Work shall be performed and constructed by Landlord in accordance with the Construction Documents and in a good and workmanlike manner and in compliance with applicable Laws.</w:t>
      </w:r>
    </w:p>
    <w:p>
      <w:pPr>
        <w:spacing w:after="0" w:line="188" w:lineRule="exact"/>
        <w:rPr>
          <w:sz w:val="20"/>
          <w:szCs w:val="20"/>
          <w:color w:val="auto"/>
        </w:rPr>
      </w:pPr>
    </w:p>
    <w:p>
      <w:pPr>
        <w:ind w:right="240" w:firstLine="436"/>
        <w:spacing w:after="0" w:line="269" w:lineRule="auto"/>
        <w:rPr>
          <w:sz w:val="20"/>
          <w:szCs w:val="20"/>
          <w:color w:val="auto"/>
        </w:rPr>
      </w:pPr>
      <w:r>
        <w:rPr>
          <w:rFonts w:ascii="Arial" w:cs="Arial" w:eastAsia="Arial" w:hAnsi="Arial"/>
          <w:sz w:val="17"/>
          <w:szCs w:val="17"/>
          <w:color w:val="auto"/>
        </w:rPr>
        <w:t>No Initial Tenant Work shall be performed except in accordance with the Construction Documents. Landlord may require that the Construction Documents be revised if, in Landlord’s reasonable judgment,(i) the requested work would delay completion of the Base Building Work or the Initial Tenant Work beyond the Estimated Term Commencement Date (unless Tenant acknowledges that such delay shall constitute a Tenant Delay under Paragraph C.10 below), (ii) would increase the cost of operating the Building or performing any other work in the Building (unless Tenant pays such additional costs), (iii) are incompatible with the design, quality, equipment or systems of the Building, or (iv) otherwise do not comply with the provisions of this Lease (including, without limitation, Section 8). Landlord shall not be responsible for any aspects of the design of the Initial Tenant Work with respect to the adequacy of the design for Tenant’s intended use of the Premises.</w:t>
      </w:r>
    </w:p>
    <w:p>
      <w:pPr>
        <w:spacing w:after="0" w:line="71" w:lineRule="exact"/>
        <w:rPr>
          <w:sz w:val="20"/>
          <w:szCs w:val="20"/>
          <w:color w:val="auto"/>
        </w:rPr>
      </w:pPr>
    </w:p>
    <w:p>
      <w:pPr>
        <w:ind w:right="100" w:firstLine="436"/>
        <w:spacing w:after="0" w:line="281" w:lineRule="auto"/>
        <w:rPr>
          <w:sz w:val="20"/>
          <w:szCs w:val="20"/>
          <w:color w:val="auto"/>
        </w:rPr>
      </w:pPr>
      <w:r>
        <w:rPr>
          <w:rFonts w:ascii="Arial" w:cs="Arial" w:eastAsia="Arial" w:hAnsi="Arial"/>
          <w:sz w:val="16"/>
          <w:szCs w:val="16"/>
          <w:color w:val="auto"/>
        </w:rPr>
        <w:t xml:space="preserve">C.7 </w:t>
      </w:r>
      <w:r>
        <w:rPr>
          <w:rFonts w:ascii="Arial" w:cs="Arial" w:eastAsia="Arial" w:hAnsi="Arial"/>
          <w:sz w:val="16"/>
          <w:szCs w:val="16"/>
          <w:u w:val="single" w:color="auto"/>
          <w:color w:val="auto"/>
        </w:rPr>
        <w:t>Tenant’s Early Access</w:t>
      </w:r>
      <w:r>
        <w:rPr>
          <w:rFonts w:ascii="Arial" w:cs="Arial" w:eastAsia="Arial" w:hAnsi="Arial"/>
          <w:sz w:val="16"/>
          <w:szCs w:val="16"/>
          <w:color w:val="auto"/>
        </w:rPr>
        <w:t xml:space="preserve">. The Initial Tenant Work to be performed by Landlord under this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not include the purchase, installation, or testing of any office, conference room, break out rooms, reception and kitchen furniture or any other furniture, personal property, computers or telecommunications equipment, cabling, security or any other specialized business fixtures and equipment or wiring therefor (even if the same may be generally depicted for illustration or space planning purposes on the Construction Documents), all of which shall be Tenant’s responsibility under this Paragraph C.7. Tenant shall have the right to access the Premises sixty (60) days prior to the Substantial Completion Date for the purposes of installing Tenant’s wiring, furniture, equipment, and personal property, provided that any such entry prior to the Substantial Completion Date shall be subject in each case to (i) Landlord’s approval of the schedule and scope of such work (which shall not delay the performance by Landlord of the Base Building Work or the Initial Tenant Work), (ii) Landlord’s approval of Tenant’s contractors or vendors for such work in accordance with Section 8 of the Lease,</w:t>
      </w:r>
    </w:p>
    <w:p>
      <w:pPr>
        <w:spacing w:after="0" w:line="1" w:lineRule="exact"/>
        <w:rPr>
          <w:sz w:val="20"/>
          <w:szCs w:val="20"/>
          <w:color w:val="auto"/>
        </w:rPr>
      </w:pPr>
    </w:p>
    <w:p>
      <w:pPr>
        <w:ind w:firstLine="7"/>
        <w:spacing w:after="0" w:line="265" w:lineRule="auto"/>
        <w:tabs>
          <w:tab w:leader="none" w:pos="312" w:val="left"/>
        </w:tabs>
        <w:numPr>
          <w:ilvl w:val="0"/>
          <w:numId w:val="551"/>
        </w:numPr>
        <w:rPr>
          <w:rFonts w:ascii="Arial" w:cs="Arial" w:eastAsia="Arial" w:hAnsi="Arial"/>
          <w:sz w:val="17"/>
          <w:szCs w:val="17"/>
          <w:color w:val="auto"/>
        </w:rPr>
      </w:pPr>
      <w:r>
        <w:rPr>
          <w:rFonts w:ascii="Arial" w:cs="Arial" w:eastAsia="Arial" w:hAnsi="Arial"/>
          <w:sz w:val="17"/>
          <w:szCs w:val="17"/>
          <w:color w:val="auto"/>
        </w:rPr>
        <w:t>Landlord’s receipt from Tenant of copies of all necessary permits for the applicable work by Tenant, if any, and (iv) customary insurance certificates from Tenant’s contractors, subcontractors, and other parties acting under Tenant with respect to the applicable work in accordance with Section 8 of the Lease. Notwithstanding the foregoing, Landlord shall give Tenant at least thirty (30) days’ advance notice of the date that Landlord anticipates closing the walls of the Premises, and Tenant shall have the right to access the Premises to install Tenant’s wiring and cabling prior to such wall closure, subject to the terms and conditions hereof. Tenant shall be responsible for any damage to the Base Building Work or the Initial Tenant Work or the Premises caused by Tenant or its employees, agents, contractors, subcontractors, material suppliers and laborers in connection with such entry. Any entry into the Premises by Tenant (or its contractors, subcontractors, or other parties acting under Tenant) prior to the Substantial Completion Date shall be subject to all of the provisions of the Lease that are applicable to the Premises during the Term, except for the obligation to pay Base Rent, Tenant’s Share of Expenses and Tenant’s Share of Taxes.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00"/>
          </w:cols>
          <w:pgMar w:left="480" w:top="273" w:right="519" w:bottom="1440" w:gutter="0" w:footer="0" w:header="0"/>
        </w:sectPr>
      </w:pPr>
    </w:p>
    <w:bookmarkStart w:id="648" w:name="page649"/>
    <w:bookmarkEnd w:id="648"/>
    <w:p>
      <w:pPr>
        <w:ind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C.8 </w:t>
      </w:r>
      <w:r>
        <w:rPr>
          <w:rFonts w:ascii="Arial" w:cs="Arial" w:eastAsia="Arial" w:hAnsi="Arial"/>
          <w:sz w:val="17"/>
          <w:szCs w:val="17"/>
          <w:u w:val="single" w:color="auto"/>
          <w:color w:val="auto"/>
        </w:rPr>
        <w:t>Close-Out of Initial Tenant Work</w:t>
      </w:r>
      <w:r>
        <w:rPr>
          <w:rFonts w:ascii="Arial" w:cs="Arial" w:eastAsia="Arial" w:hAnsi="Arial"/>
          <w:sz w:val="17"/>
          <w:szCs w:val="17"/>
          <w:color w:val="auto"/>
        </w:rPr>
        <w:t>. On a date reasonably specified by Landlord, Landlord and Tenant shall inspect the Initial Tenant Work for the purpose of preparing a list of the punchlist-type items then remaining to be completed (the “</w:t>
      </w:r>
      <w:r>
        <w:rPr>
          <w:rFonts w:ascii="Arial" w:cs="Arial" w:eastAsia="Arial" w:hAnsi="Arial"/>
          <w:sz w:val="17"/>
          <w:szCs w:val="17"/>
          <w:u w:val="single" w:color="auto"/>
          <w:color w:val="auto"/>
        </w:rPr>
        <w:t>Final Punchlist</w:t>
      </w:r>
      <w:r>
        <w:rPr>
          <w:rFonts w:ascii="Arial" w:cs="Arial" w:eastAsia="Arial" w:hAnsi="Arial"/>
          <w:sz w:val="17"/>
          <w:szCs w:val="17"/>
          <w:color w:val="auto"/>
        </w:rPr>
        <w:t>”). Landlord shall submit the Final Punchlist to Tenant, and Tenant shall sign and return the Final Punchlist to Landlord within thirty (30) days after its receipt, noting any items that Tenant reasonably believes should be added thereto. Items shall not be added to the Final Punchlist by Tenant after it is delivered to Landlord. If the Final Punchlist is not timely delivered by Tenant, then the Initial Tenant Work shall be deemed final and complete, and Landlord shall have no further obligation to cause any other Initial Tenant Work to be completed, other than the punchlist items specified in Landlord’s Final Punchlist and the correction of latent defects as provided below. With respect to items on the Final Punchlist not in dispute, Landlord shall cause such items to be completed in a diligent manner during regular business hours, but in a manner that will seek to minimize interruption of Tenant’s use and occupancy. With respect to any disputed Final Punchlist items, Landlord shall cause such items to be completed in like manner, but Landlord may nevertheless reserve Landlord’s rights to require Tenant to pay the costs therefor.</w:t>
      </w:r>
    </w:p>
    <w:p>
      <w:pPr>
        <w:spacing w:after="0" w:line="179" w:lineRule="exact"/>
        <w:rPr>
          <w:sz w:val="20"/>
          <w:szCs w:val="20"/>
          <w:color w:val="auto"/>
        </w:rPr>
      </w:pPr>
    </w:p>
    <w:p>
      <w:pPr>
        <w:ind w:right="120" w:firstLine="436"/>
        <w:spacing w:after="0" w:line="283" w:lineRule="auto"/>
        <w:rPr>
          <w:sz w:val="20"/>
          <w:szCs w:val="20"/>
          <w:color w:val="auto"/>
        </w:rPr>
      </w:pPr>
      <w:r>
        <w:rPr>
          <w:rFonts w:ascii="Arial" w:cs="Arial" w:eastAsia="Arial" w:hAnsi="Arial"/>
          <w:sz w:val="16"/>
          <w:szCs w:val="16"/>
          <w:color w:val="auto"/>
        </w:rPr>
        <w:t>Except for latent defects and uncompleted items of Initial Tenant Work specified in the Final Punchlist, Tenant shall be deemed to have accepted all elements of the Initial Tenant Work on the Term Commencement Date. In the case of a dispute concerning the completion of items of the Initial Tenant Work specified in the Final Punchlist, such dispute shall be subject to Paragraph C.11 below. In the case of latent defects in the Initial Tenant Work appearing after the Term Commencement Date, Tenant shall be deemed to have waived any claim for correction or cure thereof on the earlier of</w:t>
      </w:r>
    </w:p>
    <w:p>
      <w:pPr>
        <w:spacing w:after="0" w:line="1" w:lineRule="exact"/>
        <w:rPr>
          <w:sz w:val="20"/>
          <w:szCs w:val="20"/>
          <w:color w:val="auto"/>
        </w:rPr>
      </w:pPr>
    </w:p>
    <w:p>
      <w:pPr>
        <w:ind w:left="240" w:hanging="233"/>
        <w:spacing w:after="0"/>
        <w:tabs>
          <w:tab w:leader="none" w:pos="24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the date thirty (30) days after the date such defect was discovered if Tenant has not then given notice thereof to Landlord or (b) the date fifty one</w:t>
      </w:r>
    </w:p>
    <w:p>
      <w:pPr>
        <w:spacing w:after="0" w:line="29"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(51) weeks following the Substantial Completion Date if Tenant has not then given notice of such defect to Landlord. With respect to items as to which Tenant has given adequate and timely notice hereunder, Landlord shall, at Landlord’s sole cost and expense, cause Landlord’s contractor so to remedy, repair, or replace any incomplete, defective or malfunctioning aspects of the Initial Tenant Work that materially affect Tenant’s occupancy of the Premises, such action to occur as soon as practicable during normal working hours and so as to avoid any unreasonable interruption of Tenant’s use of the Premises. If timely and adequate notice has been given and if Landlord has other guarantees, contract rights, or other claims against contractors, materialmen or architects, Landlord shall, with regard to any incomplete, defective or malfunctioning aspects of the Initial Tenant Work that materially affect Tenant’s occupancy of the Premises, use reasonable efforts to enforce such guarantees or contract rights. The foregoing shall constitute Landlord’s entire obligation with respect to all incomplete, defective, or malfunctioning aspects of the Initial Tenant Work.</w:t>
      </w:r>
    </w:p>
    <w:p>
      <w:pPr>
        <w:spacing w:after="0" w:line="64"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color w:val="auto"/>
        </w:rPr>
        <w:t xml:space="preserve">C.9 </w:t>
      </w:r>
      <w:r>
        <w:rPr>
          <w:rFonts w:ascii="Arial" w:cs="Arial" w:eastAsia="Arial" w:hAnsi="Arial"/>
          <w:sz w:val="17"/>
          <w:szCs w:val="17"/>
          <w:u w:val="single" w:color="auto"/>
          <w:color w:val="auto"/>
        </w:rPr>
        <w:t>Authorized Representatives</w:t>
      </w:r>
      <w:r>
        <w:rPr>
          <w:rFonts w:ascii="Arial" w:cs="Arial" w:eastAsia="Arial" w:hAnsi="Arial"/>
          <w:sz w:val="17"/>
          <w:szCs w:val="17"/>
          <w:color w:val="auto"/>
        </w:rPr>
        <w:t>. Tenant hereby designates Paul Hickey (phickey@blackdiamondrea.com) and Vladislav Zarayskiy (vzarayskiy@monterosatx.com) to jointly serve as Tenant’s representative, who shall have full power and authority to act on behalf of Tenant on any matters relating to the Initial Tenant Work (“</w:t>
      </w:r>
      <w:r>
        <w:rPr>
          <w:rFonts w:ascii="Arial" w:cs="Arial" w:eastAsia="Arial" w:hAnsi="Arial"/>
          <w:sz w:val="17"/>
          <w:szCs w:val="17"/>
          <w:u w:val="single" w:color="auto"/>
          <w:color w:val="auto"/>
        </w:rPr>
        <w:t>Tenant’s Authorized Representative</w:t>
      </w:r>
      <w:r>
        <w:rPr>
          <w:rFonts w:ascii="Arial" w:cs="Arial" w:eastAsia="Arial" w:hAnsi="Arial"/>
          <w:sz w:val="17"/>
          <w:szCs w:val="17"/>
          <w:color w:val="auto"/>
        </w:rPr>
        <w:t>”). Tenant may from time to time change Tenant’s Authorized Representative or designate additional Tenant’s Authorized Representative(s) by written notice delivered to Landlord in accordance with the Lease. Landlord hereby designates Nicole Looney (NLooney@oxfordproperties.com) to serve as Landlord’s representative, who shall have full power and authority to act on behalf of Landlord on any matters relating to the Initial Tenant Work (“</w:t>
      </w:r>
      <w:r>
        <w:rPr>
          <w:rFonts w:ascii="Arial" w:cs="Arial" w:eastAsia="Arial" w:hAnsi="Arial"/>
          <w:sz w:val="17"/>
          <w:szCs w:val="17"/>
          <w:u w:val="single" w:color="auto"/>
          <w:color w:val="auto"/>
        </w:rPr>
        <w:t>Landlord’s Authorized Representative</w:t>
      </w:r>
      <w:r>
        <w:rPr>
          <w:rFonts w:ascii="Arial" w:cs="Arial" w:eastAsia="Arial" w:hAnsi="Arial"/>
          <w:sz w:val="17"/>
          <w:szCs w:val="17"/>
          <w:color w:val="auto"/>
        </w:rPr>
        <w:t>”). Landlord may from time to time change Landlord’s Authorized Representative or designate additional Landlord’s Authorized Representative(s) by written notice delivered to Tenant in accordance with the Lease.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880"/>
          </w:cols>
          <w:pgMar w:left="480" w:top="272" w:right="539" w:bottom="1440" w:gutter="0" w:footer="0" w:header="0"/>
        </w:sectPr>
      </w:pPr>
    </w:p>
    <w:bookmarkStart w:id="649" w:name="page650"/>
    <w:bookmarkEnd w:id="649"/>
    <w:p>
      <w:pPr>
        <w:ind w:firstLine="43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C.10 </w:t>
      </w:r>
      <w:r>
        <w:rPr>
          <w:rFonts w:ascii="Arial" w:cs="Arial" w:eastAsia="Arial" w:hAnsi="Arial"/>
          <w:sz w:val="17"/>
          <w:szCs w:val="17"/>
          <w:u w:val="single" w:color="auto"/>
          <w:color w:val="auto"/>
        </w:rPr>
        <w:t>Tenant Delays</w:t>
      </w:r>
      <w:r>
        <w:rPr>
          <w:rFonts w:ascii="Arial" w:cs="Arial" w:eastAsia="Arial" w:hAnsi="Arial"/>
          <w:sz w:val="17"/>
          <w:szCs w:val="17"/>
          <w:color w:val="auto"/>
        </w:rPr>
        <w:t>. Tenant acknowledges that substantial time will be required on its part to provide complete information concerning its requirements to the architect and engineers for the Base Building Work and the Initial Tenant Work, that Tenant must make timely decisions as and when requested hereunder, that time is of the essence to Landlord in causing the Term Commencement Date to occur as early as possible, and that Tenant will cooperate with Landlord to achieve the earliest possible Term Commencement Date. Any delay in the commencement or performance of the Base Building Work or the Initial Tenant Work as a result of any of the following is referred to herein as a “</w:t>
      </w:r>
      <w:r>
        <w:rPr>
          <w:rFonts w:ascii="Arial" w:cs="Arial" w:eastAsia="Arial" w:hAnsi="Arial"/>
          <w:sz w:val="17"/>
          <w:szCs w:val="17"/>
          <w:u w:val="single" w:color="auto"/>
          <w:color w:val="auto"/>
        </w:rPr>
        <w:t>Tenant Delay</w:t>
      </w:r>
      <w:r>
        <w:rPr>
          <w:rFonts w:ascii="Arial" w:cs="Arial" w:eastAsia="Arial" w:hAnsi="Arial"/>
          <w:sz w:val="17"/>
          <w:szCs w:val="17"/>
          <w:color w:val="auto"/>
        </w:rPr>
        <w:t>”:</w:t>
      </w:r>
    </w:p>
    <w:p>
      <w:pPr>
        <w:spacing w:after="0" w:line="83" w:lineRule="exact"/>
        <w:rPr>
          <w:sz w:val="20"/>
          <w:szCs w:val="20"/>
          <w:color w:val="auto"/>
        </w:rPr>
      </w:pPr>
    </w:p>
    <w:p>
      <w:pPr>
        <w:ind w:left="1420" w:right="140" w:hanging="436"/>
        <w:spacing w:after="0" w:line="301" w:lineRule="auto"/>
        <w:tabs>
          <w:tab w:leader="none" w:pos="142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any failure by Tenant to timely respond within the above-designated time periods to requests for information necessary to complete the preparation of the Construction Documents or to carry out the Base Building Work or the Initial Tenant Work;</w:t>
      </w:r>
    </w:p>
    <w:p>
      <w:pPr>
        <w:spacing w:after="0" w:line="58" w:lineRule="exact"/>
        <w:rPr>
          <w:rFonts w:ascii="Arial" w:cs="Arial" w:eastAsia="Arial" w:hAnsi="Arial"/>
          <w:sz w:val="17"/>
          <w:szCs w:val="17"/>
          <w:color w:val="auto"/>
        </w:rPr>
      </w:pPr>
    </w:p>
    <w:p>
      <w:pPr>
        <w:ind w:left="1420" w:right="100" w:hanging="436"/>
        <w:spacing w:after="0" w:line="281" w:lineRule="auto"/>
        <w:tabs>
          <w:tab w:leader="none" w:pos="142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any failure by Tenant timely to approve within the above-designated time periods a substitute for any materials, equipment, designs, processes, or products shown on the Construction Documents that are not readily available to Landlord’s contractor to acquire in a timely manner and incorporate into the Initial Tenant Work in the ordinary course without delay,</w:t>
      </w:r>
    </w:p>
    <w:p>
      <w:pPr>
        <w:spacing w:after="0" w:line="75" w:lineRule="exact"/>
        <w:rPr>
          <w:rFonts w:ascii="Arial" w:cs="Arial" w:eastAsia="Arial" w:hAnsi="Arial"/>
          <w:sz w:val="17"/>
          <w:szCs w:val="17"/>
          <w:color w:val="auto"/>
        </w:rPr>
      </w:pPr>
    </w:p>
    <w:p>
      <w:pPr>
        <w:ind w:left="1420" w:right="380" w:hanging="436"/>
        <w:spacing w:after="0" w:line="271" w:lineRule="auto"/>
        <w:tabs>
          <w:tab w:leader="none" w:pos="14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failure of Tenant to act in a timely manner within the above-designated time periods on any construction-related question or matter,</w:t>
      </w:r>
    </w:p>
    <w:p>
      <w:pPr>
        <w:spacing w:after="0" w:line="80" w:lineRule="exact"/>
        <w:rPr>
          <w:rFonts w:ascii="Arial" w:cs="Arial" w:eastAsia="Arial" w:hAnsi="Arial"/>
          <w:sz w:val="18"/>
          <w:szCs w:val="18"/>
          <w:color w:val="auto"/>
        </w:rPr>
      </w:pPr>
    </w:p>
    <w:p>
      <w:pPr>
        <w:ind w:left="1420" w:right="120" w:hanging="436"/>
        <w:spacing w:after="0" w:line="271" w:lineRule="auto"/>
        <w:tabs>
          <w:tab w:leader="none" w:pos="14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request by Tenant that Landlord delay the commencement of, or delay or suspend the performance of, any element of the Initial Tenant Work,</w:t>
      </w:r>
    </w:p>
    <w:p>
      <w:pPr>
        <w:spacing w:after="0" w:line="80" w:lineRule="exact"/>
        <w:rPr>
          <w:rFonts w:ascii="Arial" w:cs="Arial" w:eastAsia="Arial" w:hAnsi="Arial"/>
          <w:sz w:val="18"/>
          <w:szCs w:val="18"/>
          <w:color w:val="auto"/>
        </w:rPr>
      </w:pPr>
    </w:p>
    <w:p>
      <w:pPr>
        <w:jc w:val="both"/>
        <w:ind w:left="1420" w:right="80" w:hanging="436"/>
        <w:spacing w:after="0" w:line="259" w:lineRule="auto"/>
        <w:tabs>
          <w:tab w:leader="none" w:pos="14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other act or omission of Tenant or any of their officers, employers, agents, contractors, or equipment vendors, including without limitation under Paragraph C.7 above, that actually causes a delay in the commencement or performance of the Base Building Work and the Initial Tenant Work, or</w:t>
      </w:r>
    </w:p>
    <w:p>
      <w:pPr>
        <w:spacing w:after="0" w:line="92" w:lineRule="exact"/>
        <w:rPr>
          <w:rFonts w:ascii="Arial" w:cs="Arial" w:eastAsia="Arial" w:hAnsi="Arial"/>
          <w:sz w:val="18"/>
          <w:szCs w:val="18"/>
          <w:color w:val="auto"/>
        </w:rPr>
      </w:pPr>
    </w:p>
    <w:p>
      <w:pPr>
        <w:ind w:left="1420" w:right="80" w:hanging="436"/>
        <w:spacing w:after="0" w:line="271" w:lineRule="auto"/>
        <w:tabs>
          <w:tab w:leader="none" w:pos="14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Change Order that actually causes a delay in the commencement or performance of the Initial Tenant Work, whether or not such requested Order is actually implemented.</w:t>
      </w:r>
    </w:p>
    <w:p>
      <w:pPr>
        <w:spacing w:after="0" w:line="175" w:lineRule="exact"/>
        <w:rPr>
          <w:sz w:val="20"/>
          <w:szCs w:val="20"/>
          <w:color w:val="auto"/>
        </w:rPr>
      </w:pPr>
    </w:p>
    <w:p>
      <w:pPr>
        <w:ind w:right="80"/>
        <w:spacing w:after="0" w:line="417" w:lineRule="auto"/>
        <w:rPr>
          <w:sz w:val="20"/>
          <w:szCs w:val="20"/>
          <w:color w:val="auto"/>
        </w:rPr>
      </w:pPr>
      <w:r>
        <w:rPr>
          <w:rFonts w:ascii="Arial" w:cs="Arial" w:eastAsia="Arial" w:hAnsi="Arial"/>
          <w:sz w:val="14"/>
          <w:szCs w:val="14"/>
          <w:color w:val="auto"/>
        </w:rPr>
        <w:t>For each day of Tenant Delay, the “Substantial Completion Date” shall be deemed to be one day earlier than the actual date thereof, and the Term Commencement Date and Tenant’s obligation to pay Base Rent and additional charges shall be accelerated accordingly under Section 3.01 of the Lease.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20"/>
          </w:cols>
          <w:pgMar w:left="480" w:top="272" w:right="499" w:bottom="1440" w:gutter="0" w:footer="0" w:header="0"/>
        </w:sectPr>
      </w:pPr>
    </w:p>
    <w:bookmarkStart w:id="650" w:name="page651"/>
    <w:bookmarkEnd w:id="650"/>
    <w:p>
      <w:pPr>
        <w:ind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C.11 </w:t>
      </w:r>
      <w:r>
        <w:rPr>
          <w:rFonts w:ascii="Arial" w:cs="Arial" w:eastAsia="Arial" w:hAnsi="Arial"/>
          <w:sz w:val="16"/>
          <w:szCs w:val="16"/>
          <w:u w:val="single" w:color="auto"/>
          <w:color w:val="auto"/>
        </w:rPr>
        <w:t>Dispute Resolutions</w:t>
      </w:r>
      <w:r>
        <w:rPr>
          <w:rFonts w:ascii="Arial" w:cs="Arial" w:eastAsia="Arial" w:hAnsi="Arial"/>
          <w:sz w:val="16"/>
          <w:szCs w:val="16"/>
          <w:color w:val="auto"/>
        </w:rPr>
        <w:t xml:space="preserve">. In the event of a controversy, dispute or claim arising out of, from or relating to the interpretation, performance or breach of the provisions of this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whether based on contract, tort, equity or statute and including without limitation disputes concerning entitlement to and exercise of termination rights or default remedies (collectively, a “</w:t>
      </w:r>
      <w:r>
        <w:rPr>
          <w:rFonts w:ascii="Arial" w:cs="Arial" w:eastAsia="Arial" w:hAnsi="Arial"/>
          <w:sz w:val="16"/>
          <w:szCs w:val="16"/>
          <w:u w:val="single" w:color="auto"/>
          <w:color w:val="auto"/>
        </w:rPr>
        <w:t>Dispute</w:t>
      </w:r>
      <w:r>
        <w:rPr>
          <w:rFonts w:ascii="Arial" w:cs="Arial" w:eastAsia="Arial" w:hAnsi="Arial"/>
          <w:sz w:val="16"/>
          <w:szCs w:val="16"/>
          <w:color w:val="auto"/>
        </w:rPr>
        <w:t>”), in each case as between Landlord and Tenant, senior representatives of the parties shall meet and attempt to resolve the Dispute in good faith. If the Dispute is not resolved pursuant to this procedure within thirty (30) days after the commencement of such procedure, then the method of dispute resolution with respect to which either party may choose to avail itself of shall (unless Landlord and Tenant mutually agree in writing otherwise) be arbitration in accordance with this Paragraph C.11.</w:t>
      </w:r>
    </w:p>
    <w:p>
      <w:pPr>
        <w:spacing w:after="0" w:line="164"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A Dispute submitted to arbitration hereunder shall be administered by the AAA in accordance with the Commercial Arbitration Rules and the Expedited Procedures (except that the arbitrator shall be bound by the provisions of this Lease and shall not have the power to add to, subtract from, modify or change any of the provisions of this Lease). Unless the parties otherwise agree in writing: (i) the arbitration shall be administered by a single arbitrator, who shall be an attorney who is also a licensed engineer, registered architect, or other construction professional and/or an attorney who specializes in construction disputes; (ii) the arbitration shall be conducted in Boston, Massachusetts; and (iii) the award or decision of the arbitrator shall be in writing, shall be signed by the arbitrator, and shall include a statement regarding the reasons for the disposition of all Disputes submitted to the arbitrator. Each party shall bear its own costs and expenses and an equal share of the arbitrator’s and administrative fees of arbitration, provided, however, the arbitrator shall have the authority to award the prevailing party an amount equal to such party’s actual Dispute resolution costs and expenses incurred in connection with the Dispute, including without limitation reasonable attorneys’ and professionals’ fees. The award rendered by the arbitrator shall be final, and judgment may be entered upon it in accordance with applicable law in any court in the Commonwealth of Massachusetts. No claims, disputes, controversies or other matters in question arising out of or relating to the Lease, this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the transactions contemplated thereby and hereby, other than Disputes, shall be subject to the arbitration provisions of this Paragraph C.11. Notwithstanding anything to the contrary contained herein, the arbitrator shall have no authority to award extra-contractual damages or remedies for the benefit of either party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the intention of Landlord and Tenant that the arbitrator’s authority be limited to making factual determinations, awarding damages and directing remedies based on the express terms and conditions of this </w:t>
      </w:r>
      <w:r>
        <w:rPr>
          <w:rFonts w:ascii="Arial" w:cs="Arial" w:eastAsia="Arial" w:hAnsi="Arial"/>
          <w:sz w:val="16"/>
          <w:szCs w:val="16"/>
          <w:u w:val="single" w:color="auto"/>
          <w:color w:val="auto"/>
        </w:rPr>
        <w:t>Exhibit C)</w:t>
      </w:r>
      <w:r>
        <w:rPr>
          <w:rFonts w:ascii="Arial" w:cs="Arial" w:eastAsia="Arial" w:hAnsi="Arial"/>
          <w:sz w:val="16"/>
          <w:szCs w:val="16"/>
          <w:color w:val="auto"/>
        </w:rPr>
        <w:t>. In the event a dispute resolution under this Paragraph C.11 results in a delay in the Term Commencement Date beyond the Estimated Term Commencement Date, such delay shall constitute a Tenant Delay unless Tenant is the prevailing party in such dispute resolution.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Paragraph C.11 shall not apply to disputes arising under the body of the Lease.</w:t>
      </w:r>
    </w:p>
    <w:p>
      <w:pPr>
        <w:spacing w:after="0" w:line="15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0880"/>
          </w:cols>
          <w:pgMar w:left="480" w:top="272" w:right="539" w:bottom="1440" w:gutter="0" w:footer="0" w:header="0"/>
        </w:sectPr>
      </w:pPr>
    </w:p>
    <w:bookmarkStart w:id="651" w:name="page652"/>
    <w:bookmarkEnd w:id="6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C-1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Landlord / Tenant Responsibility Matrix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56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Landlord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Tenant</w:t>
            </w:r>
          </w:p>
        </w:tc>
      </w:tr>
      <w:tr>
        <w:trPr>
          <w:trHeight w:val="187"/>
        </w:trPr>
        <w:tc>
          <w:tcPr>
            <w:tcW w:w="92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SITEWORK</w:t>
            </w: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Telephone service to main demarcation room from local exchange carrier</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sanitary sewer connection to street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Lab waste sewer connection to building tenant pH neutralization system, pro-rata R&amp;M and monitoring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building pH neutralization system</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Roof storm drainage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NStar primary and secondary electrical service</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National Grid gas service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water service to Building</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Fire protection water service to Building</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STRUCTURE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Structural enhancements for specific Tenant load requirements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Structural framing dunnage above roof for Base Building equipment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Structural framing dunnage above roof for Tenant equipment (subject to Landlord review and approval).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Framed openings for Base Building utility risers</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Framed openings for Tenant utility risers in addition to Base Building.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metals items and/or concrete pads for Base Building equipment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ROOFING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ply EPDM roofing system with rigid insulation</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Roofing penetrations for Base Building equipment/systems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Roofing penetrations for Tenant equipment/systems (If Applicable)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Walkway pads to Base Building equipment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Walkway pads to Tenant equipment (If Applicable)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tcPr>
          <w:p>
            <w:pPr>
              <w:spacing w:after="0"/>
              <w:rPr>
                <w:sz w:val="20"/>
                <w:szCs w:val="20"/>
                <w:color w:val="auto"/>
              </w:rPr>
            </w:pPr>
            <w:r>
              <w:rPr>
                <w:rFonts w:ascii="Arial" w:cs="Arial" w:eastAsia="Arial" w:hAnsi="Arial"/>
                <w:sz w:val="18"/>
                <w:szCs w:val="18"/>
                <w:color w:val="auto"/>
              </w:rPr>
              <w:t>Roofing alterations due to Tenant changes (If Applicable)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4"/>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EXTERIOR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7"/>
        </w:trPr>
        <w:tc>
          <w:tcPr>
            <w:tcW w:w="9280" w:type="dxa"/>
            <w:vAlign w:val="bottom"/>
            <w:gridSpan w:val="2"/>
          </w:tcPr>
          <w:p>
            <w:pPr>
              <w:spacing w:after="0"/>
              <w:rPr>
                <w:sz w:val="20"/>
                <w:szCs w:val="20"/>
                <w:color w:val="auto"/>
              </w:rPr>
            </w:pPr>
            <w:r>
              <w:rPr>
                <w:rFonts w:ascii="Arial" w:cs="Arial" w:eastAsia="Arial" w:hAnsi="Arial"/>
                <w:sz w:val="18"/>
                <w:szCs w:val="18"/>
                <w:color w:val="auto"/>
              </w:rPr>
              <w:t>Building exterior consisting of masonry, panels and punched windows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r>
      <w:tr>
        <w:trPr>
          <w:trHeight w:val="347"/>
        </w:trPr>
        <w:tc>
          <w:tcPr>
            <w:tcW w:w="720" w:type="dxa"/>
            <w:vAlign w:val="bottom"/>
          </w:tcPr>
          <w:p>
            <w:pPr>
              <w:spacing w:after="0"/>
              <w:rPr>
                <w:sz w:val="24"/>
                <w:szCs w:val="24"/>
                <w:color w:val="auto"/>
              </w:rPr>
            </w:pPr>
          </w:p>
        </w:tc>
        <w:tc>
          <w:tcPr>
            <w:tcW w:w="8560" w:type="dxa"/>
            <w:vAlign w:val="bottom"/>
          </w:tcPr>
          <w:p>
            <w:pPr>
              <w:ind w:left="4620"/>
              <w:spacing w:after="0"/>
              <w:rPr>
                <w:sz w:val="20"/>
                <w:szCs w:val="20"/>
                <w:color w:val="auto"/>
              </w:rPr>
            </w:pPr>
            <w:r>
              <w:rPr>
                <w:rFonts w:ascii="Arial" w:cs="Arial" w:eastAsia="Arial" w:hAnsi="Arial"/>
                <w:sz w:val="18"/>
                <w:szCs w:val="18"/>
                <w:color w:val="auto"/>
              </w:rPr>
              <w:t>C-7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652" w:name="page653"/>
    <w:bookmarkEnd w:id="6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Main Building entrances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Loading dock</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AREAS</w:t>
            </w:r>
          </w:p>
        </w:tc>
        <w:tc>
          <w:tcPr>
            <w:tcW w:w="1620" w:type="dxa"/>
            <w:vAlign w:val="bottom"/>
            <w:shd w:val="clear" w:color="auto" w:fill="CCEEFF"/>
          </w:tcPr>
          <w:p>
            <w:pPr>
              <w:spacing w:after="0"/>
              <w:rPr>
                <w:sz w:val="18"/>
                <w:szCs w:val="18"/>
                <w:color w:val="auto"/>
              </w:rPr>
            </w:pP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Accessible main entrance</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First floor finished lobby</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Upper level elevator lobbies on floors with multiple Tenants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Core area toilet rooms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Janitor’s closets in core areas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Primary demarcation room</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b w:val="1"/>
                <w:bCs w:val="1"/>
                <w:color w:val="auto"/>
              </w:rPr>
              <w:t>ELEVATORS</w:t>
            </w:r>
          </w:p>
        </w:tc>
        <w:tc>
          <w:tcPr>
            <w:tcW w:w="1620" w:type="dxa"/>
            <w:vAlign w:val="bottom"/>
          </w:tcPr>
          <w:p>
            <w:pPr>
              <w:spacing w:after="0"/>
              <w:rPr>
                <w:sz w:val="18"/>
                <w:szCs w:val="18"/>
                <w:color w:val="auto"/>
              </w:rPr>
            </w:pP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Passenger elevator</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b w:val="1"/>
                <w:bCs w:val="1"/>
                <w:color w:val="auto"/>
              </w:rPr>
              <w:t>WINDOW TREATMENT</w:t>
            </w:r>
          </w:p>
        </w:tc>
        <w:tc>
          <w:tcPr>
            <w:tcW w:w="1620" w:type="dxa"/>
            <w:vAlign w:val="bottom"/>
          </w:tcPr>
          <w:p>
            <w:pPr>
              <w:spacing w:after="0"/>
              <w:rPr>
                <w:sz w:val="18"/>
                <w:szCs w:val="18"/>
                <w:color w:val="auto"/>
              </w:rPr>
            </w:pP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5"/>
              </w:rPr>
              <w:t>Furnish and install Building standard blinds for all windows - Crestron Charcoal grey e screen 3% catalog #CSF-ESC01-03</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b w:val="1"/>
                <w:bCs w:val="1"/>
                <w:color w:val="auto"/>
              </w:rPr>
              <w:t>TENANT AREAS</w:t>
            </w:r>
          </w:p>
        </w:tc>
        <w:tc>
          <w:tcPr>
            <w:tcW w:w="1620" w:type="dxa"/>
            <w:vAlign w:val="bottom"/>
          </w:tcPr>
          <w:p>
            <w:pPr>
              <w:spacing w:after="0"/>
              <w:rPr>
                <w:sz w:val="18"/>
                <w:szCs w:val="18"/>
                <w:color w:val="auto"/>
              </w:rPr>
            </w:pP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Perimeter framing and insulation</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Finishes at inside face of exterior walls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Finishes at inside face at Tenant side of core partitions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Toilet rooms within Tenant Premises in addition to those provided by base building</w:t>
            </w:r>
          </w:p>
        </w:tc>
        <w:tc>
          <w:tcPr>
            <w:tcW w:w="1620" w:type="dxa"/>
            <w:vAlign w:val="bottom"/>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Electrical closets within Tenant Premises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00"/>
        </w:trPr>
        <w:tc>
          <w:tcPr>
            <w:tcW w:w="9300" w:type="dxa"/>
            <w:vAlign w:val="bottom"/>
          </w:tcPr>
          <w:p>
            <w:pPr>
              <w:spacing w:after="0" w:line="200" w:lineRule="exact"/>
              <w:rPr>
                <w:sz w:val="20"/>
                <w:szCs w:val="20"/>
                <w:color w:val="auto"/>
              </w:rPr>
            </w:pPr>
            <w:r>
              <w:rPr>
                <w:rFonts w:ascii="Arial" w:cs="Arial" w:eastAsia="Arial" w:hAnsi="Arial"/>
                <w:sz w:val="18"/>
                <w:szCs w:val="18"/>
                <w:color w:val="auto"/>
                <w:w w:val="93"/>
              </w:rPr>
              <w:t>Tel/data rooms for interconnection with Tenant tel/data—Landlord to construct tel/data room and provide a conduit stubbed to</w:t>
            </w:r>
          </w:p>
        </w:tc>
        <w:tc>
          <w:tcPr>
            <w:tcW w:w="1620" w:type="dxa"/>
            <w:vAlign w:val="bottom"/>
          </w:tcPr>
          <w:p>
            <w:pPr>
              <w:spacing w:after="0"/>
              <w:rPr>
                <w:sz w:val="17"/>
                <w:szCs w:val="17"/>
                <w:color w:val="auto"/>
              </w:rPr>
            </w:pPr>
          </w:p>
        </w:tc>
      </w:tr>
      <w:tr>
        <w:trPr>
          <w:trHeight w:val="227"/>
        </w:trPr>
        <w:tc>
          <w:tcPr>
            <w:tcW w:w="9300" w:type="dxa"/>
            <w:vAlign w:val="bottom"/>
          </w:tcPr>
          <w:p>
            <w:pPr>
              <w:ind w:left="180"/>
              <w:spacing w:after="0"/>
              <w:rPr>
                <w:sz w:val="20"/>
                <w:szCs w:val="20"/>
                <w:color w:val="auto"/>
              </w:rPr>
            </w:pPr>
            <w:r>
              <w:rPr>
                <w:rFonts w:ascii="Arial" w:cs="Arial" w:eastAsia="Arial" w:hAnsi="Arial"/>
                <w:sz w:val="18"/>
                <w:szCs w:val="18"/>
                <w:color w:val="auto"/>
              </w:rPr>
              <w:t>such room; however, Tenant shall be responsible for tel/data connection from the demarcation point.</w:t>
            </w:r>
          </w:p>
        </w:tc>
        <w:tc>
          <w:tcPr>
            <w:tcW w:w="1620" w:type="dxa"/>
            <w:vAlign w:val="bottom"/>
          </w:tcPr>
          <w:p>
            <w:pPr>
              <w:ind w:left="1180"/>
              <w:spacing w:after="0"/>
              <w:rPr>
                <w:sz w:val="20"/>
                <w:szCs w:val="20"/>
                <w:color w:val="auto"/>
              </w:rPr>
            </w:pPr>
            <w:r>
              <w:rPr>
                <w:rFonts w:ascii="Arial" w:cs="Arial" w:eastAsia="Arial" w:hAnsi="Arial"/>
                <w:sz w:val="18"/>
                <w:szCs w:val="18"/>
                <w:color w:val="auto"/>
              </w:rPr>
              <w:t>X</w:t>
            </w:r>
          </w:p>
        </w:tc>
      </w:tr>
      <w:tr>
        <w:trPr>
          <w:trHeight w:val="215"/>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Tenant kitchen areas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Modifications to core areas to accommodate Tenant requirements</w:t>
            </w:r>
          </w:p>
        </w:tc>
        <w:tc>
          <w:tcPr>
            <w:tcW w:w="1620" w:type="dxa"/>
            <w:vAlign w:val="bottom"/>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9"/>
              </w:rPr>
              <w:t>Partitions, ceilings, flooring, painting, finishes, doors, frames, hardware, millwork, casework, equipment, and buildout.</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Fixed or movable casework.</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 including but not limited to biosafety cabinets, autoclaves, glasswashers.</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Shaft enclosures for Base Building systems’ risers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00"/>
        </w:trPr>
        <w:tc>
          <w:tcPr>
            <w:tcW w:w="9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The tenant will be allocated a pro-rata share of the allowable limits of Hazardous materials based on a single building control</w:t>
            </w:r>
          </w:p>
        </w:tc>
        <w:tc>
          <w:tcPr>
            <w:tcW w:w="1620" w:type="dxa"/>
            <w:vAlign w:val="bottom"/>
            <w:shd w:val="clear" w:color="auto" w:fill="CCEEFF"/>
          </w:tcPr>
          <w:p>
            <w:pPr>
              <w:spacing w:after="0"/>
              <w:rPr>
                <w:sz w:val="17"/>
                <w:szCs w:val="17"/>
                <w:color w:val="auto"/>
              </w:rPr>
            </w:pPr>
          </w:p>
        </w:tc>
      </w:tr>
      <w:tr>
        <w:trPr>
          <w:trHeight w:val="228"/>
        </w:trPr>
        <w:tc>
          <w:tcPr>
            <w:tcW w:w="9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area</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Freight elevator</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Freight elevator repair and maintenance</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360"/>
        </w:trPr>
        <w:tc>
          <w:tcPr>
            <w:tcW w:w="9300" w:type="dxa"/>
            <w:vAlign w:val="bottom"/>
          </w:tcPr>
          <w:p>
            <w:pPr>
              <w:ind w:left="5340"/>
              <w:spacing w:after="0"/>
              <w:rPr>
                <w:sz w:val="20"/>
                <w:szCs w:val="20"/>
                <w:color w:val="auto"/>
              </w:rPr>
            </w:pPr>
            <w:r>
              <w:rPr>
                <w:rFonts w:ascii="Arial" w:cs="Arial" w:eastAsia="Arial" w:hAnsi="Arial"/>
                <w:sz w:val="18"/>
                <w:szCs w:val="18"/>
                <w:color w:val="auto"/>
              </w:rPr>
              <w:t>C-8</w:t>
            </w:r>
          </w:p>
        </w:tc>
        <w:tc>
          <w:tcPr>
            <w:tcW w:w="1620" w:type="dxa"/>
            <w:vAlign w:val="bottom"/>
          </w:tcPr>
          <w:p>
            <w:pPr>
              <w:spacing w:after="0"/>
              <w:rPr>
                <w:sz w:val="24"/>
                <w:szCs w:val="24"/>
                <w:color w:val="auto"/>
              </w:rPr>
            </w:pPr>
          </w:p>
        </w:tc>
      </w:tr>
    </w:tbl>
    <w:p>
      <w:pPr>
        <w:sectPr>
          <w:pgSz w:w="11900" w:h="16838" w:orient="portrait"/>
          <w:cols w:equalWidth="0" w:num="1">
            <w:col w:w="10920"/>
          </w:cols>
          <w:pgMar w:left="480" w:top="286" w:right="499" w:bottom="1440" w:gutter="0" w:footer="0" w:header="0"/>
        </w:sectPr>
      </w:pPr>
    </w:p>
    <w:bookmarkStart w:id="653" w:name="page654"/>
    <w:bookmarkEnd w:id="6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FIRE PROTECTION</w:t>
            </w:r>
          </w:p>
        </w:tc>
        <w:tc>
          <w:tcPr>
            <w:tcW w:w="1840" w:type="dxa"/>
            <w:vAlign w:val="bottom"/>
            <w:shd w:val="clear" w:color="auto" w:fill="CCEEFF"/>
          </w:tcPr>
          <w:p>
            <w:pPr>
              <w:spacing w:after="0"/>
              <w:rPr>
                <w:sz w:val="18"/>
                <w:szCs w:val="18"/>
                <w:color w:val="auto"/>
              </w:rPr>
            </w:pP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Fire service entrance including fire department connection, alarm valve, and flow protection</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Core area distribution piping and sprinkler heads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Stair distribution piping and sprinkler heads</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All run outs, drop heads, and related equipment within Tenant premises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Modification of sprinkler piping and head locations to suit Tenant layout and hazard index</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Specialized extinguishing systems or containment for tenant areas</w:t>
            </w:r>
          </w:p>
        </w:tc>
        <w:tc>
          <w:tcPr>
            <w:tcW w:w="18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Fire extinguisher cabinets at core areas</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Fire extinguisher cabinets in Tenant Premises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b w:val="1"/>
                <w:bCs w:val="1"/>
                <w:color w:val="auto"/>
              </w:rPr>
              <w:t>PLUMBING</w:t>
            </w:r>
          </w:p>
        </w:tc>
        <w:tc>
          <w:tcPr>
            <w:tcW w:w="1840" w:type="dxa"/>
            <w:vAlign w:val="bottom"/>
          </w:tcPr>
          <w:p>
            <w:pPr>
              <w:spacing w:after="0"/>
              <w:rPr>
                <w:sz w:val="18"/>
                <w:szCs w:val="18"/>
                <w:color w:val="auto"/>
              </w:rPr>
            </w:pP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Domestic water service with backflow prevention and Base Building risers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Domestic water distribution within Tenant Premises</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Core restroom plumbing fixtures compliant with accessibility requirements and anticipated occupancy load.</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00"/>
        </w:trPr>
        <w:tc>
          <w:tcPr>
            <w:tcW w:w="9080" w:type="dxa"/>
            <w:vAlign w:val="bottom"/>
          </w:tcPr>
          <w:p>
            <w:pPr>
              <w:spacing w:after="0" w:line="200" w:lineRule="exact"/>
              <w:rPr>
                <w:sz w:val="20"/>
                <w:szCs w:val="20"/>
                <w:color w:val="auto"/>
              </w:rPr>
            </w:pPr>
            <w:r>
              <w:rPr>
                <w:rFonts w:ascii="Arial" w:cs="Arial" w:eastAsia="Arial" w:hAnsi="Arial"/>
                <w:sz w:val="18"/>
                <w:szCs w:val="18"/>
                <w:color w:val="auto"/>
                <w:w w:val="96"/>
              </w:rPr>
              <w:t>Tenant restroom plumbing fixtures compliant with accessibility requirements (in addition to those provided by the Base</w:t>
            </w:r>
          </w:p>
        </w:tc>
        <w:tc>
          <w:tcPr>
            <w:tcW w:w="1840" w:type="dxa"/>
            <w:vAlign w:val="bottom"/>
          </w:tcPr>
          <w:p>
            <w:pPr>
              <w:spacing w:after="0"/>
              <w:rPr>
                <w:sz w:val="17"/>
                <w:szCs w:val="17"/>
                <w:color w:val="auto"/>
              </w:rPr>
            </w:pPr>
          </w:p>
        </w:tc>
      </w:tr>
      <w:tr>
        <w:trPr>
          <w:trHeight w:val="227"/>
        </w:trPr>
        <w:tc>
          <w:tcPr>
            <w:tcW w:w="9080" w:type="dxa"/>
            <w:vAlign w:val="bottom"/>
          </w:tcPr>
          <w:p>
            <w:pPr>
              <w:ind w:left="180"/>
              <w:spacing w:after="0"/>
              <w:rPr>
                <w:sz w:val="20"/>
                <w:szCs w:val="20"/>
                <w:color w:val="auto"/>
              </w:rPr>
            </w:pPr>
            <w:r>
              <w:rPr>
                <w:rFonts w:ascii="Arial" w:cs="Arial" w:eastAsia="Arial" w:hAnsi="Arial"/>
                <w:sz w:val="18"/>
                <w:szCs w:val="18"/>
                <w:color w:val="auto"/>
              </w:rPr>
              <w:t>Building)</w:t>
            </w:r>
          </w:p>
        </w:tc>
        <w:tc>
          <w:tcPr>
            <w:tcW w:w="1840" w:type="dxa"/>
            <w:vAlign w:val="bottom"/>
          </w:tcPr>
          <w:p>
            <w:pPr>
              <w:ind w:left="1400"/>
              <w:spacing w:after="0"/>
              <w:rPr>
                <w:sz w:val="20"/>
                <w:szCs w:val="20"/>
                <w:color w:val="auto"/>
              </w:rPr>
            </w:pPr>
            <w:r>
              <w:rPr>
                <w:rFonts w:ascii="Arial" w:cs="Arial" w:eastAsia="Arial" w:hAnsi="Arial"/>
                <w:sz w:val="18"/>
                <w:szCs w:val="18"/>
                <w:color w:val="auto"/>
              </w:rPr>
              <w:t>X</w:t>
            </w:r>
          </w:p>
        </w:tc>
      </w:tr>
      <w:tr>
        <w:trPr>
          <w:trHeight w:val="215"/>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Tenant metering and sub-metering at Tenant connection</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Storm drainage system</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Sanitary waste and vent service</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Base building pH neutralization system</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Lab waste piping from pH neutralization system to tenant space</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Lab waste and vent pipe distribution within tenant space</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Hot water generation for core restrooms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Non-potable Hot water generation for Tenant use</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Air compressor system and pipe risers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Compressed air pipe distribution in Tenant Premises for specific points of use</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Lab vacuum system and pipe risers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Lab vacuum pipe distribution in Tenant Premises for specific points of use</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Tepid water generator and pipe risers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Tepid water pipe distribution in Tenant Premises</w:t>
            </w:r>
          </w:p>
        </w:tc>
        <w:tc>
          <w:tcPr>
            <w:tcW w:w="184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Manifolds, piping, and other requirements including cylinders, not specifically mentioned above</w:t>
            </w:r>
          </w:p>
        </w:tc>
        <w:tc>
          <w:tcPr>
            <w:tcW w:w="18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X</w:t>
            </w:r>
          </w:p>
        </w:tc>
      </w:tr>
      <w:tr>
        <w:trPr>
          <w:trHeight w:val="214"/>
        </w:trPr>
        <w:tc>
          <w:tcPr>
            <w:tcW w:w="9080" w:type="dxa"/>
            <w:vAlign w:val="bottom"/>
          </w:tcPr>
          <w:p>
            <w:pPr>
              <w:spacing w:after="0"/>
              <w:rPr>
                <w:sz w:val="20"/>
                <w:szCs w:val="20"/>
                <w:color w:val="auto"/>
              </w:rPr>
            </w:pPr>
            <w:r>
              <w:rPr>
                <w:rFonts w:ascii="Arial" w:cs="Arial" w:eastAsia="Arial" w:hAnsi="Arial"/>
                <w:sz w:val="18"/>
                <w:szCs w:val="18"/>
                <w:b w:val="1"/>
                <w:bCs w:val="1"/>
                <w:color w:val="auto"/>
              </w:rPr>
              <w:t>NATURAL GAS</w:t>
            </w:r>
          </w:p>
        </w:tc>
        <w:tc>
          <w:tcPr>
            <w:tcW w:w="1840" w:type="dxa"/>
            <w:vAlign w:val="bottom"/>
          </w:tcPr>
          <w:p>
            <w:pPr>
              <w:spacing w:after="0"/>
              <w:rPr>
                <w:sz w:val="18"/>
                <w:szCs w:val="18"/>
                <w:color w:val="auto"/>
              </w:rPr>
            </w:pPr>
          </w:p>
        </w:tc>
      </w:tr>
      <w:tr>
        <w:trPr>
          <w:trHeight w:val="214"/>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Natural gas service to Building and piping to Base Building boilers</w:t>
            </w:r>
          </w:p>
        </w:tc>
        <w:tc>
          <w:tcPr>
            <w:tcW w:w="1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w:t>
            </w:r>
          </w:p>
        </w:tc>
      </w:tr>
      <w:tr>
        <w:trPr>
          <w:trHeight w:val="360"/>
        </w:trPr>
        <w:tc>
          <w:tcPr>
            <w:tcW w:w="9080" w:type="dxa"/>
            <w:vAlign w:val="bottom"/>
          </w:tcPr>
          <w:p>
            <w:pPr>
              <w:ind w:left="5340"/>
              <w:spacing w:after="0"/>
              <w:rPr>
                <w:sz w:val="20"/>
                <w:szCs w:val="20"/>
                <w:color w:val="auto"/>
              </w:rPr>
            </w:pPr>
            <w:r>
              <w:rPr>
                <w:rFonts w:ascii="Arial" w:cs="Arial" w:eastAsia="Arial" w:hAnsi="Arial"/>
                <w:sz w:val="18"/>
                <w:szCs w:val="18"/>
                <w:color w:val="auto"/>
              </w:rPr>
              <w:t>C-9</w:t>
            </w:r>
          </w:p>
        </w:tc>
        <w:tc>
          <w:tcPr>
            <w:tcW w:w="1840" w:type="dxa"/>
            <w:vAlign w:val="bottom"/>
          </w:tcPr>
          <w:p>
            <w:pPr>
              <w:spacing w:after="0"/>
              <w:rPr>
                <w:sz w:val="24"/>
                <w:szCs w:val="24"/>
                <w:color w:val="auto"/>
              </w:rPr>
            </w:pPr>
          </w:p>
        </w:tc>
      </w:tr>
    </w:tbl>
    <w:p>
      <w:pPr>
        <w:sectPr>
          <w:pgSz w:w="11900" w:h="16838" w:orient="portrait"/>
          <w:cols w:equalWidth="0" w:num="1">
            <w:col w:w="10920"/>
          </w:cols>
          <w:pgMar w:left="480" w:top="287" w:right="499" w:bottom="1440" w:gutter="0" w:footer="0" w:header="0"/>
        </w:sectPr>
      </w:pPr>
    </w:p>
    <w:bookmarkStart w:id="654" w:name="page655"/>
    <w:bookmarkEnd w:id="6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Natural gas service, pressure regulator and meter for Tenant equipment</w:t>
            </w:r>
          </w:p>
        </w:tc>
        <w:tc>
          <w:tcPr>
            <w:tcW w:w="15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Natural gas piping from Tenant meter to Tenant Premises or Tenant equipment area.</w:t>
            </w:r>
          </w:p>
        </w:tc>
        <w:tc>
          <w:tcPr>
            <w:tcW w:w="1540" w:type="dxa"/>
            <w:vAlign w:val="bottom"/>
          </w:tcPr>
          <w:p>
            <w:pPr>
              <w:ind w:left="110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Natural gas pipe distribution within Tenant Premises</w:t>
            </w:r>
          </w:p>
        </w:tc>
        <w:tc>
          <w:tcPr>
            <w:tcW w:w="15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b w:val="1"/>
                <w:bCs w:val="1"/>
                <w:color w:val="auto"/>
              </w:rPr>
              <w:t>HEATING, VENTILATION, AIR CONDITIONING</w:t>
            </w:r>
          </w:p>
        </w:tc>
        <w:tc>
          <w:tcPr>
            <w:tcW w:w="1540" w:type="dxa"/>
            <w:vAlign w:val="bottom"/>
          </w:tcPr>
          <w:p>
            <w:pPr>
              <w:spacing w:after="0"/>
              <w:rPr>
                <w:sz w:val="18"/>
                <w:szCs w:val="18"/>
                <w:color w:val="auto"/>
              </w:rPr>
            </w:pP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HVAC chilled water stubbed within Tenant Premises</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Chilled water distribution within tenant space</w:t>
            </w:r>
          </w:p>
        </w:tc>
        <w:tc>
          <w:tcPr>
            <w:tcW w:w="1540" w:type="dxa"/>
            <w:vAlign w:val="bottom"/>
          </w:tcPr>
          <w:p>
            <w:pPr>
              <w:ind w:left="110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Building Management System (BMS) for core area and Landlord infrastructure</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BMS (compatible with Landlord’s system) within Tenant Premises and Tenant infrastructure</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HVAC Supply and exhaust consistent with non-lab tenant</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00"/>
        </w:trPr>
        <w:tc>
          <w:tcPr>
            <w:tcW w:w="9380" w:type="dxa"/>
            <w:vAlign w:val="bottom"/>
          </w:tcPr>
          <w:p>
            <w:pPr>
              <w:spacing w:after="0" w:line="200" w:lineRule="exact"/>
              <w:rPr>
                <w:sz w:val="20"/>
                <w:szCs w:val="20"/>
                <w:color w:val="auto"/>
              </w:rPr>
            </w:pPr>
            <w:r>
              <w:rPr>
                <w:rFonts w:ascii="Arial" w:cs="Arial" w:eastAsia="Arial" w:hAnsi="Arial"/>
                <w:sz w:val="18"/>
                <w:szCs w:val="18"/>
                <w:color w:val="auto"/>
                <w:w w:val="97"/>
              </w:rPr>
              <w:t>100% outside air AHU designed to supply approx. 1.5 CFM/USF of the Lab Premises (Lab/Office split of the Premises is</w:t>
            </w:r>
          </w:p>
        </w:tc>
        <w:tc>
          <w:tcPr>
            <w:tcW w:w="1540" w:type="dxa"/>
            <w:vAlign w:val="bottom"/>
          </w:tcPr>
          <w:p>
            <w:pPr>
              <w:spacing w:after="0"/>
              <w:rPr>
                <w:sz w:val="17"/>
                <w:szCs w:val="17"/>
                <w:color w:val="auto"/>
              </w:rPr>
            </w:pPr>
          </w:p>
        </w:tc>
      </w:tr>
      <w:tr>
        <w:trPr>
          <w:trHeight w:val="227"/>
        </w:trPr>
        <w:tc>
          <w:tcPr>
            <w:tcW w:w="9380" w:type="dxa"/>
            <w:vAlign w:val="bottom"/>
          </w:tcPr>
          <w:p>
            <w:pPr>
              <w:ind w:left="180"/>
              <w:spacing w:after="0"/>
              <w:rPr>
                <w:sz w:val="20"/>
                <w:szCs w:val="20"/>
                <w:color w:val="auto"/>
              </w:rPr>
            </w:pPr>
            <w:r>
              <w:rPr>
                <w:rFonts w:ascii="Arial" w:cs="Arial" w:eastAsia="Arial" w:hAnsi="Arial"/>
                <w:sz w:val="18"/>
                <w:szCs w:val="18"/>
                <w:color w:val="auto"/>
              </w:rPr>
              <w:t>anticipated to be 50/50)</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01"/>
        </w:trPr>
        <w:tc>
          <w:tcPr>
            <w:tcW w:w="9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Office portion of the Tenant Premises will be served by the existing chilled water system with piping to floor based on 1 ton/400</w:t>
            </w:r>
          </w:p>
        </w:tc>
        <w:tc>
          <w:tcPr>
            <w:tcW w:w="1540" w:type="dxa"/>
            <w:vAlign w:val="bottom"/>
            <w:shd w:val="clear" w:color="auto" w:fill="CCEEFF"/>
          </w:tcPr>
          <w:p>
            <w:pPr>
              <w:spacing w:after="0"/>
              <w:rPr>
                <w:sz w:val="17"/>
                <w:szCs w:val="17"/>
                <w:color w:val="auto"/>
              </w:rPr>
            </w:pPr>
          </w:p>
        </w:tc>
      </w:tr>
      <w:tr>
        <w:trPr>
          <w:trHeight w:val="228"/>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RSF of the Office area (based on Lab/Office split of 50/50).</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Lab supply air distribution and Office 4-pipe fan coil units and ductwork, and all associated piping.</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2"/>
              </w:rPr>
              <w:t>Central Lab Air Exhaust fans and energy recovery unit sections of the Air Handler unit. Sized at 1.5 cfmUSF for the Lab space.</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Lab exhaust risers from tenant space to lab exhaust fans</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Lab exhaust distribution ductwork, terminal units, grilles and controls from base building riser ductwork.</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00"/>
        </w:trPr>
        <w:tc>
          <w:tcPr>
            <w:tcW w:w="9380" w:type="dxa"/>
            <w:vAlign w:val="bottom"/>
          </w:tcPr>
          <w:p>
            <w:pPr>
              <w:spacing w:after="0" w:line="200" w:lineRule="exact"/>
              <w:rPr>
                <w:sz w:val="20"/>
                <w:szCs w:val="20"/>
                <w:color w:val="auto"/>
              </w:rPr>
            </w:pPr>
            <w:r>
              <w:rPr>
                <w:rFonts w:ascii="Arial" w:cs="Arial" w:eastAsia="Arial" w:hAnsi="Arial"/>
                <w:sz w:val="18"/>
                <w:szCs w:val="18"/>
                <w:color w:val="auto"/>
                <w:w w:val="93"/>
              </w:rPr>
              <w:t>HVAC hot water, at 150 degree supply water temperature, provided to the Premises for Tenant reheat and fan coil heating, at</w:t>
            </w:r>
          </w:p>
        </w:tc>
        <w:tc>
          <w:tcPr>
            <w:tcW w:w="1540" w:type="dxa"/>
            <w:vAlign w:val="bottom"/>
          </w:tcPr>
          <w:p>
            <w:pPr>
              <w:spacing w:after="0"/>
              <w:rPr>
                <w:sz w:val="17"/>
                <w:szCs w:val="17"/>
                <w:color w:val="auto"/>
              </w:rPr>
            </w:pPr>
          </w:p>
        </w:tc>
      </w:tr>
      <w:tr>
        <w:trPr>
          <w:trHeight w:val="227"/>
        </w:trPr>
        <w:tc>
          <w:tcPr>
            <w:tcW w:w="9380" w:type="dxa"/>
            <w:vAlign w:val="bottom"/>
          </w:tcPr>
          <w:p>
            <w:pPr>
              <w:ind w:left="180"/>
              <w:spacing w:after="0"/>
              <w:rPr>
                <w:sz w:val="20"/>
                <w:szCs w:val="20"/>
                <w:color w:val="auto"/>
              </w:rPr>
            </w:pPr>
            <w:r>
              <w:rPr>
                <w:rFonts w:ascii="Arial" w:cs="Arial" w:eastAsia="Arial" w:hAnsi="Arial"/>
                <w:sz w:val="18"/>
                <w:szCs w:val="18"/>
                <w:color w:val="auto"/>
              </w:rPr>
              <w:t>45BTU’s/RSF</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5"/>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Boiler capacity for hot water reheats at lab and office space</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Hot water reheat distribution to reheat coils at Tenant space</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Vertical supply air duct distribution</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00"/>
        </w:trPr>
        <w:tc>
          <w:tcPr>
            <w:tcW w:w="9380" w:type="dxa"/>
            <w:vAlign w:val="bottom"/>
          </w:tcPr>
          <w:p>
            <w:pPr>
              <w:spacing w:after="0" w:line="200" w:lineRule="exact"/>
              <w:rPr>
                <w:sz w:val="20"/>
                <w:szCs w:val="20"/>
                <w:color w:val="auto"/>
              </w:rPr>
            </w:pPr>
            <w:r>
              <w:rPr>
                <w:rFonts w:ascii="Arial" w:cs="Arial" w:eastAsia="Arial" w:hAnsi="Arial"/>
                <w:sz w:val="18"/>
                <w:szCs w:val="18"/>
                <w:color w:val="auto"/>
                <w:w w:val="96"/>
              </w:rPr>
              <w:t>Supply air duct distribution, VAV terminals, equipment connections, insulation, air terminals, dampers, hangers, etc. within</w:t>
            </w:r>
          </w:p>
        </w:tc>
        <w:tc>
          <w:tcPr>
            <w:tcW w:w="1540" w:type="dxa"/>
            <w:vAlign w:val="bottom"/>
          </w:tcPr>
          <w:p>
            <w:pPr>
              <w:spacing w:after="0"/>
              <w:rPr>
                <w:sz w:val="17"/>
                <w:szCs w:val="17"/>
                <w:color w:val="auto"/>
              </w:rPr>
            </w:pPr>
          </w:p>
        </w:tc>
      </w:tr>
      <w:tr>
        <w:trPr>
          <w:trHeight w:val="227"/>
        </w:trPr>
        <w:tc>
          <w:tcPr>
            <w:tcW w:w="9380" w:type="dxa"/>
            <w:vAlign w:val="bottom"/>
          </w:tcPr>
          <w:p>
            <w:pPr>
              <w:ind w:left="180"/>
              <w:spacing w:after="0"/>
              <w:rPr>
                <w:sz w:val="20"/>
                <w:szCs w:val="20"/>
                <w:color w:val="auto"/>
              </w:rPr>
            </w:pPr>
            <w:r>
              <w:rPr>
                <w:rFonts w:ascii="Arial" w:cs="Arial" w:eastAsia="Arial" w:hAnsi="Arial"/>
                <w:sz w:val="18"/>
                <w:szCs w:val="18"/>
                <w:color w:val="auto"/>
              </w:rPr>
              <w:t>Tenant Premises.</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01"/>
        </w:trPr>
        <w:tc>
          <w:tcPr>
            <w:tcW w:w="9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Supply air duct distribution, VAV terminals, equipment connections, insulation, air terminals, dampers, hangers, etc. within core</w:t>
            </w:r>
          </w:p>
        </w:tc>
        <w:tc>
          <w:tcPr>
            <w:tcW w:w="1540" w:type="dxa"/>
            <w:vAlign w:val="bottom"/>
            <w:shd w:val="clear" w:color="auto" w:fill="CCEEFF"/>
          </w:tcPr>
          <w:p>
            <w:pPr>
              <w:spacing w:after="0"/>
              <w:rPr>
                <w:sz w:val="17"/>
                <w:szCs w:val="17"/>
                <w:color w:val="auto"/>
              </w:rPr>
            </w:pPr>
          </w:p>
        </w:tc>
      </w:tr>
      <w:tr>
        <w:trPr>
          <w:trHeight w:val="228"/>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areas.</w:t>
            </w:r>
          </w:p>
        </w:tc>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Roof mounted laboratory exhaust fans for specialty exhaust systems.</w:t>
            </w:r>
          </w:p>
        </w:tc>
        <w:tc>
          <w:tcPr>
            <w:tcW w:w="1540" w:type="dxa"/>
            <w:vAlign w:val="bottom"/>
          </w:tcPr>
          <w:p>
            <w:pPr>
              <w:ind w:left="1100"/>
              <w:spacing w:after="0"/>
              <w:rPr>
                <w:sz w:val="20"/>
                <w:szCs w:val="20"/>
                <w:color w:val="auto"/>
              </w:rPr>
            </w:pPr>
            <w:r>
              <w:rPr>
                <w:rFonts w:ascii="Arial" w:cs="Arial" w:eastAsia="Arial" w:hAnsi="Arial"/>
                <w:sz w:val="18"/>
                <w:szCs w:val="18"/>
                <w:color w:val="auto"/>
              </w:rPr>
              <w:t>X</w:t>
            </w:r>
          </w:p>
        </w:tc>
      </w:tr>
      <w:tr>
        <w:trPr>
          <w:trHeight w:val="214"/>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Vertical exhaust air duct risers for dedicated fume hood or specialty exhaust systems</w:t>
            </w:r>
          </w:p>
        </w:tc>
        <w:tc>
          <w:tcPr>
            <w:tcW w:w="15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X</w:t>
            </w:r>
          </w:p>
        </w:tc>
      </w:tr>
      <w:tr>
        <w:trPr>
          <w:trHeight w:val="200"/>
        </w:trPr>
        <w:tc>
          <w:tcPr>
            <w:tcW w:w="9380" w:type="dxa"/>
            <w:vAlign w:val="bottom"/>
          </w:tcPr>
          <w:p>
            <w:pPr>
              <w:spacing w:after="0" w:line="200" w:lineRule="exact"/>
              <w:rPr>
                <w:sz w:val="20"/>
                <w:szCs w:val="20"/>
                <w:color w:val="auto"/>
              </w:rPr>
            </w:pPr>
            <w:r>
              <w:rPr>
                <w:rFonts w:ascii="Arial" w:cs="Arial" w:eastAsia="Arial" w:hAnsi="Arial"/>
                <w:sz w:val="18"/>
                <w:szCs w:val="18"/>
                <w:color w:val="auto"/>
                <w:w w:val="92"/>
              </w:rPr>
              <w:t>Exhaust air duct distribution, exhaust air valves, equipment connections, insulation, air terminals, dampers, hangers, etc. within</w:t>
            </w:r>
          </w:p>
        </w:tc>
        <w:tc>
          <w:tcPr>
            <w:tcW w:w="1540" w:type="dxa"/>
            <w:vAlign w:val="bottom"/>
          </w:tcPr>
          <w:p>
            <w:pPr>
              <w:spacing w:after="0"/>
              <w:rPr>
                <w:sz w:val="17"/>
                <w:szCs w:val="17"/>
                <w:color w:val="auto"/>
              </w:rPr>
            </w:pPr>
          </w:p>
        </w:tc>
      </w:tr>
      <w:tr>
        <w:trPr>
          <w:trHeight w:val="227"/>
        </w:trPr>
        <w:tc>
          <w:tcPr>
            <w:tcW w:w="9380" w:type="dxa"/>
            <w:vAlign w:val="bottom"/>
          </w:tcPr>
          <w:p>
            <w:pPr>
              <w:ind w:left="180"/>
              <w:spacing w:after="0"/>
              <w:rPr>
                <w:sz w:val="20"/>
                <w:szCs w:val="20"/>
                <w:color w:val="auto"/>
              </w:rPr>
            </w:pPr>
            <w:r>
              <w:rPr>
                <w:rFonts w:ascii="Arial" w:cs="Arial" w:eastAsia="Arial" w:hAnsi="Arial"/>
                <w:sz w:val="18"/>
                <w:szCs w:val="18"/>
                <w:color w:val="auto"/>
              </w:rPr>
              <w:t>Tenant Premises.</w:t>
            </w:r>
          </w:p>
        </w:tc>
        <w:tc>
          <w:tcPr>
            <w:tcW w:w="154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361"/>
        </w:trPr>
        <w:tc>
          <w:tcPr>
            <w:tcW w:w="9380" w:type="dxa"/>
            <w:vAlign w:val="bottom"/>
          </w:tcPr>
          <w:p>
            <w:pPr>
              <w:ind w:left="5280"/>
              <w:spacing w:after="0"/>
              <w:rPr>
                <w:sz w:val="20"/>
                <w:szCs w:val="20"/>
                <w:color w:val="auto"/>
              </w:rPr>
            </w:pPr>
            <w:r>
              <w:rPr>
                <w:rFonts w:ascii="Arial" w:cs="Arial" w:eastAsia="Arial" w:hAnsi="Arial"/>
                <w:sz w:val="18"/>
                <w:szCs w:val="18"/>
                <w:color w:val="auto"/>
              </w:rPr>
              <w:t>C-10</w:t>
            </w:r>
          </w:p>
        </w:tc>
        <w:tc>
          <w:tcPr>
            <w:tcW w:w="1540" w:type="dxa"/>
            <w:vAlign w:val="bottom"/>
          </w:tcPr>
          <w:p>
            <w:pPr>
              <w:spacing w:after="0"/>
              <w:rPr>
                <w:sz w:val="24"/>
                <w:szCs w:val="24"/>
                <w:color w:val="auto"/>
              </w:rPr>
            </w:pPr>
          </w:p>
        </w:tc>
      </w:tr>
    </w:tbl>
    <w:p>
      <w:pPr>
        <w:sectPr>
          <w:pgSz w:w="11900" w:h="16838" w:orient="portrait"/>
          <w:cols w:equalWidth="0" w:num="1">
            <w:col w:w="10920"/>
          </w:cols>
          <w:pgMar w:left="480" w:top="286" w:right="499" w:bottom="1440" w:gutter="0" w:footer="0" w:header="0"/>
        </w:sectPr>
      </w:pPr>
    </w:p>
    <w:bookmarkStart w:id="655" w:name="page656"/>
    <w:bookmarkEnd w:id="6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General Exhaust for Tenant High Hazard Rooms</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Restroom exhaust for core area restrooms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Restroom exhaust for restrooms within Tenant Premises</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Electric room ventilation system for Base Building electrical closets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Electric room ventilation system for electrical closets within Tenant premises</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Additional/ dedicated cooling for Tenant requirements.</w:t>
            </w:r>
          </w:p>
        </w:tc>
        <w:tc>
          <w:tcPr>
            <w:tcW w:w="1620" w:type="dxa"/>
            <w:vAlign w:val="bottom"/>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ELECTRICAL</w:t>
            </w:r>
          </w:p>
        </w:tc>
        <w:tc>
          <w:tcPr>
            <w:tcW w:w="1620" w:type="dxa"/>
            <w:vAlign w:val="bottom"/>
            <w:shd w:val="clear" w:color="auto" w:fill="CCEEFF"/>
          </w:tcPr>
          <w:p>
            <w:pPr>
              <w:spacing w:after="0"/>
              <w:rPr>
                <w:sz w:val="18"/>
                <w:szCs w:val="18"/>
                <w:color w:val="auto"/>
              </w:rPr>
            </w:pP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Electrical utility service to switchgear in main electrical vault</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00"/>
        </w:trPr>
        <w:tc>
          <w:tcPr>
            <w:tcW w:w="9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6 W/USF for the 50% of the Premises assumed to accommodate office and 12 WUSF for the 50% of the Premises assumed to</w:t>
            </w:r>
          </w:p>
        </w:tc>
        <w:tc>
          <w:tcPr>
            <w:tcW w:w="1620" w:type="dxa"/>
            <w:vAlign w:val="bottom"/>
            <w:shd w:val="clear" w:color="auto" w:fill="CCEEFF"/>
          </w:tcPr>
          <w:p>
            <w:pPr>
              <w:spacing w:after="0"/>
              <w:rPr>
                <w:sz w:val="17"/>
                <w:szCs w:val="17"/>
                <w:color w:val="auto"/>
              </w:rPr>
            </w:pPr>
          </w:p>
        </w:tc>
      </w:tr>
      <w:tr>
        <w:trPr>
          <w:trHeight w:val="228"/>
        </w:trPr>
        <w:tc>
          <w:tcPr>
            <w:tcW w:w="9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accommodate Lab.</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Distribution of Standby Power from the LL Provided EP Panel to Tenant Premises.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Automatic transfer switch and control wiring for standby generator start circuit for Tenant.</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Optional standby power Generator and transfer switch with sound attenuation</w:t>
            </w:r>
          </w:p>
        </w:tc>
        <w:tc>
          <w:tcPr>
            <w:tcW w:w="1620" w:type="dxa"/>
            <w:vAlign w:val="bottom"/>
          </w:tcPr>
          <w:p>
            <w:pPr>
              <w:ind w:left="1180"/>
              <w:spacing w:after="0"/>
              <w:rPr>
                <w:sz w:val="20"/>
                <w:szCs w:val="20"/>
                <w:color w:val="auto"/>
              </w:rPr>
            </w:pPr>
            <w:r>
              <w:rPr>
                <w:rFonts w:ascii="Arial" w:cs="Arial" w:eastAsia="Arial" w:hAnsi="Arial"/>
                <w:sz w:val="18"/>
                <w:szCs w:val="18"/>
                <w:color w:val="auto"/>
              </w:rPr>
              <w:t>X</w:t>
            </w:r>
          </w:p>
        </w:tc>
      </w:tr>
      <w:tr>
        <w:trPr>
          <w:trHeight w:val="200"/>
        </w:trPr>
        <w:tc>
          <w:tcPr>
            <w:tcW w:w="9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5"/>
              </w:rPr>
              <w:t>Standby Generator for Tenant Use with an allocation of 5 watts/USF of the lab portion of the Premises. Landlord to provide</w:t>
            </w:r>
          </w:p>
        </w:tc>
        <w:tc>
          <w:tcPr>
            <w:tcW w:w="1620" w:type="dxa"/>
            <w:vAlign w:val="bottom"/>
            <w:shd w:val="clear" w:color="auto" w:fill="CCEEFF"/>
          </w:tcPr>
          <w:p>
            <w:pPr>
              <w:spacing w:after="0"/>
              <w:rPr>
                <w:sz w:val="17"/>
                <w:szCs w:val="17"/>
                <w:color w:val="auto"/>
              </w:rPr>
            </w:pPr>
          </w:p>
        </w:tc>
      </w:tr>
      <w:tr>
        <w:trPr>
          <w:trHeight w:val="228"/>
        </w:trPr>
        <w:tc>
          <w:tcPr>
            <w:tcW w:w="9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Emergency Panel at a designated area for Tenant to connect to and deliver the Premises.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Standby power distribution within Tenant Premises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Lighting and power distribution for core areas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Lighting and power distribution for Tenant Premises</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Check Meter for Tenant power</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Common area life safety emergency lighting/signage</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Tenant Premises life safety emergency lighting/signage</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Tenant panels, transformers, etc. in addition to Base Building</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Tenant UPS system, battery backup, and associated equipment/distribution</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b w:val="1"/>
                <w:bCs w:val="1"/>
                <w:color w:val="auto"/>
              </w:rPr>
              <w:t>FIRE ALARM</w:t>
            </w:r>
          </w:p>
        </w:tc>
        <w:tc>
          <w:tcPr>
            <w:tcW w:w="1620" w:type="dxa"/>
            <w:vAlign w:val="bottom"/>
          </w:tcPr>
          <w:p>
            <w:pPr>
              <w:spacing w:after="0"/>
              <w:rPr>
                <w:sz w:val="18"/>
                <w:szCs w:val="18"/>
                <w:color w:val="auto"/>
              </w:rPr>
            </w:pP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Base Building addressable fire alarm system with devices in core areas</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color w:val="auto"/>
              </w:rPr>
              <w:t>Fire alarm sub panels and devices for Tenant Premises with integration into Base Building system</w:t>
            </w:r>
          </w:p>
        </w:tc>
        <w:tc>
          <w:tcPr>
            <w:tcW w:w="162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Alteration to fire alarm system to facilitate Tenant program</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214"/>
        </w:trPr>
        <w:tc>
          <w:tcPr>
            <w:tcW w:w="9300" w:type="dxa"/>
            <w:vAlign w:val="bottom"/>
          </w:tcPr>
          <w:p>
            <w:pPr>
              <w:spacing w:after="0"/>
              <w:rPr>
                <w:sz w:val="20"/>
                <w:szCs w:val="20"/>
                <w:color w:val="auto"/>
              </w:rPr>
            </w:pPr>
            <w:r>
              <w:rPr>
                <w:rFonts w:ascii="Arial" w:cs="Arial" w:eastAsia="Arial" w:hAnsi="Arial"/>
                <w:sz w:val="18"/>
                <w:szCs w:val="18"/>
                <w:b w:val="1"/>
                <w:bCs w:val="1"/>
                <w:color w:val="auto"/>
              </w:rPr>
              <w:t>TELEPHONE/DATA</w:t>
            </w:r>
          </w:p>
        </w:tc>
        <w:tc>
          <w:tcPr>
            <w:tcW w:w="1620" w:type="dxa"/>
            <w:vAlign w:val="bottom"/>
          </w:tcPr>
          <w:p>
            <w:pPr>
              <w:spacing w:after="0"/>
              <w:rPr>
                <w:sz w:val="18"/>
                <w:szCs w:val="18"/>
                <w:color w:val="auto"/>
              </w:rPr>
            </w:pPr>
          </w:p>
        </w:tc>
      </w:tr>
      <w:tr>
        <w:trPr>
          <w:trHeight w:val="214"/>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Underground local exchange carrier service to primary demarcation room in basement</w:t>
            </w:r>
          </w:p>
        </w:tc>
        <w:tc>
          <w:tcPr>
            <w:tcW w:w="1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w:t>
            </w:r>
          </w:p>
        </w:tc>
      </w:tr>
      <w:tr>
        <w:trPr>
          <w:trHeight w:val="360"/>
        </w:trPr>
        <w:tc>
          <w:tcPr>
            <w:tcW w:w="9300" w:type="dxa"/>
            <w:vAlign w:val="bottom"/>
          </w:tcPr>
          <w:p>
            <w:pPr>
              <w:ind w:left="5280"/>
              <w:spacing w:after="0"/>
              <w:rPr>
                <w:sz w:val="20"/>
                <w:szCs w:val="20"/>
                <w:color w:val="auto"/>
              </w:rPr>
            </w:pPr>
            <w:r>
              <w:rPr>
                <w:rFonts w:ascii="Arial" w:cs="Arial" w:eastAsia="Arial" w:hAnsi="Arial"/>
                <w:sz w:val="18"/>
                <w:szCs w:val="18"/>
                <w:color w:val="auto"/>
              </w:rPr>
              <w:t>C-11</w:t>
            </w:r>
          </w:p>
        </w:tc>
        <w:tc>
          <w:tcPr>
            <w:tcW w:w="1620" w:type="dxa"/>
            <w:vAlign w:val="bottom"/>
          </w:tcPr>
          <w:p>
            <w:pPr>
              <w:spacing w:after="0"/>
              <w:rPr>
                <w:sz w:val="24"/>
                <w:szCs w:val="24"/>
                <w:color w:val="auto"/>
              </w:rPr>
            </w:pPr>
          </w:p>
        </w:tc>
      </w:tr>
    </w:tbl>
    <w:p>
      <w:pPr>
        <w:sectPr>
          <w:pgSz w:w="11900" w:h="16838" w:orient="portrait"/>
          <w:cols w:equalWidth="0" w:num="1">
            <w:col w:w="10920"/>
          </w:cols>
          <w:pgMar w:left="480" w:top="287" w:right="499" w:bottom="1440" w:gutter="0" w:footer="0" w:header="0"/>
        </w:sectPr>
      </w:pPr>
    </w:p>
    <w:bookmarkStart w:id="656" w:name="page657"/>
    <w:bookmarkEnd w:id="6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Tel Data Riser Conduit from demark to each floor</w:t>
            </w:r>
          </w:p>
        </w:tc>
        <w:tc>
          <w:tcPr>
            <w:tcW w:w="1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r>
      <w:tr>
        <w:trPr>
          <w:trHeight w:val="200"/>
        </w:trPr>
        <w:tc>
          <w:tcPr>
            <w:tcW w:w="9320" w:type="dxa"/>
            <w:vAlign w:val="bottom"/>
          </w:tcPr>
          <w:p>
            <w:pPr>
              <w:spacing w:after="0" w:line="200" w:lineRule="exact"/>
              <w:rPr>
                <w:sz w:val="20"/>
                <w:szCs w:val="20"/>
                <w:color w:val="auto"/>
              </w:rPr>
            </w:pPr>
            <w:r>
              <w:rPr>
                <w:rFonts w:ascii="Arial" w:cs="Arial" w:eastAsia="Arial" w:hAnsi="Arial"/>
                <w:sz w:val="18"/>
                <w:szCs w:val="18"/>
                <w:color w:val="auto"/>
                <w:w w:val="92"/>
              </w:rPr>
              <w:t>Tenant tel/data rooms - Landlord to construct tel/data room and provide a conduit stubbed to such room; however, Tenant shall</w:t>
            </w:r>
          </w:p>
        </w:tc>
        <w:tc>
          <w:tcPr>
            <w:tcW w:w="1600" w:type="dxa"/>
            <w:vAlign w:val="bottom"/>
          </w:tcPr>
          <w:p>
            <w:pPr>
              <w:spacing w:after="0"/>
              <w:rPr>
                <w:sz w:val="17"/>
                <w:szCs w:val="17"/>
                <w:color w:val="auto"/>
              </w:rPr>
            </w:pPr>
          </w:p>
        </w:tc>
      </w:tr>
      <w:tr>
        <w:trPr>
          <w:trHeight w:val="227"/>
        </w:trPr>
        <w:tc>
          <w:tcPr>
            <w:tcW w:w="9320" w:type="dxa"/>
            <w:vAlign w:val="bottom"/>
          </w:tcPr>
          <w:p>
            <w:pPr>
              <w:ind w:left="180"/>
              <w:spacing w:after="0"/>
              <w:rPr>
                <w:sz w:val="20"/>
                <w:szCs w:val="20"/>
                <w:color w:val="auto"/>
              </w:rPr>
            </w:pPr>
            <w:r>
              <w:rPr>
                <w:rFonts w:ascii="Arial" w:cs="Arial" w:eastAsia="Arial" w:hAnsi="Arial"/>
                <w:sz w:val="18"/>
                <w:szCs w:val="18"/>
                <w:color w:val="auto"/>
              </w:rPr>
              <w:t>be responsible for tel/data connection from the demarcation point.</w:t>
            </w:r>
          </w:p>
        </w:tc>
        <w:tc>
          <w:tcPr>
            <w:tcW w:w="160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15"/>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Pathways from demarcation room directly into Tenant tel/data rooms</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X</w:t>
            </w:r>
          </w:p>
        </w:tc>
      </w:tr>
      <w:tr>
        <w:trPr>
          <w:trHeight w:val="214"/>
        </w:trPr>
        <w:tc>
          <w:tcPr>
            <w:tcW w:w="9320" w:type="dxa"/>
            <w:vAlign w:val="bottom"/>
          </w:tcPr>
          <w:p>
            <w:pPr>
              <w:spacing w:after="0"/>
              <w:rPr>
                <w:sz w:val="20"/>
                <w:szCs w:val="20"/>
                <w:color w:val="auto"/>
              </w:rPr>
            </w:pPr>
            <w:r>
              <w:rPr>
                <w:rFonts w:ascii="Arial" w:cs="Arial" w:eastAsia="Arial" w:hAnsi="Arial"/>
                <w:sz w:val="18"/>
                <w:szCs w:val="18"/>
                <w:color w:val="auto"/>
              </w:rPr>
              <w:t>Tel/Data cabling from demarcation room Tenant tel/data room.</w:t>
            </w:r>
          </w:p>
        </w:tc>
        <w:tc>
          <w:tcPr>
            <w:tcW w:w="160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14"/>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Fiber optic service for Tenant use</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X</w:t>
            </w:r>
          </w:p>
        </w:tc>
      </w:tr>
      <w:tr>
        <w:trPr>
          <w:trHeight w:val="200"/>
        </w:trPr>
        <w:tc>
          <w:tcPr>
            <w:tcW w:w="9320" w:type="dxa"/>
            <w:vAlign w:val="bottom"/>
          </w:tcPr>
          <w:p>
            <w:pPr>
              <w:spacing w:after="0" w:line="200" w:lineRule="exact"/>
              <w:rPr>
                <w:sz w:val="20"/>
                <w:szCs w:val="20"/>
                <w:color w:val="auto"/>
              </w:rPr>
            </w:pPr>
            <w:r>
              <w:rPr>
                <w:rFonts w:ascii="Arial" w:cs="Arial" w:eastAsia="Arial" w:hAnsi="Arial"/>
                <w:sz w:val="18"/>
                <w:szCs w:val="18"/>
                <w:color w:val="auto"/>
                <w:w w:val="99"/>
              </w:rPr>
              <w:t>Tel/data infrastructure including but not limited to servers, computers, phone systems, switches, routers, MUX panels,</w:t>
            </w:r>
          </w:p>
        </w:tc>
        <w:tc>
          <w:tcPr>
            <w:tcW w:w="1600" w:type="dxa"/>
            <w:vAlign w:val="bottom"/>
          </w:tcPr>
          <w:p>
            <w:pPr>
              <w:spacing w:after="0"/>
              <w:rPr>
                <w:sz w:val="17"/>
                <w:szCs w:val="17"/>
                <w:color w:val="auto"/>
              </w:rPr>
            </w:pPr>
          </w:p>
        </w:tc>
      </w:tr>
      <w:tr>
        <w:trPr>
          <w:trHeight w:val="227"/>
        </w:trPr>
        <w:tc>
          <w:tcPr>
            <w:tcW w:w="9320" w:type="dxa"/>
            <w:vAlign w:val="bottom"/>
          </w:tcPr>
          <w:p>
            <w:pPr>
              <w:ind w:left="180"/>
              <w:spacing w:after="0"/>
              <w:rPr>
                <w:sz w:val="20"/>
                <w:szCs w:val="20"/>
                <w:color w:val="auto"/>
              </w:rPr>
            </w:pPr>
            <w:r>
              <w:rPr>
                <w:rFonts w:ascii="Arial" w:cs="Arial" w:eastAsia="Arial" w:hAnsi="Arial"/>
                <w:sz w:val="18"/>
                <w:szCs w:val="18"/>
                <w:color w:val="auto"/>
              </w:rPr>
              <w:t>equipment racks, ladder racks, etc.</w:t>
            </w:r>
          </w:p>
        </w:tc>
        <w:tc>
          <w:tcPr>
            <w:tcW w:w="160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15"/>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Provisioning of circuits and service from service providers</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X</w:t>
            </w:r>
          </w:p>
        </w:tc>
      </w:tr>
      <w:tr>
        <w:trPr>
          <w:trHeight w:val="214"/>
        </w:trPr>
        <w:tc>
          <w:tcPr>
            <w:tcW w:w="9320" w:type="dxa"/>
            <w:vAlign w:val="bottom"/>
          </w:tcPr>
          <w:p>
            <w:pPr>
              <w:spacing w:after="0"/>
              <w:rPr>
                <w:sz w:val="20"/>
                <w:szCs w:val="20"/>
                <w:color w:val="auto"/>
              </w:rPr>
            </w:pPr>
            <w:r>
              <w:rPr>
                <w:rFonts w:ascii="Arial" w:cs="Arial" w:eastAsia="Arial" w:hAnsi="Arial"/>
                <w:sz w:val="18"/>
                <w:szCs w:val="18"/>
                <w:color w:val="auto"/>
              </w:rPr>
              <w:t>Audio visual systems and support</w:t>
            </w:r>
          </w:p>
        </w:tc>
        <w:tc>
          <w:tcPr>
            <w:tcW w:w="160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14"/>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Station cabling from Tenant tel/data room to all Tenant locations, within the suite and exterior to the suite, if needed</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X</w:t>
            </w:r>
          </w:p>
        </w:tc>
      </w:tr>
      <w:tr>
        <w:trPr>
          <w:trHeight w:val="214"/>
        </w:trPr>
        <w:tc>
          <w:tcPr>
            <w:tcW w:w="932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1600" w:type="dxa"/>
            <w:vAlign w:val="bottom"/>
          </w:tcPr>
          <w:p>
            <w:pPr>
              <w:spacing w:after="0"/>
              <w:rPr>
                <w:sz w:val="18"/>
                <w:szCs w:val="18"/>
                <w:color w:val="auto"/>
              </w:rPr>
            </w:pPr>
          </w:p>
        </w:tc>
      </w:tr>
      <w:tr>
        <w:trPr>
          <w:trHeight w:val="214"/>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Card access at Building entries</w:t>
            </w:r>
          </w:p>
        </w:tc>
        <w:tc>
          <w:tcPr>
            <w:tcW w:w="1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r>
      <w:tr>
        <w:trPr>
          <w:trHeight w:val="227"/>
        </w:trPr>
        <w:tc>
          <w:tcPr>
            <w:tcW w:w="9320" w:type="dxa"/>
            <w:vAlign w:val="bottom"/>
          </w:tcPr>
          <w:p>
            <w:pPr>
              <w:spacing w:after="0"/>
              <w:rPr>
                <w:sz w:val="20"/>
                <w:szCs w:val="20"/>
                <w:color w:val="auto"/>
              </w:rPr>
            </w:pPr>
            <w:r>
              <w:rPr>
                <w:rFonts w:ascii="Arial" w:cs="Arial" w:eastAsia="Arial" w:hAnsi="Arial"/>
                <w:sz w:val="18"/>
                <w:szCs w:val="18"/>
                <w:color w:val="auto"/>
              </w:rPr>
              <w:t>Card access into or within Tenant Premises</w:t>
            </w:r>
          </w:p>
        </w:tc>
        <w:tc>
          <w:tcPr>
            <w:tcW w:w="160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347"/>
        </w:trPr>
        <w:tc>
          <w:tcPr>
            <w:tcW w:w="9320" w:type="dxa"/>
            <w:vAlign w:val="bottom"/>
          </w:tcPr>
          <w:p>
            <w:pPr>
              <w:ind w:left="5280"/>
              <w:spacing w:after="0"/>
              <w:rPr>
                <w:sz w:val="20"/>
                <w:szCs w:val="20"/>
                <w:color w:val="auto"/>
              </w:rPr>
            </w:pPr>
            <w:r>
              <w:rPr>
                <w:rFonts w:ascii="Arial" w:cs="Arial" w:eastAsia="Arial" w:hAnsi="Arial"/>
                <w:sz w:val="18"/>
                <w:szCs w:val="18"/>
                <w:color w:val="auto"/>
              </w:rPr>
              <w:t>C-12</w:t>
            </w:r>
          </w:p>
        </w:tc>
        <w:tc>
          <w:tcPr>
            <w:tcW w:w="1600" w:type="dxa"/>
            <w:vAlign w:val="bottom"/>
          </w:tcPr>
          <w:p>
            <w:pPr>
              <w:spacing w:after="0"/>
              <w:rPr>
                <w:sz w:val="24"/>
                <w:szCs w:val="24"/>
                <w:color w:val="auto"/>
              </w:rPr>
            </w:pPr>
          </w:p>
        </w:tc>
      </w:tr>
    </w:tbl>
    <w:p>
      <w:pPr>
        <w:sectPr>
          <w:pgSz w:w="11900" w:h="16838" w:orient="portrait"/>
          <w:cols w:equalWidth="0" w:num="1">
            <w:col w:w="10920"/>
          </w:cols>
          <w:pgMar w:left="480" w:top="287" w:right="499" w:bottom="1440" w:gutter="0" w:footer="0" w:header="0"/>
        </w:sectPr>
      </w:pPr>
    </w:p>
    <w:bookmarkStart w:id="657" w:name="page658"/>
    <w:bookmarkEnd w:id="65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C-2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Milestone Schedule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9019"/>
          </w:cols>
          <w:pgMar w:left="1440" w:top="272" w:right="1440" w:bottom="1440" w:gutter="0" w:footer="0" w:header="0"/>
        </w:sectPr>
      </w:pPr>
    </w:p>
    <w:bookmarkStart w:id="658" w:name="page659"/>
    <w:bookmarkEnd w:id="6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757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6135" cy="722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C-14</w:t>
      </w:r>
    </w:p>
    <w:p>
      <w:pPr>
        <w:sectPr>
          <w:pgSz w:w="11900" w:h="16838" w:orient="portrait"/>
          <w:cols w:equalWidth="0" w:num="1">
            <w:col w:w="9019"/>
          </w:cols>
          <w:pgMar w:left="1440" w:top="1440" w:right="1440" w:bottom="1440" w:gutter="0" w:footer="0" w:header="0"/>
        </w:sectPr>
      </w:pPr>
    </w:p>
    <w:bookmarkStart w:id="659" w:name="page660"/>
    <w:bookmarkEnd w:id="6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63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6135" cy="722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C-15</w:t>
      </w:r>
    </w:p>
    <w:p>
      <w:pPr>
        <w:sectPr>
          <w:pgSz w:w="11900" w:h="16838" w:orient="portrait"/>
          <w:cols w:equalWidth="0" w:num="1">
            <w:col w:w="9019"/>
          </w:cols>
          <w:pgMar w:left="1440" w:top="1440" w:right="1440" w:bottom="1440" w:gutter="0" w:footer="0" w:header="0"/>
        </w:sectPr>
      </w:pPr>
    </w:p>
    <w:bookmarkStart w:id="660" w:name="page661"/>
    <w:bookmarkEnd w:id="6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757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6135" cy="722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C-16</w:t>
      </w:r>
    </w:p>
    <w:p>
      <w:pPr>
        <w:sectPr>
          <w:pgSz w:w="11900" w:h="16838" w:orient="portrait"/>
          <w:cols w:equalWidth="0" w:num="1">
            <w:col w:w="9019"/>
          </w:cols>
          <w:pgMar w:left="1440" w:top="1440" w:right="1440" w:bottom="1440" w:gutter="0" w:footer="0" w:header="0"/>
        </w:sectPr>
      </w:pPr>
    </w:p>
    <w:bookmarkStart w:id="661" w:name="page662"/>
    <w:bookmarkEnd w:id="6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C-3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Spec Plan for Initial Tenant Work</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9019"/>
          </w:cols>
          <w:pgMar w:left="1440" w:top="272" w:right="1440" w:bottom="1440" w:gutter="0" w:footer="0" w:header="0"/>
        </w:sectPr>
      </w:pPr>
    </w:p>
    <w:bookmarkStart w:id="662" w:name="page663"/>
    <w:bookmarkEnd w:id="6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757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6135" cy="722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C-18</w:t>
      </w:r>
    </w:p>
    <w:p>
      <w:pPr>
        <w:sectPr>
          <w:pgSz w:w="11900" w:h="16838" w:orient="portrait"/>
          <w:cols w:equalWidth="0" w:num="1">
            <w:col w:w="9019"/>
          </w:cols>
          <w:pgMar w:left="1440" w:top="1440" w:right="1440" w:bottom="1440" w:gutter="0" w:footer="0" w:header="0"/>
        </w:sectPr>
      </w:pPr>
    </w:p>
    <w:bookmarkStart w:id="663" w:name="page664"/>
    <w:bookmarkEnd w:id="66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D</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COMMENCEMENT LETTER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(EXAMPLE)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13335</wp:posOffset>
            </wp:positionV>
            <wp:extent cx="193611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13335</wp:posOffset>
            </wp:positionV>
            <wp:extent cx="193611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13335</wp:posOffset>
            </wp:positionV>
            <wp:extent cx="193611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9361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166370</wp:posOffset>
            </wp:positionV>
            <wp:extent cx="193611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9361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319405</wp:posOffset>
            </wp:positionV>
            <wp:extent cx="193611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Commencement Letter with respect to that certain Lease Agreement dated as of ________, 2020, by and between OPG MP PARCEL OWNER</w:t>
      </w:r>
    </w:p>
    <w:p>
      <w:pPr>
        <w:spacing w:after="0" w:line="20"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color w:val="auto"/>
        </w:rPr>
        <w:t>(DE) LLC, a Delaware limited liability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as Landlord, and MONTE ROSA THERAPEUTICS, INC., a Delaware corporation, as Tenant, for 16,748 rentable square feet on the 1</w:t>
      </w:r>
      <w:r>
        <w:rPr>
          <w:rFonts w:ascii="Arial" w:cs="Arial" w:eastAsia="Arial" w:hAnsi="Arial"/>
          <w:sz w:val="15"/>
          <w:szCs w:val="15"/>
          <w:color w:val="auto"/>
        </w:rPr>
        <w:t>ST</w:t>
      </w:r>
      <w:r>
        <w:rPr>
          <w:rFonts w:ascii="Arial" w:cs="Arial" w:eastAsia="Arial" w:hAnsi="Arial"/>
          <w:sz w:val="18"/>
          <w:szCs w:val="18"/>
          <w:color w:val="auto"/>
        </w:rPr>
        <w:t xml:space="preserve"> floor of the Building located at 645 Summer Street, Boston, MA 02210.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-11430</wp:posOffset>
            </wp:positionV>
            <wp:extent cx="90551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Business Unit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-19685</wp:posOffset>
            </wp:positionV>
            <wp:extent cx="79248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188"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-11430</wp:posOffset>
            </wp:positionV>
            <wp:extent cx="116014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accordance with the terms and conditions of the above referenced Lease, Tenant accepts possession of the Premises and acknowledges:</w:t>
      </w:r>
    </w:p>
    <w:p>
      <w:pPr>
        <w:spacing w:after="0" w:line="137" w:lineRule="exact"/>
        <w:rPr>
          <w:sz w:val="20"/>
          <w:szCs w:val="20"/>
          <w:color w:val="auto"/>
        </w:rPr>
      </w:pPr>
    </w:p>
    <w:p>
      <w:pPr>
        <w:ind w:firstLine="444"/>
        <w:spacing w:after="0" w:line="271" w:lineRule="auto"/>
        <w:tabs>
          <w:tab w:leader="none" w:pos="61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Term Commencement Date of the Lease is __________________. The Rent Commencement Date of the Lease is __________________. The Substantial Completion Date is __________________</w:t>
      </w:r>
    </w:p>
    <w:p>
      <w:pPr>
        <w:spacing w:after="0" w:line="67" w:lineRule="exact"/>
        <w:rPr>
          <w:rFonts w:ascii="Arial" w:cs="Arial" w:eastAsia="Arial" w:hAnsi="Arial"/>
          <w:sz w:val="18"/>
          <w:szCs w:val="18"/>
          <w:color w:val="auto"/>
        </w:rPr>
      </w:pPr>
    </w:p>
    <w:p>
      <w:pPr>
        <w:ind w:left="620" w:hanging="176"/>
        <w:spacing w:after="0"/>
        <w:tabs>
          <w:tab w:leader="none" w:pos="62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Term Expiration Date of the Lease is __________________.</w:t>
      </w:r>
    </w:p>
    <w:p>
      <w:pPr>
        <w:spacing w:after="0" w:line="221"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Please acknowledge the foregoing and your acceptance of possession by signing all 3 counterparts of this Commencement Letter in the space provided and returning two (2) fully executed counterparts to my attention. Tenant’s failure to execute and return this letter, or to provide written objection to the statements contained in this letter, within thirty (30) days after the date of this letter shall be deemed an approval by Tenant of the statements contained 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Landlord: OPG MP PARCEL OWNER (DE)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760"/>
          </w:cols>
          <w:pgMar w:left="480" w:top="268" w:right="659" w:bottom="1440" w:gutter="0" w:footer="0" w:header="0"/>
        </w:sectPr>
      </w:pPr>
    </w:p>
    <w:bookmarkStart w:id="664" w:name="page665"/>
    <w:bookmarkEnd w:id="6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Acknowledged and Accepted:</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7"/>
          <w:szCs w:val="17"/>
          <w:color w:val="auto"/>
        </w:rPr>
        <w:t>MONTE ROSA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13335</wp:posOffset>
            </wp:positionV>
            <wp:extent cx="231838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13335</wp:posOffset>
            </wp:positionV>
            <wp:extent cx="231838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13335</wp:posOffset>
            </wp:positionV>
            <wp:extent cx="231838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13335</wp:posOffset>
            </wp:positionV>
            <wp:extent cx="231838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9979"/>
          </w:cols>
          <w:pgMar w:left="480" w:top="273" w:right="1440" w:bottom="1440" w:gutter="0" w:footer="0" w:header="0"/>
        </w:sectPr>
      </w:pPr>
    </w:p>
    <w:bookmarkStart w:id="665" w:name="page666"/>
    <w:bookmarkEnd w:id="6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25" w:lineRule="exact"/>
        <w:rPr>
          <w:sz w:val="20"/>
          <w:szCs w:val="20"/>
          <w:color w:val="auto"/>
        </w:rPr>
      </w:pPr>
    </w:p>
    <w:p>
      <w:pPr>
        <w:ind w:right="200" w:firstLine="436"/>
        <w:spacing w:after="0" w:line="307" w:lineRule="auto"/>
        <w:rPr>
          <w:sz w:val="20"/>
          <w:szCs w:val="20"/>
          <w:color w:val="auto"/>
        </w:rPr>
      </w:pPr>
      <w:r>
        <w:rPr>
          <w:rFonts w:ascii="Arial" w:cs="Arial" w:eastAsia="Arial" w:hAnsi="Arial"/>
          <w:sz w:val="16"/>
          <w:szCs w:val="16"/>
          <w:color w:val="auto"/>
        </w:rPr>
        <w:t>This Exhibit is attached to and made a part of the Lease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OPG MP PARCEL OWNER (DE)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MONTE ROSA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for space in the Building located at 645 Summer Street, Boston, MA 02210. Capitalized terms used but not defined herein shall have the meanings given in the Lease.</w:t>
      </w:r>
    </w:p>
    <w:p>
      <w:pPr>
        <w:spacing w:after="0" w:line="150"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following rules and regulations shall apply, where applicable, to the Premises, the Building, the parking facilities (if any), the Property and the appurtenances. In the event of a conflict between the following rules and regulations and the remainder of the terms of the Lease, the remainder of the terms of the Lease shall control.</w:t>
      </w:r>
    </w:p>
    <w:p>
      <w:pPr>
        <w:spacing w:after="0" w:line="79" w:lineRule="exact"/>
        <w:rPr>
          <w:sz w:val="20"/>
          <w:szCs w:val="20"/>
          <w:color w:val="auto"/>
        </w:rPr>
      </w:pPr>
    </w:p>
    <w:p>
      <w:pPr>
        <w:ind w:firstLine="444"/>
        <w:spacing w:after="0" w:line="281" w:lineRule="auto"/>
        <w:tabs>
          <w:tab w:leader="none" w:pos="615" w:val="left"/>
        </w:tabs>
        <w:numPr>
          <w:ilvl w:val="0"/>
          <w:numId w:val="555"/>
        </w:numPr>
        <w:rPr>
          <w:rFonts w:ascii="Arial" w:cs="Arial" w:eastAsia="Arial" w:hAnsi="Arial"/>
          <w:sz w:val="17"/>
          <w:szCs w:val="17"/>
          <w:color w:val="auto"/>
        </w:rPr>
      </w:pPr>
      <w:r>
        <w:rPr>
          <w:rFonts w:ascii="Arial" w:cs="Arial" w:eastAsia="Arial" w:hAnsi="Arial"/>
          <w:sz w:val="17"/>
          <w:szCs w:val="17"/>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Property.</w:t>
      </w:r>
    </w:p>
    <w:p>
      <w:pPr>
        <w:spacing w:after="0" w:line="62" w:lineRule="exact"/>
        <w:rPr>
          <w:rFonts w:ascii="Arial" w:cs="Arial" w:eastAsia="Arial" w:hAnsi="Arial"/>
          <w:sz w:val="17"/>
          <w:szCs w:val="17"/>
          <w:color w:val="auto"/>
        </w:rPr>
      </w:pPr>
    </w:p>
    <w:p>
      <w:pPr>
        <w:ind w:right="280" w:firstLine="444"/>
        <w:spacing w:after="0" w:line="271" w:lineRule="auto"/>
        <w:tabs>
          <w:tab w:leader="none" w:pos="61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placed in the fixtures or appliances.</w:t>
      </w:r>
    </w:p>
    <w:p>
      <w:pPr>
        <w:spacing w:after="0" w:line="67" w:lineRule="exact"/>
        <w:rPr>
          <w:rFonts w:ascii="Arial" w:cs="Arial" w:eastAsia="Arial" w:hAnsi="Arial"/>
          <w:sz w:val="18"/>
          <w:szCs w:val="18"/>
          <w:color w:val="auto"/>
        </w:rPr>
      </w:pPr>
    </w:p>
    <w:p>
      <w:pPr>
        <w:ind w:right="40" w:firstLine="444"/>
        <w:spacing w:after="0" w:line="251" w:lineRule="auto"/>
        <w:tabs>
          <w:tab w:leader="none" w:pos="61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 signs, advertisements or notices shall be painted or affixed to windows, doors or other parts of the Building, except those of such color, size, style and in such places as are first approved in writing by Landlord. On multi-tenant floors, elevator lobby signage identifying each tenant using Building standard graphics shall be installed by Landlord at its expense, provided that any changes to a tenant’s initial elevator lobby signage shall be made by Landlord at such tenant’s expense. All tenant identification and suite numbers at the entrance to the Premises, whether on multi-tenant or single-tenant floors, shall be subject to Landlord’s prior approval in writing and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87" w:lineRule="exact"/>
        <w:rPr>
          <w:rFonts w:ascii="Arial" w:cs="Arial" w:eastAsia="Arial" w:hAnsi="Arial"/>
          <w:sz w:val="18"/>
          <w:szCs w:val="18"/>
          <w:color w:val="auto"/>
        </w:rPr>
      </w:pPr>
    </w:p>
    <w:p>
      <w:pPr>
        <w:ind w:right="420" w:firstLine="444"/>
        <w:spacing w:after="0" w:line="271" w:lineRule="auto"/>
        <w:tabs>
          <w:tab w:leader="none" w:pos="61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67" w:lineRule="exact"/>
        <w:rPr>
          <w:rFonts w:ascii="Arial" w:cs="Arial" w:eastAsia="Arial" w:hAnsi="Arial"/>
          <w:sz w:val="18"/>
          <w:szCs w:val="18"/>
          <w:color w:val="auto"/>
        </w:rPr>
      </w:pPr>
    </w:p>
    <w:p>
      <w:pPr>
        <w:jc w:val="both"/>
        <w:ind w:right="100" w:firstLine="444"/>
        <w:spacing w:after="0" w:line="253" w:lineRule="auto"/>
        <w:tabs>
          <w:tab w:leader="none" w:pos="61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Tenant shall not place any lock(s) on any door in the Premises or Building without Landlord’s prior written consent, which consent shall not be unreasonably withheld, and Landlord shall have the right at all times to retain and use keys or other access codes or devices to all locks within and into the Premises. A reasonable number of keys and/or access cards to the locks on the entry doors in the Premises shall be furnished by Landlord to Tenant at Tenant’s cost and Tenant shall not make any duplicate keys or access cards. All keys and access cards shall be returned to Landlord at the expiration or early termination of the 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920"/>
          </w:cols>
          <w:pgMar w:left="480" w:top="269" w:right="499" w:bottom="1440" w:gutter="0" w:footer="0" w:header="0"/>
        </w:sectPr>
      </w:pPr>
    </w:p>
    <w:bookmarkStart w:id="666" w:name="page667"/>
    <w:bookmarkEnd w:id="666"/>
    <w:p>
      <w:pPr>
        <w:ind w:firstLine="444"/>
        <w:spacing w:after="0" w:line="268" w:lineRule="auto"/>
        <w:tabs>
          <w:tab w:leader="none" w:pos="615" w:val="left"/>
        </w:tabs>
        <w:numPr>
          <w:ilvl w:val="0"/>
          <w:numId w:val="5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contractors, contractor’s representatives and installation technicians performing work in the Building and all third party vendors providing services to tenants or other occupants in the Building(such as special event caterers and liquor providers) shall be subject to Landlord’s prior approval (which approval shall not be unreasonably withheld, conditioned or delayed), shall be required to provide customary certificates of insurance (in form and substance reasonably approved by Landlord for the applicable work or service and naming Landlord and other designated parties as additional insureds), and shall comply with Landlord’s standard and reasonable rules, regulations, policies and procedures, which may be revised from time to time upon prior written notice to Tenant. Landlord has no obligation to allow any particular telecommunication service provider to have access to the Building or to the Premises. If Landlord permits access, Landlord may condition the access upon the payment to Landlord by the service provider of fees assessed by Landlord in Landlord’s sole discretion.</w:t>
      </w:r>
    </w:p>
    <w:p>
      <w:pPr>
        <w:spacing w:after="0" w:line="72" w:lineRule="exact"/>
        <w:rPr>
          <w:rFonts w:ascii="Arial" w:cs="Arial" w:eastAsia="Arial" w:hAnsi="Arial"/>
          <w:sz w:val="17"/>
          <w:szCs w:val="17"/>
          <w:color w:val="auto"/>
        </w:rPr>
      </w:pPr>
    </w:p>
    <w:p>
      <w:pPr>
        <w:ind w:firstLine="444"/>
        <w:spacing w:after="0" w:line="255" w:lineRule="auto"/>
        <w:tabs>
          <w:tab w:leader="none" w:pos="61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Movement in or out of the Building of furniture or office equipment, or dispatch or receipt by Tenant of merchandise or materials requiring the use of elevators, stairways, lobby areas or loading dock areas, shall be performed in a manner and restricted to hours reasonably designated by Landlord. Tenant shall obtain Landlord’s prior approval by providing a detailed listing of the activity, including the names of any contractors, vendors or delivery companies, which approval shall not be unreasonably withheld.</w:t>
      </w:r>
    </w:p>
    <w:p>
      <w:pPr>
        <w:spacing w:after="0" w:line="83" w:lineRule="exact"/>
        <w:rPr>
          <w:rFonts w:ascii="Arial" w:cs="Arial" w:eastAsia="Arial" w:hAnsi="Arial"/>
          <w:sz w:val="18"/>
          <w:szCs w:val="18"/>
          <w:color w:val="auto"/>
        </w:rPr>
      </w:pPr>
    </w:p>
    <w:p>
      <w:pPr>
        <w:ind w:right="120" w:firstLine="444"/>
        <w:spacing w:after="0" w:line="259" w:lineRule="auto"/>
        <w:tabs>
          <w:tab w:leader="none" w:pos="61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Landlord shall have the right to approve the weight, size, or location of heavy equipment or articles in and about the Premises, which approval shall not be unreasonably withheld; provided that approval by Landlord shall not relieve Tenant from liability for any damage in connection with such heavy equipment or articles.</w:t>
      </w:r>
    </w:p>
    <w:p>
      <w:pPr>
        <w:spacing w:after="0" w:line="78" w:lineRule="exact"/>
        <w:rPr>
          <w:rFonts w:ascii="Arial" w:cs="Arial" w:eastAsia="Arial" w:hAnsi="Arial"/>
          <w:sz w:val="18"/>
          <w:szCs w:val="18"/>
          <w:color w:val="auto"/>
        </w:rPr>
      </w:pPr>
    </w:p>
    <w:p>
      <w:pPr>
        <w:ind w:left="620" w:hanging="176"/>
        <w:spacing w:after="0"/>
        <w:tabs>
          <w:tab w:leader="none" w:pos="62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Corridor doors, when not in use, shall be kept closed.</w:t>
      </w:r>
    </w:p>
    <w:p>
      <w:pPr>
        <w:spacing w:after="0" w:line="113" w:lineRule="exact"/>
        <w:rPr>
          <w:rFonts w:ascii="Arial" w:cs="Arial" w:eastAsia="Arial" w:hAnsi="Arial"/>
          <w:sz w:val="18"/>
          <w:szCs w:val="18"/>
          <w:color w:val="auto"/>
        </w:rPr>
      </w:pPr>
    </w:p>
    <w:p>
      <w:pPr>
        <w:ind w:right="100" w:firstLine="444"/>
        <w:spacing w:after="0" w:line="255" w:lineRule="auto"/>
        <w:tabs>
          <w:tab w:leader="none" w:pos="704"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Tenant shall not: (a) make or permit any objectionable noises, odors, or vibrations in the Building, or otherwise interfere with other tenants or persons having business with them; (b) solicit business or distribute or cause to be distributed, in any portion of the Building, handbills, promotional materials or other advertising; or (c) conduct or permit other activities in the Building that might, in Landlord’s sole opinion, constitute a nuisance. Landlord shall not discriminate against Tenant in the enforcement of this rule.</w:t>
      </w:r>
    </w:p>
    <w:p>
      <w:pPr>
        <w:spacing w:after="0" w:line="83" w:lineRule="exact"/>
        <w:rPr>
          <w:rFonts w:ascii="Arial" w:cs="Arial" w:eastAsia="Arial" w:hAnsi="Arial"/>
          <w:sz w:val="18"/>
          <w:szCs w:val="18"/>
          <w:color w:val="auto"/>
        </w:rPr>
      </w:pPr>
    </w:p>
    <w:p>
      <w:pPr>
        <w:ind w:left="700" w:hanging="256"/>
        <w:spacing w:after="0"/>
        <w:tabs>
          <w:tab w:leader="none" w:pos="70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No animals, other than any service animals required for particular individuals, shall be brought into the Building or kept in or about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Premises.</w:t>
      </w:r>
    </w:p>
    <w:p>
      <w:pPr>
        <w:spacing w:after="0" w:line="101" w:lineRule="exact"/>
        <w:rPr>
          <w:rFonts w:ascii="Arial" w:cs="Arial" w:eastAsia="Arial" w:hAnsi="Arial"/>
          <w:sz w:val="17"/>
          <w:szCs w:val="17"/>
          <w:color w:val="auto"/>
        </w:rPr>
      </w:pPr>
    </w:p>
    <w:p>
      <w:pPr>
        <w:ind w:right="160" w:firstLine="444"/>
        <w:spacing w:after="0" w:line="253" w:lineRule="auto"/>
        <w:tabs>
          <w:tab w:leader="none" w:pos="704"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this Lease, no inflammable, explosive or dangerous fluids or substances shall be used or kept by Tenant in the Premises, Building or about the Property, except for those substances as are typically found in similar premises used for general office purposes and are being used by Tenant in a safe manner and in accordance with all applicable Laws. Subject to the terms and conditions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this Lease, Tenant shall not, without Landlord’s prior written consent, which consent may be withheld in Landlord’s sole discretion, use, store, install, spill, remove, release or dispose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900"/>
          </w:cols>
          <w:pgMar w:left="480" w:top="272" w:right="519" w:bottom="1440" w:gutter="0" w:footer="0" w:header="0"/>
        </w:sectPr>
      </w:pPr>
    </w:p>
    <w:bookmarkStart w:id="667" w:name="page668"/>
    <w:bookmarkEnd w:id="667"/>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of, within or about the Premises or any other portion of the Property, any asbestos-containing materials or any solid, liquid or gaseous material now or subsequently considered toxic or hazardous under the provisions of 42 U.S.C. Section 9601 et seq., M.G.L. c. 21C, M.G.L. c. 21E or any other applicable environmental Law which may now or later be in effect. Tenant shall comply with all Laws pertaining to and governing the use of these materials by Tenant and shall remain solely liable for the costs of abatement and removal.</w:t>
      </w:r>
    </w:p>
    <w:p>
      <w:pPr>
        <w:spacing w:after="0" w:line="83" w:lineRule="exact"/>
        <w:rPr>
          <w:sz w:val="20"/>
          <w:szCs w:val="20"/>
          <w:color w:val="auto"/>
        </w:rPr>
      </w:pPr>
    </w:p>
    <w:p>
      <w:pPr>
        <w:ind w:left="720" w:hanging="276"/>
        <w:spacing w:after="0"/>
        <w:tabs>
          <w:tab w:leader="none" w:pos="72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Tenant shall not use, or permit any part of the Premises to be used for lodging, sleeping or for any illegal purpose.</w:t>
      </w:r>
    </w:p>
    <w:p>
      <w:pPr>
        <w:spacing w:after="0" w:line="113" w:lineRule="exact"/>
        <w:rPr>
          <w:rFonts w:ascii="Arial" w:cs="Arial" w:eastAsia="Arial" w:hAnsi="Arial"/>
          <w:sz w:val="18"/>
          <w:szCs w:val="18"/>
          <w:color w:val="auto"/>
        </w:rPr>
      </w:pPr>
    </w:p>
    <w:p>
      <w:pPr>
        <w:ind w:right="20" w:firstLine="444"/>
        <w:spacing w:after="0" w:line="290" w:lineRule="auto"/>
        <w:tabs>
          <w:tab w:leader="none" w:pos="704" w:val="left"/>
        </w:tabs>
        <w:numPr>
          <w:ilvl w:val="0"/>
          <w:numId w:val="557"/>
        </w:numPr>
        <w:rPr>
          <w:rFonts w:ascii="Arial" w:cs="Arial" w:eastAsia="Arial" w:hAnsi="Arial"/>
          <w:sz w:val="16"/>
          <w:szCs w:val="16"/>
          <w:color w:val="auto"/>
        </w:rPr>
      </w:pPr>
      <w:r>
        <w:rPr>
          <w:rFonts w:ascii="Arial" w:cs="Arial" w:eastAsia="Arial" w:hAnsi="Arial"/>
          <w:sz w:val="16"/>
          <w:szCs w:val="16"/>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16"/>
          <w:szCs w:val="16"/>
          <w:u w:val="single" w:color="auto"/>
          <w:color w:val="auto"/>
        </w:rPr>
        <w:t>Labor Disruption</w:t>
      </w:r>
      <w:r>
        <w:rPr>
          <w:rFonts w:ascii="Arial" w:cs="Arial" w:eastAsia="Arial" w:hAnsi="Arial"/>
          <w:sz w:val="16"/>
          <w:szCs w:val="16"/>
          <w:color w:val="auto"/>
        </w:rPr>
        <w:t>”). Tenant shall take the reasonable actions necessary to resolve the Labor Disruption, and shall have pickets removed and, at the request of Landlord, immediately terminate any work in the Premises that gave rise to the Labor Disruption, until Landlord gives its written consent (which consent may be withheld in Landlord’s sole discretion) for the work to resume. Tenant shall have no claim for damages against Landlord or any of the Landlord Related Parties nor shall the Term Commencement Date of the Term be extended as a result of the above actions.</w:t>
      </w:r>
    </w:p>
    <w:p>
      <w:pPr>
        <w:spacing w:after="0" w:line="56" w:lineRule="exact"/>
        <w:rPr>
          <w:rFonts w:ascii="Arial" w:cs="Arial" w:eastAsia="Arial" w:hAnsi="Arial"/>
          <w:sz w:val="16"/>
          <w:szCs w:val="16"/>
          <w:color w:val="auto"/>
        </w:rPr>
      </w:pPr>
    </w:p>
    <w:p>
      <w:pPr>
        <w:ind w:firstLine="444"/>
        <w:spacing w:after="0" w:line="253" w:lineRule="auto"/>
        <w:tabs>
          <w:tab w:leader="none" w:pos="70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Tenant shall not install, operate or maintain in the Premises or in any other area of the Building, electrical equipment that would overload the electrical system beyond the capacity set forth in the Lease. Tenant shall not furnish cooling or heating to the Premises, including, without limitation, the use of electric or gas heating devices, without Landlord’s prior written consent, which consent shall not be unreasonably withheld, conditioned or delayed. Tenant shall not use more than its proportionate share of telephone lines and other telecommunication facilities available to service the Building.</w:t>
      </w:r>
    </w:p>
    <w:p>
      <w:pPr>
        <w:spacing w:after="0" w:line="85" w:lineRule="exact"/>
        <w:rPr>
          <w:rFonts w:ascii="Arial" w:cs="Arial" w:eastAsia="Arial" w:hAnsi="Arial"/>
          <w:sz w:val="18"/>
          <w:szCs w:val="18"/>
          <w:color w:val="auto"/>
        </w:rPr>
      </w:pPr>
    </w:p>
    <w:p>
      <w:pPr>
        <w:ind w:right="260" w:firstLine="444"/>
        <w:spacing w:after="0" w:line="259" w:lineRule="auto"/>
        <w:tabs>
          <w:tab w:leader="none" w:pos="70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invitees.</w:t>
      </w:r>
    </w:p>
    <w:p>
      <w:pPr>
        <w:spacing w:after="0" w:line="78" w:lineRule="exact"/>
        <w:rPr>
          <w:rFonts w:ascii="Arial" w:cs="Arial" w:eastAsia="Arial" w:hAnsi="Arial"/>
          <w:sz w:val="18"/>
          <w:szCs w:val="18"/>
          <w:color w:val="auto"/>
        </w:rPr>
      </w:pPr>
    </w:p>
    <w:p>
      <w:pPr>
        <w:ind w:left="720" w:hanging="276"/>
        <w:spacing w:after="0"/>
        <w:tabs>
          <w:tab w:leader="none" w:pos="720" w:val="left"/>
        </w:tabs>
        <w:numPr>
          <w:ilvl w:val="0"/>
          <w:numId w:val="557"/>
        </w:numPr>
        <w:rPr>
          <w:rFonts w:ascii="Arial" w:cs="Arial" w:eastAsia="Arial" w:hAnsi="Arial"/>
          <w:sz w:val="16"/>
          <w:szCs w:val="16"/>
          <w:color w:val="auto"/>
        </w:rPr>
      </w:pPr>
      <w:r>
        <w:rPr>
          <w:rFonts w:ascii="Arial" w:cs="Arial" w:eastAsia="Arial" w:hAnsi="Arial"/>
          <w:sz w:val="16"/>
          <w:szCs w:val="16"/>
          <w:color w:val="auto"/>
        </w:rPr>
        <w:t>Bicycles and other vehicles are not permitted inside the Building or on the walkways outside the Building, except in areas designated by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101" w:lineRule="exact"/>
        <w:rPr>
          <w:rFonts w:ascii="Arial" w:cs="Arial" w:eastAsia="Arial" w:hAnsi="Arial"/>
          <w:sz w:val="16"/>
          <w:szCs w:val="16"/>
          <w:color w:val="auto"/>
        </w:rPr>
      </w:pPr>
    </w:p>
    <w:p>
      <w:pPr>
        <w:ind w:right="60" w:firstLine="444"/>
        <w:spacing w:after="0" w:line="398" w:lineRule="auto"/>
        <w:tabs>
          <w:tab w:leader="none" w:pos="704" w:val="left"/>
        </w:tabs>
        <w:numPr>
          <w:ilvl w:val="0"/>
          <w:numId w:val="557"/>
        </w:numPr>
        <w:rPr>
          <w:rFonts w:ascii="Arial" w:cs="Arial" w:eastAsia="Arial" w:hAnsi="Arial"/>
          <w:sz w:val="14"/>
          <w:szCs w:val="14"/>
          <w:color w:val="auto"/>
        </w:rPr>
      </w:pPr>
      <w:r>
        <w:rPr>
          <w:rFonts w:ascii="Arial" w:cs="Arial" w:eastAsia="Arial" w:hAnsi="Arial"/>
          <w:sz w:val="14"/>
          <w:szCs w:val="14"/>
          <w:color w:val="auto"/>
        </w:rPr>
        <w:t>Landlord may from time to time adopt reasonable systems and procedures for the security and safety of the Building and Property, their occupants, entry, use and contents. Tenant, its agents, employees, contractors, guests and invitees shall comply with Landlord’s systems and procedures.</w:t>
      </w:r>
    </w:p>
    <w:p>
      <w:pPr>
        <w:ind w:right="40" w:firstLine="444"/>
        <w:spacing w:after="0" w:line="259" w:lineRule="auto"/>
        <w:tabs>
          <w:tab w:leader="none" w:pos="70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Landlord shall have the right to prohibit the use of the name of the Building, any photographs or other graphic representations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900"/>
          </w:cols>
          <w:pgMar w:left="480" w:top="273" w:right="519" w:bottom="1440" w:gutter="0" w:footer="0" w:header="0"/>
        </w:sectPr>
      </w:pPr>
    </w:p>
    <w:bookmarkStart w:id="668" w:name="page669"/>
    <w:bookmarkEnd w:id="668"/>
    <w:p>
      <w:pPr>
        <w:ind w:left="-20" w:firstLine="444"/>
        <w:spacing w:after="0" w:line="270" w:lineRule="auto"/>
        <w:tabs>
          <w:tab w:leader="none" w:pos="684" w:val="left"/>
        </w:tabs>
        <w:numPr>
          <w:ilvl w:val="0"/>
          <w:numId w:val="5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Building is a non-smoking building. Neither Tenant nor its employees, contractors, agents, guests, or invitees shall smoke or permit smoking of (i) any form of tobacco-related products (including, but not limited to pipes, cigars, cigarettes and similar products), (ii) vaporized products via electronic cigarettes (or any similar products and technological evolutions or innovations thereof), or (iii) any other plant-based or synthetic products which emit substances into the air at any time either in the Premises, in any other part of the Building, around the entrances to the Building, or in any other exterior area of the Property. Notwithstanding the foregoing, Landlord may, at its election in its sole discretion from time to time, designate any exterior area of the Property (if any) as a permitted smoking area of tobacco-related products.</w:t>
      </w:r>
    </w:p>
    <w:p>
      <w:pPr>
        <w:spacing w:after="0" w:line="71" w:lineRule="exact"/>
        <w:rPr>
          <w:rFonts w:ascii="Arial" w:cs="Arial" w:eastAsia="Arial" w:hAnsi="Arial"/>
          <w:sz w:val="17"/>
          <w:szCs w:val="17"/>
          <w:color w:val="auto"/>
        </w:rPr>
      </w:pPr>
    </w:p>
    <w:p>
      <w:pPr>
        <w:ind w:left="-20" w:firstLine="444"/>
        <w:spacing w:after="0" w:line="271" w:lineRule="auto"/>
        <w:tabs>
          <w:tab w:leader="none" w:pos="684"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Tenant shall ensure, to the extent reasonably practicable, that window coverings are closed on windows in the Premises while they are exposed to the direct rays of the sun.</w:t>
      </w:r>
    </w:p>
    <w:p>
      <w:pPr>
        <w:spacing w:after="0" w:line="67" w:lineRule="exact"/>
        <w:rPr>
          <w:rFonts w:ascii="Arial" w:cs="Arial" w:eastAsia="Arial" w:hAnsi="Arial"/>
          <w:sz w:val="18"/>
          <w:szCs w:val="18"/>
          <w:color w:val="auto"/>
        </w:rPr>
      </w:pPr>
    </w:p>
    <w:p>
      <w:pPr>
        <w:ind w:left="-20" w:right="20" w:firstLine="444"/>
        <w:spacing w:after="0" w:line="281" w:lineRule="auto"/>
        <w:tabs>
          <w:tab w:leader="none" w:pos="684" w:val="left"/>
        </w:tabs>
        <w:numPr>
          <w:ilvl w:val="0"/>
          <w:numId w:val="558"/>
        </w:numPr>
        <w:rPr>
          <w:rFonts w:ascii="Arial" w:cs="Arial" w:eastAsia="Arial" w:hAnsi="Arial"/>
          <w:sz w:val="17"/>
          <w:szCs w:val="17"/>
          <w:color w:val="auto"/>
        </w:rPr>
      </w:pPr>
      <w:r>
        <w:rPr>
          <w:rFonts w:ascii="Arial" w:cs="Arial" w:eastAsia="Arial" w:hAnsi="Arial"/>
          <w:sz w:val="17"/>
          <w:szCs w:val="17"/>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62" w:lineRule="exact"/>
        <w:rPr>
          <w:rFonts w:ascii="Arial" w:cs="Arial" w:eastAsia="Arial" w:hAnsi="Arial"/>
          <w:sz w:val="17"/>
          <w:szCs w:val="17"/>
          <w:color w:val="auto"/>
        </w:rPr>
      </w:pPr>
    </w:p>
    <w:p>
      <w:pPr>
        <w:ind w:left="700" w:hanging="276"/>
        <w:spacing w:after="0"/>
        <w:tabs>
          <w:tab w:leader="none" w:pos="7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Common Area cleaning work of cleaning personnel shall not be hindered by Tenant.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0880"/>
          </w:cols>
          <w:pgMar w:left="500" w:top="273" w:right="519" w:bottom="1440" w:gutter="0" w:footer="0" w:header="0"/>
        </w:sectPr>
      </w:pPr>
    </w:p>
    <w:bookmarkStart w:id="669" w:name="page670"/>
    <w:bookmarkEnd w:id="6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PROVISIONS</w:t>
      </w:r>
    </w:p>
    <w:p>
      <w:pPr>
        <w:spacing w:after="0" w:line="225" w:lineRule="exact"/>
        <w:rPr>
          <w:sz w:val="20"/>
          <w:szCs w:val="20"/>
          <w:color w:val="auto"/>
        </w:rPr>
      </w:pPr>
    </w:p>
    <w:p>
      <w:pPr>
        <w:ind w:right="200" w:firstLine="436"/>
        <w:spacing w:after="0" w:line="307" w:lineRule="auto"/>
        <w:rPr>
          <w:sz w:val="20"/>
          <w:szCs w:val="20"/>
          <w:color w:val="auto"/>
        </w:rPr>
      </w:pPr>
      <w:r>
        <w:rPr>
          <w:rFonts w:ascii="Arial" w:cs="Arial" w:eastAsia="Arial" w:hAnsi="Arial"/>
          <w:sz w:val="16"/>
          <w:szCs w:val="16"/>
          <w:color w:val="auto"/>
        </w:rPr>
        <w:t>This Exhibit is attached to and made a part of the Lease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OPG MP PARCEL OWNER (DE)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MONTE ROSA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for space in the Building located at 645 Summer Street, Boston, MA 02210. Capitalized terms used but not defined herein shall have the meanings given in the Lease.</w:t>
      </w:r>
    </w:p>
    <w:p>
      <w:pPr>
        <w:spacing w:after="0" w:line="56" w:lineRule="exact"/>
        <w:rPr>
          <w:sz w:val="20"/>
          <w:szCs w:val="20"/>
          <w:color w:val="auto"/>
        </w:rPr>
      </w:pPr>
    </w:p>
    <w:p>
      <w:pPr>
        <w:ind w:left="440" w:hanging="433"/>
        <w:spacing w:after="0"/>
        <w:tabs>
          <w:tab w:leader="none" w:pos="44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Parking; Amenities</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u w:val="single" w:color="auto"/>
          <w:color w:val="auto"/>
        </w:rPr>
        <w:t>Parking</w:t>
      </w:r>
      <w:r>
        <w:rPr>
          <w:rFonts w:ascii="Arial" w:cs="Arial" w:eastAsia="Arial" w:hAnsi="Arial"/>
          <w:sz w:val="14"/>
          <w:szCs w:val="14"/>
          <w:color w:val="auto"/>
        </w:rPr>
        <w:t>.</w:t>
      </w:r>
    </w:p>
    <w:p>
      <w:pPr>
        <w:spacing w:after="0" w:line="127" w:lineRule="exact"/>
        <w:rPr>
          <w:rFonts w:ascii="Arial" w:cs="Arial" w:eastAsia="Arial" w:hAnsi="Arial"/>
          <w:sz w:val="18"/>
          <w:szCs w:val="18"/>
          <w:color w:val="auto"/>
        </w:rPr>
      </w:pPr>
    </w:p>
    <w:p>
      <w:pPr>
        <w:ind w:left="1960" w:hanging="535"/>
        <w:spacing w:after="0" w:line="287" w:lineRule="auto"/>
        <w:tabs>
          <w:tab w:leader="none" w:pos="1960" w:val="left"/>
        </w:tabs>
        <w:numPr>
          <w:ilvl w:val="2"/>
          <w:numId w:val="559"/>
        </w:numPr>
        <w:rPr>
          <w:rFonts w:ascii="Arial" w:cs="Arial" w:eastAsia="Arial" w:hAnsi="Arial"/>
          <w:sz w:val="16"/>
          <w:szCs w:val="16"/>
          <w:color w:val="auto"/>
        </w:rPr>
      </w:pPr>
      <w:r>
        <w:rPr>
          <w:rFonts w:ascii="Arial" w:cs="Arial" w:eastAsia="Arial" w:hAnsi="Arial"/>
          <w:sz w:val="16"/>
          <w:szCs w:val="16"/>
          <w:color w:val="auto"/>
        </w:rPr>
        <w:t>During the Term, Tenant shall have the right to lease from Landlord, and Landlord shall lease to Tenant, or cause the operator (the “</w:t>
      </w:r>
      <w:r>
        <w:rPr>
          <w:rFonts w:ascii="Arial" w:cs="Arial" w:eastAsia="Arial" w:hAnsi="Arial"/>
          <w:sz w:val="16"/>
          <w:szCs w:val="16"/>
          <w:u w:val="single" w:color="auto"/>
          <w:color w:val="auto"/>
        </w:rPr>
        <w:t>Operator</w:t>
      </w:r>
      <w:r>
        <w:rPr>
          <w:rFonts w:ascii="Arial" w:cs="Arial" w:eastAsia="Arial" w:hAnsi="Arial"/>
          <w:sz w:val="16"/>
          <w:szCs w:val="16"/>
          <w:color w:val="auto"/>
        </w:rPr>
        <w:t>”) of the surface parking lot serving the Building (the “</w:t>
      </w:r>
      <w:r>
        <w:rPr>
          <w:rFonts w:ascii="Arial" w:cs="Arial" w:eastAsia="Arial" w:hAnsi="Arial"/>
          <w:sz w:val="16"/>
          <w:szCs w:val="16"/>
          <w:u w:val="single" w:color="auto"/>
          <w:color w:val="auto"/>
        </w:rPr>
        <w:t>Parking Facilities</w:t>
      </w:r>
      <w:r>
        <w:rPr>
          <w:rFonts w:ascii="Arial" w:cs="Arial" w:eastAsia="Arial" w:hAnsi="Arial"/>
          <w:sz w:val="16"/>
          <w:szCs w:val="16"/>
          <w:color w:val="auto"/>
        </w:rPr>
        <w:t>”) to lease to Tenant, nine</w:t>
      </w:r>
    </w:p>
    <w:p>
      <w:pPr>
        <w:ind w:left="1960" w:right="220"/>
        <w:spacing w:after="0" w:line="334" w:lineRule="auto"/>
        <w:rPr>
          <w:rFonts w:ascii="Arial" w:cs="Arial" w:eastAsia="Arial" w:hAnsi="Arial"/>
          <w:sz w:val="16"/>
          <w:szCs w:val="16"/>
          <w:color w:val="auto"/>
        </w:rPr>
      </w:pPr>
      <w:r>
        <w:rPr>
          <w:rFonts w:ascii="Arial" w:cs="Arial" w:eastAsia="Arial" w:hAnsi="Arial"/>
          <w:sz w:val="14"/>
          <w:szCs w:val="14"/>
          <w:color w:val="auto"/>
        </w:rPr>
        <w:t>(9) unreserved parking spaces in the Parking Facilities (the “</w:t>
      </w:r>
      <w:r>
        <w:rPr>
          <w:rFonts w:ascii="Arial" w:cs="Arial" w:eastAsia="Arial" w:hAnsi="Arial"/>
          <w:sz w:val="14"/>
          <w:szCs w:val="14"/>
          <w:u w:val="single" w:color="auto"/>
          <w:color w:val="auto"/>
        </w:rPr>
        <w:t>Spaces</w:t>
      </w:r>
      <w:r>
        <w:rPr>
          <w:rFonts w:ascii="Arial" w:cs="Arial" w:eastAsia="Arial" w:hAnsi="Arial"/>
          <w:sz w:val="14"/>
          <w:szCs w:val="14"/>
          <w:color w:val="auto"/>
        </w:rPr>
        <w:t>”) for the use of Tenant and its employees. The Spaces shall be leased at the rate of $190.00 per unreserved Space, per month, as such rate may be adjusted from time to time (but no more than one (1) time per twelve (12) month period during the Term) to reflect the then current rate for parking in the Parking Facilities, which such rate shall be consistent with parking rates at comparable surface parking lots in the Seaport District in Boston, Massachusetts (the “</w:t>
      </w:r>
      <w:r>
        <w:rPr>
          <w:rFonts w:ascii="Arial" w:cs="Arial" w:eastAsia="Arial" w:hAnsi="Arial"/>
          <w:sz w:val="14"/>
          <w:szCs w:val="14"/>
          <w:u w:val="single" w:color="auto"/>
          <w:color w:val="auto"/>
        </w:rPr>
        <w:t>Seaport District</w:t>
      </w:r>
      <w:r>
        <w:rPr>
          <w:rFonts w:ascii="Arial" w:cs="Arial" w:eastAsia="Arial" w:hAnsi="Arial"/>
          <w:sz w:val="14"/>
          <w:szCs w:val="14"/>
          <w:color w:val="auto"/>
        </w:rPr>
        <w:t>”). If requested by Landlord, Tenant shall execute and deliver to Landlord the standard parking agreement used by Landlord or the Operator in the Parking Facilities for such Spaces.</w:t>
      </w:r>
    </w:p>
    <w:p>
      <w:pPr>
        <w:spacing w:after="0" w:line="47" w:lineRule="exact"/>
        <w:rPr>
          <w:rFonts w:ascii="Arial" w:cs="Arial" w:eastAsia="Arial" w:hAnsi="Arial"/>
          <w:sz w:val="16"/>
          <w:szCs w:val="16"/>
          <w:color w:val="auto"/>
        </w:rPr>
      </w:pPr>
    </w:p>
    <w:p>
      <w:pPr>
        <w:ind w:left="1960" w:right="40" w:hanging="535"/>
        <w:spacing w:after="0" w:line="259" w:lineRule="auto"/>
        <w:tabs>
          <w:tab w:leader="none" w:pos="19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No deductions or allowances shall be made for days when Tenant or any of its employees does not utilize the parking facilities or for Tenant utilizing less than all of the Spaces. Tenant shall not have the right to lease or otherwise use more than the number of unreserved Spaces set forth above.</w:t>
      </w:r>
    </w:p>
    <w:p>
      <w:pPr>
        <w:spacing w:after="0" w:line="92" w:lineRule="exact"/>
        <w:rPr>
          <w:rFonts w:ascii="Arial" w:cs="Arial" w:eastAsia="Arial" w:hAnsi="Arial"/>
          <w:sz w:val="18"/>
          <w:szCs w:val="18"/>
          <w:color w:val="auto"/>
        </w:rPr>
      </w:pPr>
    </w:p>
    <w:p>
      <w:pPr>
        <w:ind w:left="1960" w:right="20" w:hanging="535"/>
        <w:spacing w:after="0" w:line="271" w:lineRule="auto"/>
        <w:tabs>
          <w:tab w:leader="none" w:pos="19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Except for particular spaces and areas designated by Landlord or the Operator for reserved parking, all parking in the Parking Facilities shall be on an unreserved, first- come, first-served basis.</w:t>
      </w:r>
    </w:p>
    <w:p>
      <w:pPr>
        <w:spacing w:after="0" w:line="80" w:lineRule="exact"/>
        <w:rPr>
          <w:rFonts w:ascii="Arial" w:cs="Arial" w:eastAsia="Arial" w:hAnsi="Arial"/>
          <w:sz w:val="18"/>
          <w:szCs w:val="18"/>
          <w:color w:val="auto"/>
        </w:rPr>
      </w:pPr>
    </w:p>
    <w:p>
      <w:pPr>
        <w:ind w:left="1960" w:right="60" w:hanging="535"/>
        <w:spacing w:after="0" w:line="270" w:lineRule="auto"/>
        <w:tabs>
          <w:tab w:leader="none" w:pos="1960" w:val="left"/>
        </w:tabs>
        <w:numPr>
          <w:ilvl w:val="2"/>
          <w:numId w:val="559"/>
        </w:numPr>
        <w:rPr>
          <w:rFonts w:ascii="Arial" w:cs="Arial" w:eastAsia="Arial" w:hAnsi="Arial"/>
          <w:sz w:val="17"/>
          <w:szCs w:val="17"/>
          <w:color w:val="auto"/>
        </w:rPr>
      </w:pPr>
      <w:r>
        <w:rPr>
          <w:rFonts w:ascii="Arial" w:cs="Arial" w:eastAsia="Arial" w:hAnsi="Arial"/>
          <w:sz w:val="17"/>
          <w:szCs w:val="17"/>
          <w:color w:val="auto"/>
        </w:rPr>
        <w:t>Neither Landlord nor the Operator shall be responsible for money, jewelry, automobiles or other personal property lost in or stolen from the Parking Facilities regardless of whether such loss or theft occurs when the Parking Facilities or other areas therein are locked or otherwise secured. Except as caused by the negligence or willful misconduct of Landlord and without limiting the terms of the preceding sentence, Landlord shall not be liable for any loss, injury or damage to persons using the Parking Facilities or automobiles or other property therein, it being agreed that, to the fullest extent permitted by law, the use of the Spaces shall be at the sole risk of Tenant and its employees.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920"/>
          </w:cols>
          <w:pgMar w:left="480" w:top="268" w:right="499" w:bottom="1440" w:gutter="0" w:footer="0" w:header="0"/>
        </w:sectPr>
      </w:pPr>
    </w:p>
    <w:bookmarkStart w:id="670" w:name="page671"/>
    <w:bookmarkEnd w:id="670"/>
    <w:p>
      <w:pPr>
        <w:ind w:left="1525" w:hanging="535"/>
        <w:spacing w:after="0" w:line="293" w:lineRule="auto"/>
        <w:tabs>
          <w:tab w:leader="none" w:pos="1525" w:val="left"/>
        </w:tabs>
        <w:numPr>
          <w:ilvl w:val="1"/>
          <w:numId w:val="5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Landlord or its Operator shall have the right from time to time to designate the location of the Spaces and to promulgate reasonable rules and regulations regarding the Parking Facilities, the Spaces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and all reasonable additions and amendments thereto of which Tenant is given prior written notice.</w:t>
      </w:r>
    </w:p>
    <w:p>
      <w:pPr>
        <w:spacing w:after="0" w:line="67" w:lineRule="exact"/>
        <w:rPr>
          <w:rFonts w:ascii="Arial" w:cs="Arial" w:eastAsia="Arial" w:hAnsi="Arial"/>
          <w:sz w:val="16"/>
          <w:szCs w:val="16"/>
          <w:color w:val="auto"/>
        </w:rPr>
      </w:pPr>
    </w:p>
    <w:p>
      <w:pPr>
        <w:ind w:left="1525" w:right="80" w:hanging="535"/>
        <w:spacing w:after="0" w:line="255" w:lineRule="auto"/>
        <w:tabs>
          <w:tab w:leader="none" w:pos="152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Except for emergency repairs, Tenant and its employees shall not perform any work on any automobiles while located in the Parking Facilities or on the Property. If it is necessary for Tenant or its employees to leave an automobile in the Parking Facilities overnight, Tenant shall provide Landlord with prior notice thereof designating the license plate number and model of such automobile.</w:t>
      </w:r>
    </w:p>
    <w:p>
      <w:pPr>
        <w:spacing w:after="0" w:line="96" w:lineRule="exact"/>
        <w:rPr>
          <w:rFonts w:ascii="Arial" w:cs="Arial" w:eastAsia="Arial" w:hAnsi="Arial"/>
          <w:sz w:val="18"/>
          <w:szCs w:val="18"/>
          <w:color w:val="auto"/>
        </w:rPr>
      </w:pPr>
    </w:p>
    <w:p>
      <w:pPr>
        <w:ind w:left="1525" w:right="260" w:hanging="535"/>
        <w:spacing w:after="0" w:line="307" w:lineRule="auto"/>
        <w:tabs>
          <w:tab w:leader="none" w:pos="1525" w:val="left"/>
        </w:tabs>
        <w:numPr>
          <w:ilvl w:val="1"/>
          <w:numId w:val="560"/>
        </w:numPr>
        <w:rPr>
          <w:rFonts w:ascii="Arial" w:cs="Arial" w:eastAsia="Arial" w:hAnsi="Arial"/>
          <w:sz w:val="16"/>
          <w:szCs w:val="16"/>
          <w:color w:val="auto"/>
        </w:rPr>
      </w:pPr>
      <w:r>
        <w:rPr>
          <w:rFonts w:ascii="Arial" w:cs="Arial" w:eastAsia="Arial" w:hAnsi="Arial"/>
          <w:sz w:val="16"/>
          <w:szCs w:val="16"/>
          <w:color w:val="auto"/>
        </w:rPr>
        <w:t>Landlord or the Operator shall have the right to temporarily close the Parking Facilities or certain areas therein in order to perform necessary repairs, maintenance and improvements to the Parking Facilities. Landlord shall use commercially reasonable efforts to return the affected portion of the Parking Facility to its full use as quickly as reasonably possible.</w:t>
      </w:r>
    </w:p>
    <w:p>
      <w:pPr>
        <w:spacing w:after="0" w:line="56" w:lineRule="exact"/>
        <w:rPr>
          <w:rFonts w:ascii="Arial" w:cs="Arial" w:eastAsia="Arial" w:hAnsi="Arial"/>
          <w:sz w:val="16"/>
          <w:szCs w:val="16"/>
          <w:color w:val="auto"/>
        </w:rPr>
      </w:pPr>
    </w:p>
    <w:p>
      <w:pPr>
        <w:ind w:left="1525" w:right="80" w:hanging="535"/>
        <w:spacing w:after="0" w:line="271" w:lineRule="auto"/>
        <w:tabs>
          <w:tab w:leader="none" w:pos="152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Tenant shall not assign, sublease or transfer any of its rights under this Section 1 without the consent of Landlord, other than in connection with a Permitted Transfer pursuant to Article 11 of the Lease.</w:t>
      </w:r>
    </w:p>
    <w:p>
      <w:pPr>
        <w:spacing w:after="0" w:line="80" w:lineRule="exact"/>
        <w:rPr>
          <w:rFonts w:ascii="Arial" w:cs="Arial" w:eastAsia="Arial" w:hAnsi="Arial"/>
          <w:sz w:val="18"/>
          <w:szCs w:val="18"/>
          <w:color w:val="auto"/>
        </w:rPr>
      </w:pPr>
    </w:p>
    <w:p>
      <w:pPr>
        <w:ind w:left="1525" w:right="60" w:hanging="535"/>
        <w:spacing w:after="0" w:line="255" w:lineRule="auto"/>
        <w:tabs>
          <w:tab w:leader="none" w:pos="152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Landlord may elect to provide parking cards or keys to control access to the Parking Facilities. In such event, Landlord shall provide Tenant with one card or key for each Space that Tenant is leasing hereunder, provided that Landlord shall have the right to require Tenant or its employees to place a deposit on such access cards or keys and to pay a fee for any lost or damages cards or keys.</w:t>
      </w:r>
    </w:p>
    <w:p>
      <w:pPr>
        <w:spacing w:after="0" w:line="96" w:lineRule="exact"/>
        <w:rPr>
          <w:rFonts w:ascii="Arial" w:cs="Arial" w:eastAsia="Arial" w:hAnsi="Arial"/>
          <w:sz w:val="18"/>
          <w:szCs w:val="18"/>
          <w:color w:val="auto"/>
        </w:rPr>
      </w:pPr>
    </w:p>
    <w:p>
      <w:pPr>
        <w:ind w:left="545" w:right="80" w:hanging="545"/>
        <w:spacing w:after="0" w:line="286" w:lineRule="auto"/>
        <w:tabs>
          <w:tab w:leader="none" w:pos="545" w:val="left"/>
        </w:tabs>
        <w:numPr>
          <w:ilvl w:val="0"/>
          <w:numId w:val="561"/>
        </w:numPr>
        <w:rPr>
          <w:rFonts w:ascii="Arial" w:cs="Arial" w:eastAsia="Arial" w:hAnsi="Arial"/>
          <w:sz w:val="16"/>
          <w:szCs w:val="16"/>
          <w:color w:val="auto"/>
        </w:rPr>
      </w:pPr>
      <w:r>
        <w:rPr>
          <w:rFonts w:ascii="Arial" w:cs="Arial" w:eastAsia="Arial" w:hAnsi="Arial"/>
          <w:sz w:val="16"/>
          <w:szCs w:val="16"/>
          <w:u w:val="single" w:color="auto"/>
          <w:color w:val="auto"/>
        </w:rPr>
        <w:t>Shuttle Service and Bike Amenities</w:t>
      </w:r>
      <w:r>
        <w:rPr>
          <w:rFonts w:ascii="Arial" w:cs="Arial" w:eastAsia="Arial" w:hAnsi="Arial"/>
          <w:sz w:val="16"/>
          <w:szCs w:val="16"/>
          <w:color w:val="auto"/>
        </w:rPr>
        <w:t>. If and for so long as Landlord, in its discretion, provides the following Building amenities for the shared use of Building occupants (collectively, the “</w:t>
      </w:r>
      <w:r>
        <w:rPr>
          <w:rFonts w:ascii="Arial" w:cs="Arial" w:eastAsia="Arial" w:hAnsi="Arial"/>
          <w:sz w:val="16"/>
          <w:szCs w:val="16"/>
          <w:u w:val="single" w:color="auto"/>
          <w:color w:val="auto"/>
        </w:rPr>
        <w:t>Amenities</w:t>
      </w:r>
      <w:r>
        <w:rPr>
          <w:rFonts w:ascii="Arial" w:cs="Arial" w:eastAsia="Arial" w:hAnsi="Arial"/>
          <w:sz w:val="16"/>
          <w:szCs w:val="16"/>
          <w:color w:val="auto"/>
        </w:rPr>
        <w:t>”): (i) shuttle service between the Building and South Station in Boston (the “</w:t>
      </w:r>
      <w:r>
        <w:rPr>
          <w:rFonts w:ascii="Arial" w:cs="Arial" w:eastAsia="Arial" w:hAnsi="Arial"/>
          <w:sz w:val="16"/>
          <w:szCs w:val="16"/>
          <w:u w:val="single" w:color="auto"/>
          <w:color w:val="auto"/>
        </w:rPr>
        <w:t>Shuttle Service</w:t>
      </w:r>
      <w:r>
        <w:rPr>
          <w:rFonts w:ascii="Arial" w:cs="Arial" w:eastAsia="Arial" w:hAnsi="Arial"/>
          <w:sz w:val="16"/>
          <w:szCs w:val="16"/>
          <w:color w:val="auto"/>
        </w:rPr>
        <w:t>”), (ii) Blue Bike service at the entrance to the Property, and (iii) bike storage racks, Tenant shall have the non-exclusive right to use such Amenities, subject to availability and to any reasonable rules and regulations promulgated by Landlord (including, without limitation, allocation of amenities to various tenants) from time to time with respect thereto and generally applicable to the users thereof of which Tenant is given prior written notice. Landlord shall provide the Shuttle Service for the Building pursuant to a schedule reasonably designated by Landlord. Tenant acknowledges and agrees that the costs and expenses of operating and maintaining the Amenities as applicable shall be included in Expenses. Tenant further acknowledges and agrees that Landlord shall have no obligation to provide or maintain any Amenities; provided, however, that Landlord shall not have the right to</w:t>
      </w:r>
    </w:p>
    <w:p>
      <w:pPr>
        <w:spacing w:after="0" w:line="100" w:lineRule="exact"/>
        <w:rPr>
          <w:sz w:val="20"/>
          <w:szCs w:val="20"/>
          <w:color w:val="auto"/>
        </w:rPr>
      </w:pPr>
    </w:p>
    <w:p>
      <w:pPr>
        <w:jc w:val="center"/>
        <w:ind w:right="395"/>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465"/>
          </w:cols>
          <w:pgMar w:left="915" w:top="271" w:right="519" w:bottom="1440" w:gutter="0" w:footer="0" w:header="0"/>
        </w:sectPr>
      </w:pPr>
    </w:p>
    <w:bookmarkStart w:id="671" w:name="page672"/>
    <w:bookmarkEnd w:id="671"/>
    <w:p>
      <w:pPr>
        <w:ind w:left="98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discontinue the Shuttle Service unless Landlord determines, in its reasonable business judgment, that the Shuttle Service is not being sufficiently used and it would be economically prudent to discontinue the Shuttle Service, in which event Landlord shall give Tenant at least six (6) months’ advance notice of any permanent discontinuance of the Shuttle Service. Tenant also acknowledges and agrees that Landlord shall have the right to relocate the bike storage racks and to make reasonable modifications thereto as determined by Landlord in its reasonable business judgment based on the then usage thereof.</w:t>
      </w:r>
    </w:p>
    <w:p>
      <w:pPr>
        <w:spacing w:after="0" w:line="86" w:lineRule="exact"/>
        <w:rPr>
          <w:sz w:val="20"/>
          <w:szCs w:val="20"/>
          <w:color w:val="auto"/>
        </w:rPr>
      </w:pPr>
    </w:p>
    <w:p>
      <w:pPr>
        <w:ind w:right="40" w:firstLine="444"/>
        <w:spacing w:after="0" w:line="267" w:lineRule="auto"/>
        <w:tabs>
          <w:tab w:leader="none" w:pos="615" w:val="left"/>
        </w:tabs>
        <w:numPr>
          <w:ilvl w:val="0"/>
          <w:numId w:val="562"/>
        </w:numPr>
        <w:rPr>
          <w:rFonts w:ascii="Arial" w:cs="Arial" w:eastAsia="Arial" w:hAnsi="Arial"/>
          <w:sz w:val="17"/>
          <w:szCs w:val="17"/>
          <w:color w:val="auto"/>
        </w:rPr>
      </w:pPr>
      <w:r>
        <w:rPr>
          <w:rFonts w:ascii="Arial" w:cs="Arial" w:eastAsia="Arial" w:hAnsi="Arial"/>
          <w:sz w:val="17"/>
          <w:szCs w:val="17"/>
          <w:u w:val="single" w:color="auto"/>
          <w:color w:val="auto"/>
        </w:rPr>
        <w:t>Extension Option</w:t>
      </w:r>
      <w:r>
        <w:rPr>
          <w:rFonts w:ascii="Arial" w:cs="Arial" w:eastAsia="Arial" w:hAnsi="Arial"/>
          <w:sz w:val="17"/>
          <w:szCs w:val="17"/>
          <w:color w:val="auto"/>
        </w:rPr>
        <w:t>. Tenant shall have the option (the “</w:t>
      </w:r>
      <w:r>
        <w:rPr>
          <w:rFonts w:ascii="Arial" w:cs="Arial" w:eastAsia="Arial" w:hAnsi="Arial"/>
          <w:sz w:val="17"/>
          <w:szCs w:val="17"/>
          <w:u w:val="single" w:color="auto"/>
          <w:color w:val="auto"/>
        </w:rPr>
        <w:t>Extension Option</w:t>
      </w:r>
      <w:r>
        <w:rPr>
          <w:rFonts w:ascii="Arial" w:cs="Arial" w:eastAsia="Arial" w:hAnsi="Arial"/>
          <w:sz w:val="17"/>
          <w:szCs w:val="17"/>
          <w:color w:val="auto"/>
        </w:rPr>
        <w:t>”) to extend the Term for one extension term of three (3) years commencing at the expiration of the initial Term (the “</w:t>
      </w:r>
      <w:r>
        <w:rPr>
          <w:rFonts w:ascii="Arial" w:cs="Arial" w:eastAsia="Arial" w:hAnsi="Arial"/>
          <w:sz w:val="17"/>
          <w:szCs w:val="17"/>
          <w:u w:val="single" w:color="auto"/>
          <w:color w:val="auto"/>
        </w:rPr>
        <w:t>Extension Term</w:t>
      </w:r>
      <w:r>
        <w:rPr>
          <w:rFonts w:ascii="Arial" w:cs="Arial" w:eastAsia="Arial" w:hAnsi="Arial"/>
          <w:sz w:val="17"/>
          <w:szCs w:val="17"/>
          <w:color w:val="auto"/>
        </w:rPr>
        <w:t>”). Any extension of the Term shall be applicable to the entire Premises. If Tenant fails timely to exercise the Extension Option, Tenant shall have no further extension rights hereunder. If Tenant timely exercises the Extension Option as provided below, the Term shall be extended for the Extension Term, and Tenant shall pay Base Rent for the Premises during the Extension Term, in accordance with the terms and conditions of Section 4.02 of the Lease, at a Base Rent rate equal to the Fair Market Rent Rate (as defined below) for the Premises for the Extension Term as determined in accordance with the provisions of this Section set forth below (the “</w:t>
      </w:r>
      <w:r>
        <w:rPr>
          <w:rFonts w:ascii="Arial" w:cs="Arial" w:eastAsia="Arial" w:hAnsi="Arial"/>
          <w:sz w:val="17"/>
          <w:szCs w:val="17"/>
          <w:u w:val="single" w:color="auto"/>
          <w:color w:val="auto"/>
        </w:rPr>
        <w:t>Extension Rent Rate</w:t>
      </w:r>
      <w:r>
        <w:rPr>
          <w:rFonts w:ascii="Arial" w:cs="Arial" w:eastAsia="Arial" w:hAnsi="Arial"/>
          <w:sz w:val="17"/>
          <w:szCs w:val="17"/>
          <w:color w:val="auto"/>
        </w:rPr>
        <w:t>”). Time is of the essence with respect to Tenant’s timely exercise of the Extension Option as provided herein. Any notice exercising the Extension Option must be unconditional and irrevocable in order to be effective. Except as set forth herein, Tenant’s lease of the Premises during the Extension Term shall be on all of the terms and conditions in effect for the Premises immediately prior to such extension, except that Tenant shall have no further option to extend the Term after the end of the Extension Term.</w:t>
      </w:r>
    </w:p>
    <w:p>
      <w:pPr>
        <w:spacing w:after="0" w:line="179"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The procedures for Tenant to exercise the Extension Option, and for the applicable Extension Rent Rate applicable to the Extension Term to be determined, are as follows:</w:t>
      </w:r>
    </w:p>
    <w:p>
      <w:pPr>
        <w:spacing w:after="0" w:line="68" w:lineRule="exact"/>
        <w:rPr>
          <w:sz w:val="20"/>
          <w:szCs w:val="20"/>
          <w:color w:val="auto"/>
        </w:rPr>
      </w:pPr>
    </w:p>
    <w:p>
      <w:pPr>
        <w:ind w:left="680" w:hanging="236"/>
        <w:spacing w:after="0"/>
        <w:tabs>
          <w:tab w:leader="none" w:pos="680" w:val="left"/>
        </w:tabs>
        <w:numPr>
          <w:ilvl w:val="1"/>
          <w:numId w:val="563"/>
        </w:numPr>
        <w:rPr>
          <w:rFonts w:ascii="Arial" w:cs="Arial" w:eastAsia="Arial" w:hAnsi="Arial"/>
          <w:sz w:val="16"/>
          <w:szCs w:val="16"/>
          <w:color w:val="auto"/>
        </w:rPr>
      </w:pPr>
      <w:r>
        <w:rPr>
          <w:rFonts w:ascii="Arial" w:cs="Arial" w:eastAsia="Arial" w:hAnsi="Arial"/>
          <w:sz w:val="16"/>
          <w:szCs w:val="16"/>
          <w:u w:val="single" w:color="auto"/>
          <w:color w:val="auto"/>
        </w:rPr>
        <w:t>Tenant’s Exercise Notice</w:t>
      </w:r>
      <w:r>
        <w:rPr>
          <w:rFonts w:ascii="Arial" w:cs="Arial" w:eastAsia="Arial" w:hAnsi="Arial"/>
          <w:sz w:val="16"/>
          <w:szCs w:val="16"/>
          <w:color w:val="auto"/>
        </w:rPr>
        <w:t>. If Tenant wishes to exercise the Extension Option, Tenant shall so notify Landlord in writing no more than fifteen</w:t>
      </w:r>
    </w:p>
    <w:p>
      <w:pPr>
        <w:spacing w:after="0" w:line="42" w:lineRule="exact"/>
        <w:rPr>
          <w:rFonts w:ascii="Arial" w:cs="Arial" w:eastAsia="Arial" w:hAnsi="Arial"/>
          <w:sz w:val="16"/>
          <w:szCs w:val="16"/>
          <w:color w:val="auto"/>
        </w:rPr>
      </w:pPr>
    </w:p>
    <w:p>
      <w:pPr>
        <w:ind w:right="300" w:firstLine="7"/>
        <w:spacing w:after="0" w:line="285" w:lineRule="auto"/>
        <w:tabs>
          <w:tab w:leader="none" w:pos="342" w:val="left"/>
        </w:tabs>
        <w:numPr>
          <w:ilvl w:val="0"/>
          <w:numId w:val="564"/>
        </w:numPr>
        <w:rPr>
          <w:rFonts w:ascii="Arial" w:cs="Arial" w:eastAsia="Arial" w:hAnsi="Arial"/>
          <w:sz w:val="17"/>
          <w:szCs w:val="17"/>
          <w:color w:val="auto"/>
        </w:rPr>
      </w:pPr>
      <w:r>
        <w:rPr>
          <w:rFonts w:ascii="Arial" w:cs="Arial" w:eastAsia="Arial" w:hAnsi="Arial"/>
          <w:sz w:val="17"/>
          <w:szCs w:val="17"/>
          <w:color w:val="auto"/>
        </w:rPr>
        <w:t>months, and no less than twelve (12) months, prior to the date the initial Term is then scheduled to expire. Failure by Tenant timely to send such written notice under this subparagraph (a) shall constitute an irrevocable waiver of Tenant’s right to extend the Term.</w:t>
      </w:r>
    </w:p>
    <w:p>
      <w:pPr>
        <w:spacing w:after="0" w:line="57" w:lineRule="exact"/>
        <w:rPr>
          <w:rFonts w:ascii="Arial" w:cs="Arial" w:eastAsia="Arial" w:hAnsi="Arial"/>
          <w:sz w:val="17"/>
          <w:szCs w:val="17"/>
          <w:color w:val="auto"/>
        </w:rPr>
      </w:pPr>
    </w:p>
    <w:p>
      <w:pPr>
        <w:ind w:right="100" w:firstLine="444"/>
        <w:spacing w:after="0" w:line="301" w:lineRule="auto"/>
        <w:tabs>
          <w:tab w:leader="none" w:pos="689" w:val="left"/>
        </w:tabs>
        <w:numPr>
          <w:ilvl w:val="1"/>
          <w:numId w:val="564"/>
        </w:numPr>
        <w:rPr>
          <w:rFonts w:ascii="Arial" w:cs="Arial" w:eastAsia="Arial" w:hAnsi="Arial"/>
          <w:sz w:val="17"/>
          <w:szCs w:val="17"/>
          <w:color w:val="auto"/>
        </w:rPr>
      </w:pPr>
      <w:r>
        <w:rPr>
          <w:rFonts w:ascii="Arial" w:cs="Arial" w:eastAsia="Arial" w:hAnsi="Arial"/>
          <w:sz w:val="17"/>
          <w:szCs w:val="17"/>
          <w:u w:val="single" w:color="auto"/>
          <w:color w:val="auto"/>
        </w:rPr>
        <w:t>Landlord’s Response</w:t>
      </w:r>
      <w:r>
        <w:rPr>
          <w:rFonts w:ascii="Arial" w:cs="Arial" w:eastAsia="Arial" w:hAnsi="Arial"/>
          <w:sz w:val="17"/>
          <w:szCs w:val="17"/>
          <w:color w:val="auto"/>
        </w:rPr>
        <w:t>. If Tenant timely delivers a notice under subparagraph (a) above, Landlord shall furnish Tenant with Landlord’s estimate of the Extension Rent Rate for the Extension Term no later than thirty (30) days after Landlord’s receipt of Tenant’s notice.</w:t>
      </w:r>
    </w:p>
    <w:p>
      <w:pPr>
        <w:spacing w:after="0" w:line="44" w:lineRule="exact"/>
        <w:rPr>
          <w:rFonts w:ascii="Arial" w:cs="Arial" w:eastAsia="Arial" w:hAnsi="Arial"/>
          <w:sz w:val="17"/>
          <w:szCs w:val="17"/>
          <w:color w:val="auto"/>
        </w:rPr>
      </w:pPr>
    </w:p>
    <w:p>
      <w:pPr>
        <w:ind w:left="680" w:hanging="236"/>
        <w:spacing w:after="0"/>
        <w:tabs>
          <w:tab w:leader="none" w:pos="680" w:val="left"/>
        </w:tabs>
        <w:numPr>
          <w:ilvl w:val="1"/>
          <w:numId w:val="564"/>
        </w:numPr>
        <w:rPr>
          <w:rFonts w:ascii="Arial" w:cs="Arial" w:eastAsia="Arial" w:hAnsi="Arial"/>
          <w:sz w:val="16"/>
          <w:szCs w:val="16"/>
          <w:color w:val="auto"/>
        </w:rPr>
      </w:pPr>
      <w:r>
        <w:rPr>
          <w:rFonts w:ascii="Arial" w:cs="Arial" w:eastAsia="Arial" w:hAnsi="Arial"/>
          <w:sz w:val="16"/>
          <w:szCs w:val="16"/>
          <w:u w:val="single" w:color="auto"/>
          <w:color w:val="auto"/>
        </w:rPr>
        <w:t>Tenant’s Exercise Notice</w:t>
      </w:r>
      <w:r>
        <w:rPr>
          <w:rFonts w:ascii="Arial" w:cs="Arial" w:eastAsia="Arial" w:hAnsi="Arial"/>
          <w:sz w:val="16"/>
          <w:szCs w:val="16"/>
          <w:color w:val="auto"/>
        </w:rPr>
        <w:t>. If Tenant timely notifies Landlord in writing pursuant to subparagraph (a) above, on or before the date that is ten</w:t>
      </w:r>
    </w:p>
    <w:p>
      <w:pPr>
        <w:spacing w:after="0" w:line="42" w:lineRule="exact"/>
        <w:rPr>
          <w:rFonts w:ascii="Arial" w:cs="Arial" w:eastAsia="Arial" w:hAnsi="Arial"/>
          <w:sz w:val="16"/>
          <w:szCs w:val="16"/>
          <w:color w:val="auto"/>
        </w:rPr>
      </w:pPr>
    </w:p>
    <w:p>
      <w:pPr>
        <w:ind w:firstLine="7"/>
        <w:spacing w:after="0" w:line="250" w:lineRule="auto"/>
        <w:tabs>
          <w:tab w:leader="none" w:pos="342" w:val="left"/>
        </w:tabs>
        <w:numPr>
          <w:ilvl w:val="0"/>
          <w:numId w:val="565"/>
        </w:numPr>
        <w:rPr>
          <w:rFonts w:ascii="Arial" w:cs="Arial" w:eastAsia="Arial" w:hAnsi="Arial"/>
          <w:sz w:val="18"/>
          <w:szCs w:val="18"/>
          <w:color w:val="auto"/>
        </w:rPr>
      </w:pPr>
      <w:r>
        <w:rPr>
          <w:rFonts w:ascii="Arial" w:cs="Arial" w:eastAsia="Arial" w:hAnsi="Arial"/>
          <w:sz w:val="18"/>
          <w:szCs w:val="18"/>
          <w:color w:val="auto"/>
        </w:rPr>
        <w:t>Business Days after Landlord furnishes its estimate of the Extension Rent Rate to Tenant pursuant to subparagraph (b) above, Tenant shall, by written notice delivered to Landlord, either give Landlord a written notice (i) accepting Landlord’s estimate of the Extension Rent Rate for the Extension Term, or (ii) disputing Landlord’s estimate of such applicable Extension Rent Rate, which notice under clause (ii) shall state Tenant’s estimate of the Extension Rent Rate. Failure timely to give a notice disputing Landlord’s estimate of such applicable Extension Rent Rate shall constitute an acceptance of Landlord’s determination of such applicable Extension Rent Rate.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20"/>
          </w:cols>
          <w:pgMar w:left="480" w:top="272" w:right="499" w:bottom="1440" w:gutter="0" w:footer="0" w:header="0"/>
        </w:sectPr>
      </w:pPr>
    </w:p>
    <w:bookmarkStart w:id="672" w:name="page673"/>
    <w:bookmarkEnd w:id="672"/>
    <w:p>
      <w:pPr>
        <w:ind w:left="-7" w:right="80" w:firstLine="444"/>
        <w:spacing w:after="0" w:line="281" w:lineRule="auto"/>
        <w:tabs>
          <w:tab w:leader="none" w:pos="681" w:val="left"/>
        </w:tabs>
        <w:numPr>
          <w:ilvl w:val="1"/>
          <w:numId w:val="5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Confirmatory Instrument</w:t>
      </w:r>
      <w:r>
        <w:rPr>
          <w:rFonts w:ascii="Arial" w:cs="Arial" w:eastAsia="Arial" w:hAnsi="Arial"/>
          <w:sz w:val="17"/>
          <w:szCs w:val="17"/>
          <w:color w:val="auto"/>
        </w:rPr>
        <w:t>. If Tenant shall exercise the Extension Option in accordance with this Section, the provisions of this Section shall be self-operative, but upon request by either party after determination of the Extension Rent Rate for the Extension Term, the parties shall execute an agreement specifying the Extension Rent Rate for the Extension Term and acknowledging the extension of the Term.</w:t>
      </w:r>
    </w:p>
    <w:p>
      <w:pPr>
        <w:spacing w:after="0" w:line="62" w:lineRule="exact"/>
        <w:rPr>
          <w:rFonts w:ascii="Arial" w:cs="Arial" w:eastAsia="Arial" w:hAnsi="Arial"/>
          <w:sz w:val="17"/>
          <w:szCs w:val="17"/>
          <w:color w:val="auto"/>
        </w:rPr>
      </w:pPr>
    </w:p>
    <w:p>
      <w:pPr>
        <w:ind w:left="-7" w:right="100" w:firstLine="444"/>
        <w:spacing w:after="0" w:line="283" w:lineRule="auto"/>
        <w:tabs>
          <w:tab w:leader="none" w:pos="671" w:val="left"/>
        </w:tabs>
        <w:numPr>
          <w:ilvl w:val="1"/>
          <w:numId w:val="566"/>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If Tenant disputes Landlord’s determination of the Extension Rent Rate under subparagraph (c)(ii) above and the dispute over the Extension Rent Rate is not resolved within thirty (30) days after such dispute notice is delivered, then either party may cause the matter of the Fair Market Rent Rate to be submitted to arbitration as set forth below, by giving notice of such submission to the other party. Each of Landlord and Tenant, within twenty (20) days after notice of such submission to arbitration, shall appoint as an arbitrator a commercial real estate broker with at least seven</w:t>
      </w:r>
    </w:p>
    <w:p>
      <w:pPr>
        <w:ind w:left="-7" w:firstLine="7"/>
        <w:spacing w:after="0" w:line="281" w:lineRule="auto"/>
        <w:tabs>
          <w:tab w:leader="none" w:pos="245" w:val="left"/>
        </w:tabs>
        <w:numPr>
          <w:ilvl w:val="0"/>
          <w:numId w:val="567"/>
        </w:numPr>
        <w:rPr>
          <w:rFonts w:ascii="Arial" w:cs="Arial" w:eastAsia="Arial" w:hAnsi="Arial"/>
          <w:sz w:val="16"/>
          <w:szCs w:val="16"/>
          <w:color w:val="auto"/>
        </w:rPr>
      </w:pPr>
      <w:r>
        <w:rPr>
          <w:rFonts w:ascii="Arial" w:cs="Arial" w:eastAsia="Arial" w:hAnsi="Arial"/>
          <w:sz w:val="16"/>
          <w:szCs w:val="16"/>
          <w:color w:val="auto"/>
        </w:rPr>
        <w:t>years’ experience as a broker for first-class office, lab and R&amp;D buildings in the Seaport District, and shall give notice of such appointment to the other party. If either Landlord or Tenant shall fail timely to appoint an arbitrator, the other may apply to the Boston Office of the AAA for appointment of such an arbitrator five (5) Business Days after notice of such failure to the delinquent party if such arbitrator has not then been appointed. The two arbitrators shall, within five (5) Business Days after appointment of the second arbitrator, appoint a third arbitrator who shall be similarly qualified. If the two arbitrators are unable to agree timely on the selection of the third arbitrator, then either arbitrator on behalf of both may request such appointment from the Boston office of the AAA. The arbitration shall be conducted in accordance with the commercial arbitration rules of the AAA insofar as such rules are not inconsistent with the provisions of this Lease (in which case the provisions of this Lease shall govern). The arbitrators shall be charged to reach a majority written decision in accordance with the standards for Fair Market Rent Rate (as defined in subparagraph (f) below), within thirty (30) days after the third arbitrator is appointed, and if the arbitrators are unable to reach such a majority decision, the Fair Market Rent Rate shall be deemed to be the average of the two closest determinations made and simultaneously issued by the three arbitrators. The arbitrators shall have no authority or jurisdiction to make any other determination of such amount. Each party shall bear the costs of its appointed arbitrator; otherwise, the cost of the arbitration (exclusive of each party’s witness and attorneys’ fees, which shall be paid by such party) shall be borne equally by the parties. If the AAA shall cease to provide arbitration for commercial disputes in Boston, the second or third arbitrator, as the case may be, shall be appointed by any successor organization providing substantially the same services, and in the absence of such an organization, by a court of competent jurisdiction under the arbitration act of The Commonwealth of Massachusetts. For any period during which the Extension Rent Rate is in dispute hereunder, Tenant shall make payment on account of Extension Rent Rate at the rate estimated by Landlord as the Extension Rent Rate, and the parties shall adjust for overpayments or underpayments within thirty (30) days after the decision of the arbitrators is announced.</w:t>
      </w:r>
    </w:p>
    <w:p>
      <w:pPr>
        <w:spacing w:after="0" w:line="69" w:lineRule="exact"/>
        <w:rPr>
          <w:rFonts w:ascii="Arial" w:cs="Arial" w:eastAsia="Arial" w:hAnsi="Arial"/>
          <w:sz w:val="16"/>
          <w:szCs w:val="16"/>
          <w:color w:val="auto"/>
        </w:rPr>
      </w:pPr>
    </w:p>
    <w:p>
      <w:pPr>
        <w:ind w:left="-7" w:right="40" w:firstLine="444"/>
        <w:spacing w:after="0" w:line="253" w:lineRule="auto"/>
        <w:tabs>
          <w:tab w:leader="none" w:pos="652" w:val="left"/>
        </w:tabs>
        <w:numPr>
          <w:ilvl w:val="1"/>
          <w:numId w:val="567"/>
        </w:numPr>
        <w:rPr>
          <w:rFonts w:ascii="Arial" w:cs="Arial" w:eastAsia="Arial" w:hAnsi="Arial"/>
          <w:sz w:val="18"/>
          <w:szCs w:val="18"/>
          <w:color w:val="auto"/>
        </w:rPr>
      </w:pPr>
      <w:r>
        <w:rPr>
          <w:rFonts w:ascii="Arial" w:cs="Arial" w:eastAsia="Arial" w:hAnsi="Arial"/>
          <w:sz w:val="18"/>
          <w:szCs w:val="18"/>
          <w:u w:val="single" w:color="auto"/>
          <w:color w:val="auto"/>
        </w:rPr>
        <w:t>Fair Market Rent Rate</w:t>
      </w:r>
      <w:r>
        <w:rPr>
          <w:rFonts w:ascii="Arial" w:cs="Arial" w:eastAsia="Arial" w:hAnsi="Arial"/>
          <w:sz w:val="18"/>
          <w:szCs w:val="18"/>
          <w:color w:val="auto"/>
        </w:rPr>
        <w:t>. The “</w:t>
      </w:r>
      <w:r>
        <w:rPr>
          <w:rFonts w:ascii="Arial" w:cs="Arial" w:eastAsia="Arial" w:hAnsi="Arial"/>
          <w:sz w:val="18"/>
          <w:szCs w:val="18"/>
          <w:u w:val="single" w:color="auto"/>
          <w:color w:val="auto"/>
        </w:rPr>
        <w:t>Fair Market Rent Rate</w:t>
      </w:r>
      <w:r>
        <w:rPr>
          <w:rFonts w:ascii="Arial" w:cs="Arial" w:eastAsia="Arial" w:hAnsi="Arial"/>
          <w:sz w:val="18"/>
          <w:szCs w:val="18"/>
          <w:color w:val="auto"/>
        </w:rPr>
        <w:t>” for the Extension Term shall mean the annual fair market rent per square foot for the Premises, determined for a term coterminous with the Extension Term under the terms of this Lease, as though the Premises were in the condition then existing or in such better condition as such space is required to be maintained hereunder. In making such determination, reference shall be made to lease transactions for comparable office, lab and R&amp;D space in the Building and comparable first-class office, lab and R&amp;D buildings in the Seaport District, and appropriate adjustments to the rent rates in such</w:t>
      </w:r>
    </w:p>
    <w:p>
      <w:pPr>
        <w:spacing w:after="0" w:line="12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893"/>
          </w:cols>
          <w:pgMar w:left="487" w:top="273" w:right="519" w:bottom="1440" w:gutter="0" w:footer="0" w:header="0"/>
        </w:sectPr>
      </w:pPr>
    </w:p>
    <w:bookmarkStart w:id="673" w:name="page674"/>
    <w:bookmarkEnd w:id="673"/>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comparable transactions shall be made for any relevant factors, including, without limitation, the timing of the transaction, the location and condition of the space, the quality of the Building, and any free rent or other tenant concessions. Without limiting the generality of the foregoing adjustments, if the rent rate in a comparable transaction was determined based on a percentage discount to fair market rent, then the amount of such discount shall be disregarded (i.e., added back into the rental rate) for purposes of determining the Fair Market Rent Rate hereunder.</w:t>
      </w:r>
    </w:p>
    <w:p>
      <w:pPr>
        <w:spacing w:after="0" w:line="67" w:lineRule="exact"/>
        <w:rPr>
          <w:sz w:val="20"/>
          <w:szCs w:val="20"/>
          <w:color w:val="auto"/>
        </w:rPr>
      </w:pPr>
    </w:p>
    <w:p>
      <w:pPr>
        <w:ind w:right="40" w:firstLine="444"/>
        <w:spacing w:after="0" w:line="275" w:lineRule="auto"/>
        <w:tabs>
          <w:tab w:leader="none" w:pos="689" w:val="left"/>
        </w:tabs>
        <w:numPr>
          <w:ilvl w:val="0"/>
          <w:numId w:val="56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Notwithstanding any provision of this Section to the contrary, the Extension Option shall be void, at Landlord’s election, if (i) Tenant is in default hereunder, after any applicable notice and cure periods have expired, at the time Tenant elects to extend the Term or at the time the Term would expire but for such extension, or (ii) any Transfer has occurred under Article 11 of the Lease (other than to any Permitted Transferees. including any Shared User that meets the requirements for a Permitted Transferee under this Lease).</w:t>
      </w:r>
    </w:p>
    <w:p>
      <w:pPr>
        <w:spacing w:after="0" w:line="67" w:lineRule="exact"/>
        <w:rPr>
          <w:sz w:val="20"/>
          <w:szCs w:val="20"/>
          <w:color w:val="auto"/>
        </w:rPr>
      </w:pPr>
    </w:p>
    <w:p>
      <w:pPr>
        <w:ind w:left="620" w:hanging="176"/>
        <w:spacing w:after="0"/>
        <w:tabs>
          <w:tab w:leader="none" w:pos="62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114" w:lineRule="exact"/>
        <w:rPr>
          <w:sz w:val="20"/>
          <w:szCs w:val="20"/>
          <w:color w:val="auto"/>
        </w:rPr>
      </w:pPr>
    </w:p>
    <w:p>
      <w:pPr>
        <w:ind w:right="120" w:firstLine="444"/>
        <w:spacing w:after="0" w:line="284" w:lineRule="auto"/>
        <w:tabs>
          <w:tab w:leader="none" w:pos="679"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As used herein, the term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wastes, materials or substances (whether in the form of liquids, solids, aerosols or gases, and whether or not air-borne), specifically including live organisms, viruses and fungi, medical waste and so-called “biohazard” materials, which are or are deemed to be (i) pollutants or contaminants, or which are or are deemed to be hazardous, toxic, ignitable, reactive, corrosive, infectious, dangerous, harmful or injurious, or which present a risk to public health or to the environment, or which are or may become regulated by or under the authority of any applicable local, state (including, without limitation, Chapter 21E of the General Laws of the Commonwealth of Massachusetts and 780 CMR 307) or federal laws, judgments, ordinances, orders, rules, regulations, codes or other governmental restrictions, guidelines or requirements, any amendments or successor(s) thereto, replacements thereof or publications promulgated pursuant thereto, including, without limitation, any such items or substances which are or may become regulated by any of the Environmental, Health and Safety Laws (as hereinafter defined); (ii) listed as a chemical known to the Commonwealth of Massachusetts to cause cancer or reproductive toxicity; or (iii) a pesticide, petroleum, including crude oil or any fraction thereof, asbestos or an asbestos-containing material, a polychlorinated biphenyl, radioactive material, urea formaldehyde, biohazard material, mold, fungus, virus, living organisms or other medical waste.</w:t>
      </w:r>
    </w:p>
    <w:p>
      <w:pPr>
        <w:spacing w:after="0" w:line="65" w:lineRule="exact"/>
        <w:rPr>
          <w:rFonts w:ascii="Arial" w:cs="Arial" w:eastAsia="Arial" w:hAnsi="Arial"/>
          <w:sz w:val="16"/>
          <w:szCs w:val="16"/>
          <w:color w:val="auto"/>
        </w:rPr>
      </w:pPr>
    </w:p>
    <w:p>
      <w:pPr>
        <w:ind w:firstLine="444"/>
        <w:spacing w:after="0" w:line="286" w:lineRule="auto"/>
        <w:tabs>
          <w:tab w:leader="none" w:pos="689"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Environmental, Health and Safety Laws</w:t>
      </w:r>
      <w:r>
        <w:rPr>
          <w:rFonts w:ascii="Arial" w:cs="Arial" w:eastAsia="Arial" w:hAnsi="Arial"/>
          <w:sz w:val="16"/>
          <w:szCs w:val="16"/>
          <w:color w:val="auto"/>
        </w:rPr>
        <w:t>. In addition to the laws referred to in Section 3(a) above, the term “</w:t>
      </w:r>
      <w:r>
        <w:rPr>
          <w:rFonts w:ascii="Arial" w:cs="Arial" w:eastAsia="Arial" w:hAnsi="Arial"/>
          <w:sz w:val="16"/>
          <w:szCs w:val="16"/>
          <w:u w:val="single" w:color="auto"/>
          <w:color w:val="auto"/>
        </w:rPr>
        <w:t>Environmental, Health and Safety</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xml:space="preserve">” shall be deemed to include, without limitation, 33 U.S.C. Section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42 U.S.C. Section 6901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42 U.S.C. Section 7401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42 U.S.C. Section 9601 </w:t>
      </w:r>
      <w:r>
        <w:rPr>
          <w:rFonts w:ascii="Arial" w:cs="Arial" w:eastAsia="Arial" w:hAnsi="Arial"/>
          <w:sz w:val="16"/>
          <w:szCs w:val="16"/>
          <w:u w:val="single" w:color="auto"/>
          <w:color w:val="auto"/>
        </w:rPr>
        <w:t>et seq</w:t>
      </w:r>
      <w:r>
        <w:rPr>
          <w:rFonts w:ascii="Arial" w:cs="Arial" w:eastAsia="Arial" w:hAnsi="Arial"/>
          <w:sz w:val="16"/>
          <w:szCs w:val="16"/>
          <w:color w:val="auto"/>
        </w:rPr>
        <w:t>., the Emergency Planning and Community Right to Know Act (EPCRTKA) 42 U.S.C. § 11001-11050 and all local, state and federal laws, judgments, ordinances, orders, rules, regulations, codes and other governmental restrictions, guidelines and requirements, any amendments and successors thereto, replacements thereof and publications promulgated pursuant thereto, which deal with or otherwise in any manner relate to, Hazardous Materials, air or water quality, air emissions, soil or ground conditions, environmental, health and safety, including, but not limited to, industrial hygiene, soil, water, or environmental conditions or other environmental, health and safety matters of any kind. In addition to the foregoing, Tenant shall comply with all terms, conditions and guidelines contained in all licenses, permits and approvals applicable to Tenant’s laboratory uses and agrees to further acknowledge such agreement to so comply in writing upon request of Landlord.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880"/>
          </w:cols>
          <w:pgMar w:left="480" w:top="272" w:right="539" w:bottom="1440" w:gutter="0" w:footer="0" w:header="0"/>
        </w:sectPr>
      </w:pPr>
    </w:p>
    <w:bookmarkStart w:id="674" w:name="page675"/>
    <w:bookmarkEnd w:id="674"/>
    <w:p>
      <w:pPr>
        <w:ind w:firstLine="444"/>
        <w:spacing w:after="0" w:line="266" w:lineRule="auto"/>
        <w:tabs>
          <w:tab w:leader="none" w:pos="679"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Use of Hazardous Materials; Licenses; Audit Reports</w:t>
      </w:r>
      <w:r>
        <w:rPr>
          <w:rFonts w:ascii="Arial" w:cs="Arial" w:eastAsia="Arial" w:hAnsi="Arial"/>
          <w:sz w:val="17"/>
          <w:szCs w:val="17"/>
          <w:color w:val="auto"/>
        </w:rPr>
        <w:t>. Tenant agrees that during the Term of this Lease, there shall be no use, presence, disposal, storage, generation, leakage, treatment, manufacture, import, handling, processing, release, or threatened release of Hazardous Materials on, from or under the Premises, the Building or the Property by Tenant or any of Tenant’s Parties (individually and collectively, “</w:t>
      </w:r>
      <w:r>
        <w:rPr>
          <w:rFonts w:ascii="Arial" w:cs="Arial" w:eastAsia="Arial" w:hAnsi="Arial"/>
          <w:sz w:val="17"/>
          <w:szCs w:val="17"/>
          <w:u w:val="single" w:color="auto"/>
          <w:color w:val="auto"/>
        </w:rPr>
        <w:t>Hazardous Use</w:t>
      </w:r>
      <w:r>
        <w:rPr>
          <w:rFonts w:ascii="Arial" w:cs="Arial" w:eastAsia="Arial" w:hAnsi="Arial"/>
          <w:sz w:val="17"/>
          <w:szCs w:val="17"/>
          <w:color w:val="auto"/>
        </w:rPr>
        <w:t xml:space="preserve">”) except for Hazardous Materials which are typically used in the operation of offices or laboratories, provided that such Hazardous Materials are stored, used and disposed of in strict compliance with all applicable Environmental, Health and Safety Laws and will all BSL-2 requirements and protocol, and that subject to the provisions of this Section 3(c), the use, storage, handling, processing or generation of any and all Hazardous Materials shall have been approved in writing by Landlord in advance. Tenant represents and warrants that the list attached hereto as </w:t>
      </w:r>
      <w:r>
        <w:rPr>
          <w:rFonts w:ascii="Arial" w:cs="Arial" w:eastAsia="Arial" w:hAnsi="Arial"/>
          <w:sz w:val="17"/>
          <w:szCs w:val="17"/>
          <w:u w:val="single" w:color="auto"/>
          <w:color w:val="auto"/>
        </w:rPr>
        <w:t>Schedule F-2</w:t>
      </w:r>
      <w:r>
        <w:rPr>
          <w:rFonts w:ascii="Arial" w:cs="Arial" w:eastAsia="Arial" w:hAnsi="Arial"/>
          <w:sz w:val="17"/>
          <w:szCs w:val="17"/>
          <w:color w:val="auto"/>
        </w:rPr>
        <w:t xml:space="preserve"> is a complete list of all Hazardous Materials and quantities to be used and stored by Tenant in the Premises as of the Term Commencement Date, which list of Hazardous Materials and quantities is hereby approved by Landlord. Tenant shall not use or permit to exist in the Premises any Hazardous Materials other than those listed on </w:t>
      </w:r>
      <w:r>
        <w:rPr>
          <w:rFonts w:ascii="Arial" w:cs="Arial" w:eastAsia="Arial" w:hAnsi="Arial"/>
          <w:sz w:val="17"/>
          <w:szCs w:val="17"/>
          <w:u w:val="single" w:color="auto"/>
          <w:color w:val="auto"/>
        </w:rPr>
        <w:t>Schedule F-2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Permitted Hazardous Materials and Quantities</w:t>
      </w:r>
      <w:r>
        <w:rPr>
          <w:rFonts w:ascii="Arial" w:cs="Arial" w:eastAsia="Arial" w:hAnsi="Arial"/>
          <w:sz w:val="17"/>
          <w:szCs w:val="17"/>
          <w:color w:val="auto"/>
        </w:rPr>
        <w:t>”); provided, however, that, subject to the following provisions of this Section 3, Tenant may make reasonable adjustments to the types of Hazardous Materials and quantities used or stored in the Premises, as required by Tenant’s business operations, so long as:</w:t>
      </w:r>
    </w:p>
    <w:p>
      <w:pPr>
        <w:spacing w:after="0" w:line="74" w:lineRule="exact"/>
        <w:rPr>
          <w:rFonts w:ascii="Arial" w:cs="Arial" w:eastAsia="Arial" w:hAnsi="Arial"/>
          <w:sz w:val="17"/>
          <w:szCs w:val="17"/>
          <w:color w:val="auto"/>
        </w:rPr>
      </w:pPr>
    </w:p>
    <w:p>
      <w:pPr>
        <w:ind w:right="160" w:firstLine="990"/>
        <w:spacing w:after="0" w:line="259" w:lineRule="auto"/>
        <w:tabs>
          <w:tab w:leader="none" w:pos="1195" w:val="left"/>
        </w:tabs>
        <w:numPr>
          <w:ilvl w:val="1"/>
          <w:numId w:val="571"/>
        </w:numPr>
        <w:rPr>
          <w:rFonts w:ascii="Arial" w:cs="Arial" w:eastAsia="Arial" w:hAnsi="Arial"/>
          <w:sz w:val="18"/>
          <w:szCs w:val="18"/>
          <w:color w:val="auto"/>
        </w:rPr>
      </w:pPr>
      <w:r>
        <w:rPr>
          <w:rFonts w:ascii="Arial" w:cs="Arial" w:eastAsia="Arial" w:hAnsi="Arial"/>
          <w:sz w:val="18"/>
          <w:szCs w:val="18"/>
          <w:color w:val="auto"/>
        </w:rPr>
        <w:t>such types and quantities of Hazardous Materials are materially consistent with the types and quantities of the Permitted Hazardous Materials and Quantities and are necessary to Tenant’s business and are otherwise stored, used and disposed of in strict compliance with all applicable Environmental, Health and Safety Laws; and</w:t>
      </w:r>
    </w:p>
    <w:p>
      <w:pPr>
        <w:spacing w:after="0" w:line="78" w:lineRule="exact"/>
        <w:rPr>
          <w:rFonts w:ascii="Arial" w:cs="Arial" w:eastAsia="Arial" w:hAnsi="Arial"/>
          <w:sz w:val="18"/>
          <w:szCs w:val="18"/>
          <w:color w:val="auto"/>
        </w:rPr>
      </w:pPr>
    </w:p>
    <w:p>
      <w:pPr>
        <w:ind w:right="340" w:firstLine="990"/>
        <w:spacing w:after="0" w:line="259" w:lineRule="auto"/>
        <w:tabs>
          <w:tab w:leader="none" w:pos="1245"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Tenant has obtained and maintains all licenses, permits, registrations and consents required by applicable law (including, without limitation, Environmental, Health and Safety Laws) (collectively, the “</w:t>
      </w:r>
      <w:r>
        <w:rPr>
          <w:rFonts w:ascii="Arial" w:cs="Arial" w:eastAsia="Arial" w:hAnsi="Arial"/>
          <w:sz w:val="18"/>
          <w:szCs w:val="18"/>
          <w:u w:val="single" w:color="auto"/>
          <w:color w:val="auto"/>
        </w:rPr>
        <w:t>Required Permits</w:t>
      </w:r>
      <w:r>
        <w:rPr>
          <w:rFonts w:ascii="Arial" w:cs="Arial" w:eastAsia="Arial" w:hAnsi="Arial"/>
          <w:sz w:val="18"/>
          <w:szCs w:val="18"/>
          <w:color w:val="auto"/>
        </w:rPr>
        <w:t>”) to use or store all such types and quantities of Hazardous Materials in the Premises; and</w:t>
      </w:r>
    </w:p>
    <w:p>
      <w:pPr>
        <w:spacing w:after="0" w:line="78" w:lineRule="exact"/>
        <w:rPr>
          <w:rFonts w:ascii="Arial" w:cs="Arial" w:eastAsia="Arial" w:hAnsi="Arial"/>
          <w:sz w:val="18"/>
          <w:szCs w:val="18"/>
          <w:color w:val="auto"/>
        </w:rPr>
      </w:pPr>
    </w:p>
    <w:p>
      <w:pPr>
        <w:ind w:right="360" w:firstLine="990"/>
        <w:spacing w:after="0" w:line="259" w:lineRule="auto"/>
        <w:tabs>
          <w:tab w:leader="none" w:pos="129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 xml:space="preserve">Within five (5) days after Landlord’s written request, Tenant shall have provided Landlord with a revised, updated </w:t>
      </w:r>
      <w:r>
        <w:rPr>
          <w:rFonts w:ascii="Arial" w:cs="Arial" w:eastAsia="Arial" w:hAnsi="Arial"/>
          <w:sz w:val="18"/>
          <w:szCs w:val="18"/>
          <w:u w:val="single" w:color="auto"/>
          <w:color w:val="auto"/>
        </w:rPr>
        <w:t>Schedule F-2</w:t>
      </w:r>
      <w:r>
        <w:rPr>
          <w:rFonts w:ascii="Arial" w:cs="Arial" w:eastAsia="Arial" w:hAnsi="Arial"/>
          <w:sz w:val="18"/>
          <w:szCs w:val="18"/>
          <w:color w:val="auto"/>
        </w:rPr>
        <w:t xml:space="preserve"> reflecting the reasonable adjustments made by Tenant, and which shall constitute a complete list of all Hazardous Materials and quantities used and stored by Tenant in the Premises as of the date of such revised, updated </w:t>
      </w:r>
      <w:r>
        <w:rPr>
          <w:rFonts w:ascii="Arial" w:cs="Arial" w:eastAsia="Arial" w:hAnsi="Arial"/>
          <w:sz w:val="18"/>
          <w:szCs w:val="18"/>
          <w:u w:val="single" w:color="auto"/>
          <w:color w:val="auto"/>
        </w:rPr>
        <w:t>Schedule F-2</w:t>
      </w:r>
      <w:r>
        <w:rPr>
          <w:rFonts w:ascii="Arial" w:cs="Arial" w:eastAsia="Arial" w:hAnsi="Arial"/>
          <w:sz w:val="18"/>
          <w:szCs w:val="18"/>
          <w:color w:val="auto"/>
        </w:rPr>
        <w:t>.</w:t>
      </w:r>
    </w:p>
    <w:p>
      <w:pPr>
        <w:spacing w:after="0" w:line="186" w:lineRule="exact"/>
        <w:rPr>
          <w:sz w:val="20"/>
          <w:szCs w:val="20"/>
          <w:color w:val="auto"/>
        </w:rPr>
      </w:pPr>
    </w:p>
    <w:p>
      <w:pPr>
        <w:ind w:right="60" w:firstLine="982"/>
        <w:spacing w:after="0" w:line="255" w:lineRule="auto"/>
        <w:rPr>
          <w:sz w:val="20"/>
          <w:szCs w:val="20"/>
          <w:color w:val="auto"/>
        </w:rPr>
      </w:pPr>
      <w:r>
        <w:rPr>
          <w:rFonts w:ascii="Arial" w:cs="Arial" w:eastAsia="Arial" w:hAnsi="Arial"/>
          <w:sz w:val="18"/>
          <w:szCs w:val="18"/>
          <w:color w:val="auto"/>
        </w:rPr>
        <w:t>Notwithstanding the foregoing, under no circumstances shall Tenant use or permit to exist in the Premises, or obtain any license, permit, registration or consent from any local, federal or state governmental agency, authority, commission, board or the like (each, a “</w:t>
      </w:r>
      <w:r>
        <w:rPr>
          <w:rFonts w:ascii="Arial" w:cs="Arial" w:eastAsia="Arial" w:hAnsi="Arial"/>
          <w:sz w:val="18"/>
          <w:szCs w:val="18"/>
          <w:u w:val="single" w:color="auto"/>
          <w:color w:val="auto"/>
        </w:rPr>
        <w:t>Governmental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Authority</w:t>
      </w:r>
      <w:r>
        <w:rPr>
          <w:rFonts w:ascii="Arial" w:cs="Arial" w:eastAsia="Arial" w:hAnsi="Arial"/>
          <w:sz w:val="18"/>
          <w:szCs w:val="18"/>
          <w:color w:val="auto"/>
        </w:rPr>
        <w:t xml:space="preserve">”) permitting Tenant to use or store in the Premises, any of the Hazardous Materials or classes thereof listed and/or identified on </w:t>
      </w:r>
      <w:r>
        <w:rPr>
          <w:rFonts w:ascii="Arial" w:cs="Arial" w:eastAsia="Arial" w:hAnsi="Arial"/>
          <w:sz w:val="18"/>
          <w:szCs w:val="18"/>
          <w:u w:val="single" w:color="auto"/>
          <w:color w:val="auto"/>
        </w:rPr>
        <w:t>Schedule F-3</w:t>
      </w:r>
      <w:r>
        <w:rPr>
          <w:rFonts w:ascii="Arial" w:cs="Arial" w:eastAsia="Arial" w:hAnsi="Arial"/>
          <w:sz w:val="18"/>
          <w:szCs w:val="18"/>
          <w:color w:val="auto"/>
        </w:rPr>
        <w:t xml:space="preserve"> attached hereto.</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880"/>
          </w:cols>
          <w:pgMar w:left="480" w:top="272" w:right="539" w:bottom="1440" w:gutter="0" w:footer="0" w:header="0"/>
        </w:sectPr>
      </w:pPr>
    </w:p>
    <w:bookmarkStart w:id="675" w:name="page676"/>
    <w:bookmarkEnd w:id="675"/>
    <w:p>
      <w:pPr>
        <w:ind w:firstLine="982"/>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promptly provide Landlord upon Landlord’s request with copies of any and all licenses, permits, registrations or consents relating to the use, storage or disposal of Hazardous Materials that are obtained, modified or renewed during the Term. In addition, Tenant shall complete a Hazardous Materials audit checklist, in a form reasonably acceptable to Landlord, at least annually or at sooner intervals upon Landlord’s written request if Landlord has reason to believe that Tenant has violated the provisions of this Section 3 or other provisions of the Lease governing Hazardous Materials. In addition, Tenant shall not permit the imposition of any lien by Governmental Authority or other party to secure payment for damages caused by, or the recovery of any costs or expenses for, the cleanup, remediation, investigation, transportation, disposal, release or threatened release of any Hazardous Material. Tenant also shall provide Landlord with prompt written notice in reasonable detail of (i) any release or threatened release at, on, under or from the Premises, Building or Property by Tenant or one of Tenant’s Parties or of which Tenant becomes aware which would reasonably be expected to exceed reportable quantities or give rise to a violation of any Environmental, Health and Safety Laws, or which could result in a legal obligation to investigate or remediate Hazardous Materials pursuant to, Environmental, Health and Safety Laws or any provisions of this Lease;</w:t>
      </w:r>
    </w:p>
    <w:p>
      <w:pPr>
        <w:spacing w:after="0" w:line="6" w:lineRule="exact"/>
        <w:rPr>
          <w:sz w:val="20"/>
          <w:szCs w:val="20"/>
          <w:color w:val="auto"/>
        </w:rPr>
      </w:pPr>
    </w:p>
    <w:p>
      <w:pPr>
        <w:ind w:right="20" w:firstLine="7"/>
        <w:spacing w:after="0" w:line="270" w:lineRule="auto"/>
        <w:tabs>
          <w:tab w:leader="none" w:pos="262" w:val="left"/>
        </w:tabs>
        <w:numPr>
          <w:ilvl w:val="0"/>
          <w:numId w:val="572"/>
        </w:numPr>
        <w:rPr>
          <w:rFonts w:ascii="Arial" w:cs="Arial" w:eastAsia="Arial" w:hAnsi="Arial"/>
          <w:sz w:val="17"/>
          <w:szCs w:val="17"/>
          <w:color w:val="auto"/>
        </w:rPr>
      </w:pPr>
      <w:r>
        <w:rPr>
          <w:rFonts w:ascii="Arial" w:cs="Arial" w:eastAsia="Arial" w:hAnsi="Arial"/>
          <w:sz w:val="17"/>
          <w:szCs w:val="17"/>
          <w:color w:val="auto"/>
        </w:rPr>
        <w:t>any notice received by Tenant, or of which Tenant has knowledge, from any Governmental Authority in connection with any such release or any violation of Environmental, Health and Safety Laws, or in connection with the presence or alleged presence of any Hazardous Materials at the Premises, Building or Property; or (iii) any incurrence of expense by any Governmental Authority or other party in connection with the assessment, containment, disposal or removal of any Hazardous Materials located at, on, in, or under, or emanating from the Premises.</w:t>
      </w:r>
    </w:p>
    <w:p>
      <w:pPr>
        <w:spacing w:after="0" w:line="177" w:lineRule="exact"/>
        <w:rPr>
          <w:sz w:val="20"/>
          <w:szCs w:val="20"/>
          <w:color w:val="auto"/>
        </w:rPr>
      </w:pPr>
    </w:p>
    <w:p>
      <w:pPr>
        <w:ind w:right="180" w:firstLine="982"/>
        <w:spacing w:after="0" w:line="267" w:lineRule="auto"/>
        <w:rPr>
          <w:sz w:val="20"/>
          <w:szCs w:val="20"/>
          <w:color w:val="auto"/>
        </w:rPr>
      </w:pPr>
      <w:r>
        <w:rPr>
          <w:rFonts w:ascii="Arial" w:cs="Arial" w:eastAsia="Arial" w:hAnsi="Arial"/>
          <w:sz w:val="17"/>
          <w:szCs w:val="17"/>
          <w:color w:val="auto"/>
        </w:rPr>
        <w:t>Within ten (10) Business Days of Landlord’s request from time to time, Tenant shall provide Landlord with an updated list of all Hazardous Materials, including quantifies used and such other information as Landlord may reasonably request, used or stored by Tenant in the Premises or otherwise in the Property. Notwithstanding the foregoing, with respect to any of Tenant’s Hazardous Materials which Tenant does not properly handle, store or dispose of in compliance with all applicable Environmental, Health and Safety Laws, all BSL-2 requirements and protocols, Tenant shall, upon written notice from Landlord, no longer have the right to bring such Hazardous Materials into, or use or store such Hazardous Materials in, the Premises, the Building or the Property until Tenant has demonstrated, to Landlord’s reasonable satisfaction, that Tenant has implemented programs to thereafter properly handle, use, store or dispose of such Hazardous Materials. For the purposes of this Section 3(c), the term Hazardous Use shall include Hazardous Use(s) on, from or under the Premises by Tenant or any of its directors, officers, employees, shareholders, partners, licensees, invitees, agents, contractors or occupants (collectively, “</w:t>
      </w:r>
      <w:r>
        <w:rPr>
          <w:rFonts w:ascii="Arial" w:cs="Arial" w:eastAsia="Arial" w:hAnsi="Arial"/>
          <w:sz w:val="17"/>
          <w:szCs w:val="17"/>
          <w:u w:val="single" w:color="auto"/>
          <w:color w:val="auto"/>
        </w:rPr>
        <w:t>Tenant’s Parties</w:t>
      </w:r>
      <w:r>
        <w:rPr>
          <w:rFonts w:ascii="Arial" w:cs="Arial" w:eastAsia="Arial" w:hAnsi="Arial"/>
          <w:sz w:val="17"/>
          <w:szCs w:val="17"/>
          <w:color w:val="auto"/>
        </w:rPr>
        <w:t>”), whether known or unknown to Tenant, and whether occurring and/or existing during or prior to the commencement of the Term of this Lease.</w:t>
      </w:r>
    </w:p>
    <w:p>
      <w:pPr>
        <w:spacing w:after="0" w:line="72" w:lineRule="exact"/>
        <w:rPr>
          <w:sz w:val="20"/>
          <w:szCs w:val="20"/>
          <w:color w:val="auto"/>
        </w:rPr>
      </w:pPr>
    </w:p>
    <w:p>
      <w:pPr>
        <w:ind w:right="540" w:firstLine="444"/>
        <w:spacing w:after="0" w:line="271" w:lineRule="auto"/>
        <w:tabs>
          <w:tab w:leader="none" w:pos="689" w:val="left"/>
        </w:tabs>
        <w:numPr>
          <w:ilvl w:val="1"/>
          <w:numId w:val="57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During the Term of this Lease, Tenant, at its sole cost and expense, shall comply with, and shall not be in violation of, any Environmental, Health and Safety Laws.</w:t>
      </w:r>
    </w:p>
    <w:p>
      <w:pPr>
        <w:spacing w:after="0" w:line="67" w:lineRule="exact"/>
        <w:rPr>
          <w:rFonts w:ascii="Arial" w:cs="Arial" w:eastAsia="Arial" w:hAnsi="Arial"/>
          <w:sz w:val="18"/>
          <w:szCs w:val="18"/>
          <w:color w:val="auto"/>
        </w:rPr>
      </w:pPr>
    </w:p>
    <w:p>
      <w:pPr>
        <w:ind w:left="680" w:hanging="236"/>
        <w:spacing w:after="0"/>
        <w:tabs>
          <w:tab w:leader="none" w:pos="680" w:val="left"/>
        </w:tabs>
        <w:numPr>
          <w:ilvl w:val="1"/>
          <w:numId w:val="573"/>
        </w:numPr>
        <w:rPr>
          <w:rFonts w:ascii="Arial" w:cs="Arial" w:eastAsia="Arial" w:hAnsi="Arial"/>
          <w:sz w:val="16"/>
          <w:szCs w:val="16"/>
          <w:color w:val="auto"/>
        </w:rPr>
      </w:pPr>
      <w:r>
        <w:rPr>
          <w:rFonts w:ascii="Arial" w:cs="Arial" w:eastAsia="Arial" w:hAnsi="Arial"/>
          <w:sz w:val="16"/>
          <w:szCs w:val="16"/>
          <w:u w:val="single" w:color="auto"/>
          <w:color w:val="auto"/>
        </w:rPr>
        <w:t>Inspection and Testing by Landlord</w:t>
      </w:r>
      <w:r>
        <w:rPr>
          <w:rFonts w:ascii="Arial" w:cs="Arial" w:eastAsia="Arial" w:hAnsi="Arial"/>
          <w:sz w:val="16"/>
          <w:szCs w:val="16"/>
          <w:color w:val="auto"/>
        </w:rPr>
        <w:t>. Landlord shall have the right at all times during the Term of this Lease to (i) inspect the Premises and to</w:t>
      </w:r>
    </w:p>
    <w:p>
      <w:pPr>
        <w:spacing w:after="0" w:line="42" w:lineRule="exact"/>
        <w:rPr>
          <w:rFonts w:ascii="Arial" w:cs="Arial" w:eastAsia="Arial" w:hAnsi="Arial"/>
          <w:sz w:val="16"/>
          <w:szCs w:val="16"/>
          <w:color w:val="auto"/>
        </w:rPr>
      </w:pPr>
    </w:p>
    <w:p>
      <w:pPr>
        <w:ind w:right="240" w:firstLine="7"/>
        <w:spacing w:after="0" w:line="249" w:lineRule="auto"/>
        <w:tabs>
          <w:tab w:leader="none" w:pos="262"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conduct tests and investigations to determine whether Tenant is in compliance with the provisions of this Section. Except in case of emergency, Landlord shall give reasonable notice to Tenant before conducting any such inspections, tests, or investigations. The cost of all such inspections, tests and investigations shall be borne by Landlord, unless it is determined that Tenant is in breach of Section 3 or other provisions of the Lease governing Hazardous Materials, in which case such costs shall be borne by Tenant. Neither any action nor inaction on the part of Landlord pursuant to this Section 3(e) shall be deemed in any way to release Tenant from, or in any way modify or alter, Tenant’s responsibilities, obligations, and/or liabilities incurred pursuant to Section 3 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00"/>
          </w:cols>
          <w:pgMar w:left="480" w:top="272" w:right="519" w:bottom="1440" w:gutter="0" w:footer="0" w:header="0"/>
        </w:sectPr>
      </w:pPr>
    </w:p>
    <w:bookmarkStart w:id="676" w:name="page677"/>
    <w:bookmarkEnd w:id="676"/>
    <w:p>
      <w:pPr>
        <w:ind w:left="-80" w:right="20" w:firstLine="444"/>
        <w:spacing w:after="0" w:line="271" w:lineRule="auto"/>
        <w:tabs>
          <w:tab w:leader="none" w:pos="579"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Decommissioning</w:t>
      </w:r>
      <w:r>
        <w:rPr>
          <w:rFonts w:ascii="Arial" w:cs="Arial" w:eastAsia="Arial" w:hAnsi="Arial"/>
          <w:sz w:val="18"/>
          <w:szCs w:val="18"/>
          <w:color w:val="auto"/>
        </w:rPr>
        <w:t>. On or before the date that Tenant, and anyone claiming by, through or under Tenant, vacates the Premises, and on or before the date that Tenant delivers the Premises to Landlord, Tenant shall, to the reasonable satisfaction of Landlord:</w:t>
      </w:r>
    </w:p>
    <w:p>
      <w:pPr>
        <w:spacing w:after="0" w:line="67" w:lineRule="exact"/>
        <w:rPr>
          <w:rFonts w:ascii="Arial" w:cs="Arial" w:eastAsia="Arial" w:hAnsi="Arial"/>
          <w:sz w:val="18"/>
          <w:szCs w:val="18"/>
          <w:color w:val="auto"/>
        </w:rPr>
      </w:pPr>
    </w:p>
    <w:p>
      <w:pPr>
        <w:ind w:left="360" w:right="20" w:firstLine="947"/>
        <w:spacing w:after="0" w:line="286" w:lineRule="auto"/>
        <w:tabs>
          <w:tab w:leader="none" w:pos="1516" w:val="left"/>
        </w:tabs>
        <w:numPr>
          <w:ilvl w:val="1"/>
          <w:numId w:val="575"/>
        </w:numPr>
        <w:rPr>
          <w:rFonts w:ascii="Arial" w:cs="Arial" w:eastAsia="Arial" w:hAnsi="Arial"/>
          <w:sz w:val="16"/>
          <w:szCs w:val="16"/>
          <w:color w:val="auto"/>
        </w:rPr>
      </w:pPr>
      <w:r>
        <w:rPr>
          <w:rFonts w:ascii="Arial" w:cs="Arial" w:eastAsia="Arial" w:hAnsi="Arial"/>
          <w:sz w:val="16"/>
          <w:szCs w:val="16"/>
          <w:color w:val="auto"/>
        </w:rPr>
        <w:t>cause the Premises to be decommissioned and decontaminated in accordance with the regulations of the U.S. Nuclear Regulatory Commission and/or the Massachusetts Department of Public Health for the control of radiation, cause the Premises to be released for unrestricted use by the Radiation Control Program of the Massachusetts Department of Public Health for the control of radiation, and deliver to Landlord the report of a certified industrial hygienist stating that he or she has examined the Premises (including visual inspection, Geiger counter evaluation and airborne and surface monitoring) and found no evidence of residual radioactive materials, radiation above natural background levels, or violation of any Environmental, Health and Safety Laws; and deliver to Landlord the report of a certified industrial hygienist confirming, in substance, that he or she has examined the Premises (including visual inspection, onsite screening and laboratory analysis) and found no evidence that the Premises contains any Hazardous Materials, no building materials or components have been adversely impacted by Hazardous Materials, or is otherwise in violation of any Environmental, Health and Safety Law;</w:t>
      </w:r>
    </w:p>
    <w:p>
      <w:pPr>
        <w:spacing w:after="0" w:line="59" w:lineRule="exact"/>
        <w:rPr>
          <w:rFonts w:ascii="Arial" w:cs="Arial" w:eastAsia="Arial" w:hAnsi="Arial"/>
          <w:sz w:val="16"/>
          <w:szCs w:val="16"/>
          <w:color w:val="auto"/>
        </w:rPr>
      </w:pPr>
    </w:p>
    <w:p>
      <w:pPr>
        <w:ind w:left="360" w:right="480" w:firstLine="947"/>
        <w:spacing w:after="0" w:line="271" w:lineRule="auto"/>
        <w:tabs>
          <w:tab w:leader="none" w:pos="1565" w:val="left"/>
        </w:tabs>
        <w:numPr>
          <w:ilvl w:val="1"/>
          <w:numId w:val="575"/>
        </w:numPr>
        <w:rPr>
          <w:rFonts w:ascii="Arial" w:cs="Arial" w:eastAsia="Arial" w:hAnsi="Arial"/>
          <w:sz w:val="18"/>
          <w:szCs w:val="18"/>
          <w:color w:val="auto"/>
        </w:rPr>
      </w:pPr>
      <w:r>
        <w:rPr>
          <w:rFonts w:ascii="Arial" w:cs="Arial" w:eastAsia="Arial" w:hAnsi="Arial"/>
          <w:sz w:val="18"/>
          <w:szCs w:val="18"/>
          <w:color w:val="auto"/>
        </w:rPr>
        <w:t xml:space="preserve">provide Landlord with a completed and executed decommissioning checklist in the form of </w:t>
      </w:r>
      <w:r>
        <w:rPr>
          <w:rFonts w:ascii="Arial" w:cs="Arial" w:eastAsia="Arial" w:hAnsi="Arial"/>
          <w:sz w:val="18"/>
          <w:szCs w:val="18"/>
          <w:u w:val="single" w:color="auto"/>
          <w:color w:val="auto"/>
        </w:rPr>
        <w:t>Schedule F-4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Laboratory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Decommissioning Checklist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360" w:right="280" w:firstLine="947"/>
        <w:spacing w:after="0" w:line="297" w:lineRule="auto"/>
        <w:tabs>
          <w:tab w:leader="none" w:pos="1615" w:val="left"/>
        </w:tabs>
        <w:numPr>
          <w:ilvl w:val="1"/>
          <w:numId w:val="575"/>
        </w:numPr>
        <w:rPr>
          <w:rFonts w:ascii="Arial" w:cs="Arial" w:eastAsia="Arial" w:hAnsi="Arial"/>
          <w:sz w:val="16"/>
          <w:szCs w:val="16"/>
          <w:color w:val="auto"/>
        </w:rPr>
      </w:pPr>
      <w:r>
        <w:rPr>
          <w:rFonts w:ascii="Arial" w:cs="Arial" w:eastAsia="Arial" w:hAnsi="Arial"/>
          <w:sz w:val="16"/>
          <w:szCs w:val="16"/>
          <w:color w:val="auto"/>
        </w:rPr>
        <w:t>decommission all laboratory space in and about the Premises, including without limitation, to the extent required to deliver a complete Laboratory Decommissioning Checklist, and otherwise in accordance with applicable Laws, and to the reasonable satisfaction of Landlord (but solely for purposes of Landlord’s compliance with its contractual obligations to other parties, including without limitation, the Ground Lessor and any Mortgagee) and to the satisfaction of any Governmental Authority involved in the closure,</w:t>
      </w:r>
    </w:p>
    <w:p>
      <w:pPr>
        <w:spacing w:after="0" w:line="52" w:lineRule="exact"/>
        <w:rPr>
          <w:rFonts w:ascii="Arial" w:cs="Arial" w:eastAsia="Arial" w:hAnsi="Arial"/>
          <w:sz w:val="16"/>
          <w:szCs w:val="16"/>
          <w:color w:val="auto"/>
        </w:rPr>
      </w:pPr>
    </w:p>
    <w:p>
      <w:pPr>
        <w:ind w:left="1600" w:hanging="293"/>
        <w:spacing w:after="0"/>
        <w:tabs>
          <w:tab w:leader="none" w:pos="1600" w:val="left"/>
        </w:tabs>
        <w:numPr>
          <w:ilvl w:val="1"/>
          <w:numId w:val="575"/>
        </w:numPr>
        <w:rPr>
          <w:rFonts w:ascii="Arial" w:cs="Arial" w:eastAsia="Arial" w:hAnsi="Arial"/>
          <w:sz w:val="16"/>
          <w:szCs w:val="16"/>
          <w:color w:val="auto"/>
        </w:rPr>
      </w:pPr>
      <w:r>
        <w:rPr>
          <w:rFonts w:ascii="Arial" w:cs="Arial" w:eastAsia="Arial" w:hAnsi="Arial"/>
          <w:sz w:val="16"/>
          <w:szCs w:val="16"/>
          <w:color w:val="auto"/>
        </w:rPr>
        <w:t>terminate all licenses, permits, registrations and consents obtained by Tenant for the use or storage of Hazardous Materials at the</w:t>
      </w:r>
    </w:p>
    <w:p>
      <w:pPr>
        <w:spacing w:after="0" w:line="4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101" w:lineRule="exact"/>
        <w:rPr>
          <w:rFonts w:ascii="Arial" w:cs="Arial" w:eastAsia="Arial" w:hAnsi="Arial"/>
          <w:sz w:val="16"/>
          <w:szCs w:val="16"/>
          <w:color w:val="auto"/>
        </w:rPr>
      </w:pPr>
    </w:p>
    <w:p>
      <w:pPr>
        <w:ind w:left="360" w:right="300" w:firstLine="947"/>
        <w:spacing w:after="0" w:line="271" w:lineRule="auto"/>
        <w:tabs>
          <w:tab w:leader="none" w:pos="1555" w:val="left"/>
        </w:tabs>
        <w:numPr>
          <w:ilvl w:val="1"/>
          <w:numId w:val="575"/>
        </w:numPr>
        <w:rPr>
          <w:rFonts w:ascii="Arial" w:cs="Arial" w:eastAsia="Arial" w:hAnsi="Arial"/>
          <w:sz w:val="18"/>
          <w:szCs w:val="18"/>
          <w:color w:val="auto"/>
        </w:rPr>
      </w:pPr>
      <w:r>
        <w:rPr>
          <w:rFonts w:ascii="Arial" w:cs="Arial" w:eastAsia="Arial" w:hAnsi="Arial"/>
          <w:sz w:val="18"/>
          <w:szCs w:val="18"/>
          <w:color w:val="auto"/>
        </w:rPr>
        <w:t>remove from the Premises and dispose of all universal waste, Hazardous Materials stored in the Premises in compliance with applicable Laws (including, without limitation, all Environmental, Health and Safety Laws),</w:t>
      </w:r>
    </w:p>
    <w:p>
      <w:pPr>
        <w:spacing w:after="0" w:line="67" w:lineRule="exact"/>
        <w:rPr>
          <w:rFonts w:ascii="Arial" w:cs="Arial" w:eastAsia="Arial" w:hAnsi="Arial"/>
          <w:sz w:val="18"/>
          <w:szCs w:val="18"/>
          <w:color w:val="auto"/>
        </w:rPr>
      </w:pPr>
    </w:p>
    <w:p>
      <w:pPr>
        <w:ind w:left="1600" w:hanging="293"/>
        <w:spacing w:after="0"/>
        <w:tabs>
          <w:tab w:leader="none" w:pos="160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decontaminate all surfaces and fixed equipment in the Premises,</w:t>
      </w:r>
    </w:p>
    <w:p>
      <w:pPr>
        <w:spacing w:after="0" w:line="113" w:lineRule="exact"/>
        <w:rPr>
          <w:rFonts w:ascii="Arial" w:cs="Arial" w:eastAsia="Arial" w:hAnsi="Arial"/>
          <w:sz w:val="18"/>
          <w:szCs w:val="18"/>
          <w:color w:val="auto"/>
        </w:rPr>
      </w:pPr>
    </w:p>
    <w:p>
      <w:pPr>
        <w:ind w:left="360" w:right="340" w:firstLine="947"/>
        <w:spacing w:after="0" w:line="271" w:lineRule="auto"/>
        <w:tabs>
          <w:tab w:leader="none" w:pos="1654" w:val="left"/>
        </w:tabs>
        <w:numPr>
          <w:ilvl w:val="1"/>
          <w:numId w:val="575"/>
        </w:numPr>
        <w:rPr>
          <w:rFonts w:ascii="Arial" w:cs="Arial" w:eastAsia="Arial" w:hAnsi="Arial"/>
          <w:sz w:val="18"/>
          <w:szCs w:val="18"/>
          <w:color w:val="auto"/>
        </w:rPr>
      </w:pPr>
      <w:r>
        <w:rPr>
          <w:rFonts w:ascii="Arial" w:cs="Arial" w:eastAsia="Arial" w:hAnsi="Arial"/>
          <w:sz w:val="18"/>
          <w:szCs w:val="18"/>
          <w:color w:val="auto"/>
        </w:rPr>
        <w:t>review and remediate and properly dispose of any specific Hazardous Materials that may be associated with any laboratory fixtures used by Tenant in the Premises, 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780"/>
          </w:cols>
          <w:pgMar w:left="560" w:top="272" w:right="559" w:bottom="1440" w:gutter="0" w:footer="0" w:header="0"/>
        </w:sectPr>
      </w:pPr>
    </w:p>
    <w:bookmarkStart w:id="677" w:name="page678"/>
    <w:bookmarkEnd w:id="677"/>
    <w:p>
      <w:pPr>
        <w:ind w:left="420" w:right="180" w:firstLine="947"/>
        <w:spacing w:after="0" w:line="281" w:lineRule="auto"/>
        <w:tabs>
          <w:tab w:leader="none" w:pos="1764" w:val="left"/>
        </w:tabs>
        <w:numPr>
          <w:ilvl w:val="1"/>
          <w:numId w:val="5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provide to Landlord a copy of its most current universal, chemical, radiological and biological waste removal manifests and a certification from Tenant executed by an officer of Tenant that no Hazardous Materials or other potentially dangerous or harmful chemicals brought onto the Premises from and after the date that Tenant first took occupancy of the Premises remain in the Premises.</w:t>
      </w:r>
    </w:p>
    <w:p>
      <w:pPr>
        <w:spacing w:after="0" w:line="62" w:lineRule="exact"/>
        <w:rPr>
          <w:rFonts w:ascii="Arial" w:cs="Arial" w:eastAsia="Arial" w:hAnsi="Arial"/>
          <w:sz w:val="17"/>
          <w:szCs w:val="17"/>
          <w:color w:val="auto"/>
        </w:rPr>
      </w:pPr>
    </w:p>
    <w:p>
      <w:pPr>
        <w:ind w:left="-20" w:firstLine="444"/>
        <w:spacing w:after="0" w:line="284" w:lineRule="auto"/>
        <w:tabs>
          <w:tab w:leader="none" w:pos="66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Tenant Indemnification</w:t>
      </w:r>
      <w:r>
        <w:rPr>
          <w:rFonts w:ascii="Arial" w:cs="Arial" w:eastAsia="Arial" w:hAnsi="Arial"/>
          <w:sz w:val="16"/>
          <w:szCs w:val="16"/>
          <w:color w:val="auto"/>
        </w:rPr>
        <w:t>. Subject to the waiver set forth in Section 13.04 of the Lease, Tenant shall indemnify, hold harmless, and, at Landlord’s option (with such attorneys as Landlord may approve in advance and in writing), defend Landlord and Landlord’s officers, directors, shareholders, partners, members, managers, employees, contractors, property managers, agents and mortgagees and other lien holders, from and against any and all Losses (including without limitation, any costs of cleanup, remediation, removal and restoration) arising from or related to: (a) any violation or alleged violation by Tenant or any of Tenant’s Parties of any of the requirements, ordinances, statutes, regulations or other laws referred to in this Section 3, including, without limitation, the Environmental, Health and Safety Laws; (b) any breach of the provisions of this Section 3 by Tenant or any of Tenant’s Parties; or (c) any Hazardous Use on, about or from the Premises of any Hazardous Material approved by Landlord under this Lease. The indemnification of Landlord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Premises based upon the circumstances identified in the first sentence of this Section 3(g). The indemnification and hold harmless obligations of Tenant under this Section 3(g) shall survive any termination of this Lease.</w:t>
      </w:r>
    </w:p>
    <w:p>
      <w:pPr>
        <w:spacing w:after="0" w:line="65" w:lineRule="exact"/>
        <w:rPr>
          <w:rFonts w:ascii="Arial" w:cs="Arial" w:eastAsia="Arial" w:hAnsi="Arial"/>
          <w:sz w:val="16"/>
          <w:szCs w:val="16"/>
          <w:color w:val="auto"/>
        </w:rPr>
      </w:pPr>
    </w:p>
    <w:p>
      <w:pPr>
        <w:ind w:left="-20" w:right="60" w:firstLine="444"/>
        <w:spacing w:after="0" w:line="253" w:lineRule="auto"/>
        <w:tabs>
          <w:tab w:leader="none" w:pos="66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Landlord Indemnification</w:t>
      </w:r>
      <w:r>
        <w:rPr>
          <w:rFonts w:ascii="Arial" w:cs="Arial" w:eastAsia="Arial" w:hAnsi="Arial"/>
          <w:sz w:val="18"/>
          <w:szCs w:val="18"/>
          <w:color w:val="auto"/>
        </w:rPr>
        <w:t>. If there exists any levels of Hazardous Materials on or about the Premises as of the Term Commencement Date that are in violation of any Environmental, Health and Safety Laws, then Landlord shall be responsible for the remediation of such pre-existing levels of Hazardous Materials, except to the extent such violation was caused or exacerbated by any act, omission or negligence of Tenant or any of the Tenant Parties, and subject to the waiver set forth in Section 13.04 of the Lease, Landlord shall indemnify, defend and hold Tenant harmless from any and all costs related to such remediation.</w:t>
      </w:r>
    </w:p>
    <w:p>
      <w:pPr>
        <w:spacing w:after="0" w:line="86" w:lineRule="exact"/>
        <w:rPr>
          <w:sz w:val="20"/>
          <w:szCs w:val="20"/>
          <w:color w:val="auto"/>
        </w:rPr>
      </w:pPr>
    </w:p>
    <w:p>
      <w:pPr>
        <w:ind w:left="600" w:hanging="176"/>
        <w:spacing w:after="0"/>
        <w:tabs>
          <w:tab w:leader="none" w:pos="600" w:val="left"/>
        </w:tabs>
        <w:numPr>
          <w:ilvl w:val="0"/>
          <w:numId w:val="578"/>
        </w:numPr>
        <w:rPr>
          <w:rFonts w:ascii="Arial" w:cs="Arial" w:eastAsia="Arial" w:hAnsi="Arial"/>
          <w:sz w:val="18"/>
          <w:szCs w:val="18"/>
          <w:color w:val="auto"/>
        </w:rPr>
      </w:pPr>
      <w:r>
        <w:rPr>
          <w:rFonts w:ascii="Arial" w:cs="Arial" w:eastAsia="Arial" w:hAnsi="Arial"/>
          <w:sz w:val="18"/>
          <w:szCs w:val="18"/>
          <w:u w:val="single" w:color="auto"/>
          <w:color w:val="auto"/>
        </w:rPr>
        <w:t>Roof Rights</w:t>
      </w:r>
      <w:r>
        <w:rPr>
          <w:rFonts w:ascii="Arial" w:cs="Arial" w:eastAsia="Arial" w:hAnsi="Arial"/>
          <w:sz w:val="18"/>
          <w:szCs w:val="18"/>
          <w:color w:val="auto"/>
        </w:rPr>
        <w:t>.</w:t>
      </w:r>
    </w:p>
    <w:p>
      <w:pPr>
        <w:spacing w:after="0" w:line="114" w:lineRule="exact"/>
        <w:rPr>
          <w:sz w:val="20"/>
          <w:szCs w:val="20"/>
          <w:color w:val="auto"/>
        </w:rPr>
      </w:pPr>
    </w:p>
    <w:p>
      <w:pPr>
        <w:ind w:left="-20" w:right="60" w:firstLine="444"/>
        <w:spacing w:after="0" w:line="269" w:lineRule="auto"/>
        <w:tabs>
          <w:tab w:leader="none" w:pos="659" w:val="left"/>
        </w:tabs>
        <w:numPr>
          <w:ilvl w:val="0"/>
          <w:numId w:val="579"/>
        </w:numPr>
        <w:rPr>
          <w:rFonts w:ascii="Arial" w:cs="Arial" w:eastAsia="Arial" w:hAnsi="Arial"/>
          <w:sz w:val="17"/>
          <w:szCs w:val="17"/>
          <w:color w:val="auto"/>
        </w:rPr>
      </w:pPr>
      <w:r>
        <w:rPr>
          <w:rFonts w:ascii="Arial" w:cs="Arial" w:eastAsia="Arial" w:hAnsi="Arial"/>
          <w:sz w:val="17"/>
          <w:szCs w:val="17"/>
          <w:color w:val="auto"/>
        </w:rPr>
        <w:t>Subject to availability, any existing encumbrances and the terms and conditions hereof, Tenant shall have the right, at no additional usage or occupancy charge (provided, however, that Tenant shall be responsible for any and all costs and fees incurred in connection with preparing the Roof Area for Tenant’s Roof Equipment, including any removal, relocation or modification of existing equipment or facilities to accommodate Tenant’s Roof Equipment), but otherwise subject to the terms and conditions of this Lease, to use certain surface space on the roof of the Building, in a location designated by Landlord and reasonably acceptable to Tenant (the “</w:t>
      </w:r>
      <w:r>
        <w:rPr>
          <w:rFonts w:ascii="Arial" w:cs="Arial" w:eastAsia="Arial" w:hAnsi="Arial"/>
          <w:sz w:val="17"/>
          <w:szCs w:val="17"/>
          <w:u w:val="single" w:color="auto"/>
          <w:color w:val="auto"/>
        </w:rPr>
        <w:t>Roof Area</w:t>
      </w:r>
      <w:r>
        <w:rPr>
          <w:rFonts w:ascii="Arial" w:cs="Arial" w:eastAsia="Arial" w:hAnsi="Arial"/>
          <w:sz w:val="17"/>
          <w:szCs w:val="17"/>
          <w:color w:val="auto"/>
        </w:rPr>
        <w:t>”), for the purpose of installing (in accordance with Article 8), operating and maintaining telecommunications equipment, supplemental backup power devices and supplemental HVAC devices (collectively, the “</w:t>
      </w:r>
      <w:r>
        <w:rPr>
          <w:rFonts w:ascii="Arial" w:cs="Arial" w:eastAsia="Arial" w:hAnsi="Arial"/>
          <w:sz w:val="17"/>
          <w:szCs w:val="17"/>
          <w:u w:val="single" w:color="auto"/>
          <w:color w:val="auto"/>
        </w:rPr>
        <w:t>Tenant’s Roof</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Equipment</w:t>
      </w:r>
      <w:r>
        <w:rPr>
          <w:rFonts w:ascii="Arial" w:cs="Arial" w:eastAsia="Arial" w:hAnsi="Arial"/>
          <w:sz w:val="17"/>
          <w:szCs w:val="17"/>
          <w:color w:val="auto"/>
        </w:rPr>
        <w:t>”) approved by Landlord.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900"/>
          </w:cols>
          <w:pgMar w:left="500" w:top="272" w:right="499" w:bottom="1440" w:gutter="0" w:footer="0" w:header="0"/>
        </w:sectPr>
      </w:pPr>
    </w:p>
    <w:bookmarkStart w:id="678" w:name="page679"/>
    <w:bookmarkEnd w:id="678"/>
    <w:p>
      <w:pPr>
        <w:ind w:right="40" w:firstLine="444"/>
        <w:spacing w:after="0" w:line="267" w:lineRule="auto"/>
        <w:tabs>
          <w:tab w:leader="none" w:pos="689" w:val="left"/>
        </w:tabs>
        <w:numPr>
          <w:ilvl w:val="0"/>
          <w:numId w:val="5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install Tenant’s Roof Equipment at its sole cost and expense, at such times and in such manner as Landlord may reasonably designate and in accordance with all of the provisions of this Lease, including without limitation Article 8. Tenant shall not install or operate Tenant’s Roof Equipment until it receives prior written approval of the plans for such work (including the manner in which the Tenant’s Roof Equipment are attached to the roof of the Building and the manner in which any cables are run to and from the Tenant’s Roof Equipment) in accordance with Article 8. Landlord may withhold approval if the installation or operation of Tenant’s Roof Equipment reasonably would be expected to damage the Base Building. Tenant shall be solely responsible for obtaining all necessary governmental and regulatory approvals and for the cost of installing, operating, maintaining and removing the Tenant’s Roof Equipment. In addition, if required by any governmental approvals or if at any time Landlord, in its reasonable discretion deems it necessary, Tenant shall provide and install, at Tenant’s sole cost and expense, appropriate aesthetic screening, reasonably satisfactory to Landlord, for the Tenant’s Roof Equipment.</w:t>
      </w:r>
    </w:p>
    <w:p>
      <w:pPr>
        <w:spacing w:after="0" w:line="183" w:lineRule="exact"/>
        <w:rPr>
          <w:sz w:val="20"/>
          <w:szCs w:val="20"/>
          <w:color w:val="auto"/>
        </w:rPr>
      </w:pPr>
    </w:p>
    <w:p>
      <w:pPr>
        <w:ind w:right="80" w:firstLine="982"/>
        <w:spacing w:after="0" w:line="268" w:lineRule="auto"/>
        <w:rPr>
          <w:sz w:val="20"/>
          <w:szCs w:val="20"/>
          <w:color w:val="auto"/>
        </w:rPr>
      </w:pPr>
      <w:r>
        <w:rPr>
          <w:rFonts w:ascii="Arial" w:cs="Arial" w:eastAsia="Arial" w:hAnsi="Arial"/>
          <w:sz w:val="17"/>
          <w:szCs w:val="17"/>
          <w:color w:val="auto"/>
        </w:rPr>
        <w:t>Tenant shall engage Landlord’s roofer before beginning any rooftop installations or repairs of Tenant’s Roof Equipment, whether under this Section 4 or otherwise, and shall always comply with any roof warranty governing the protection of the roof and modifications to the roof. Tenant shall use reasonable efforts to obtain a letter from Landlord’s roofer following completion of such work stating that the roof warranty remains in effect, if applicable. Tenant, at its sole cost and expense, shall inspect the Roof Area periodically and correct any loose bolts, fittings or other appurtenances and shall repair any damage to the roof caused by the installation or operation of Tenant’s Roof Equipment. Tenant shall pay Landlord following a written request and invoice therefor, within thirty (30) days after receipt of such invoice, (i) all applicable taxes or governmental charges, fees, or impositions imposed on Landlord because of Tenant’s use of the Roof Area and (ii) the amount of any increase in Landlord’s insurance premiums as a result of the installation of Tenant’s Roof Equipment.</w:t>
      </w:r>
    </w:p>
    <w:p>
      <w:pPr>
        <w:spacing w:after="0" w:line="73" w:lineRule="exact"/>
        <w:rPr>
          <w:sz w:val="20"/>
          <w:szCs w:val="20"/>
          <w:color w:val="auto"/>
        </w:rPr>
      </w:pPr>
    </w:p>
    <w:p>
      <w:pPr>
        <w:ind w:firstLine="444"/>
        <w:spacing w:after="0" w:line="267" w:lineRule="auto"/>
        <w:tabs>
          <w:tab w:leader="none" w:pos="679"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Tenant agrees that the installation, operation and removal of Tenant’s Roof Equipment shall be at its sole risk. Subject to the waiver set forth in Section 13.04 of the Lease and except to the extent caused by the negligence or willful misconduct of Landlord or any Landlord Related Parties, Tenant shall indemnify and defend Landlord and the Landlord Related Parties against any liability, claim or cost, including reasonable attorneys’ fees, incurred in connection with the loss of life, personal injury, damage to property or business or any other loss or injury (except to the extent due to the negligence or willful misconduct of Landlord or a Landlord Related Party) arising out of the installation, use, operation, or removal of Tenant’s Roof Equipment by Tenant or its employees, agents, contractors, or invitees, including any liability arising out of Tenant’s violation of this Section 4. Landlord assumes no responsibility for interference in the operation of Tenant’s Roof Equipment caused by other tenants’ equipment, or for interference in the operation of other tenants’ equipment caused by Tenant’s Roof Equipment. The provisions of this Section 4 shall survive the expiration or earlier termination of this Lease.</w:t>
      </w:r>
    </w:p>
    <w:p>
      <w:pPr>
        <w:spacing w:after="0" w:line="75" w:lineRule="exact"/>
        <w:rPr>
          <w:rFonts w:ascii="Arial" w:cs="Arial" w:eastAsia="Arial" w:hAnsi="Arial"/>
          <w:sz w:val="17"/>
          <w:szCs w:val="17"/>
          <w:color w:val="auto"/>
        </w:rPr>
      </w:pPr>
    </w:p>
    <w:p>
      <w:pPr>
        <w:jc w:val="both"/>
        <w:ind w:right="180" w:firstLine="444"/>
        <w:spacing w:after="0" w:line="307" w:lineRule="auto"/>
        <w:tabs>
          <w:tab w:leader="none" w:pos="689" w:val="left"/>
        </w:tabs>
        <w:numPr>
          <w:ilvl w:val="0"/>
          <w:numId w:val="581"/>
        </w:numPr>
        <w:rPr>
          <w:rFonts w:ascii="Arial" w:cs="Arial" w:eastAsia="Arial" w:hAnsi="Arial"/>
          <w:sz w:val="16"/>
          <w:szCs w:val="16"/>
          <w:color w:val="auto"/>
        </w:rPr>
      </w:pPr>
      <w:r>
        <w:rPr>
          <w:rFonts w:ascii="Arial" w:cs="Arial" w:eastAsia="Arial" w:hAnsi="Arial"/>
          <w:sz w:val="16"/>
          <w:szCs w:val="16"/>
          <w:color w:val="auto"/>
        </w:rPr>
        <w:t>Upon the expiration or earlier termination of the Lease, Tenant, at its sole cost and expense, shall (i) remove Tenant’s Roof Equipment from the Roof Area in accordance with the provisions of this Lease and (ii) repair any damage caused by such removal. If Tenant does not remove Tenant’s Roof Equipment when so required, Landlord may remove and dispose of it and charge Tenant for all costs and expenses incurred.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880"/>
          </w:cols>
          <w:pgMar w:left="480" w:top="272" w:right="539" w:bottom="1440" w:gutter="0" w:footer="0" w:header="0"/>
        </w:sectPr>
      </w:pPr>
    </w:p>
    <w:bookmarkStart w:id="679" w:name="page680"/>
    <w:bookmarkEnd w:id="679"/>
    <w:p>
      <w:pPr>
        <w:ind w:firstLine="444"/>
        <w:spacing w:after="0" w:line="286" w:lineRule="auto"/>
        <w:tabs>
          <w:tab w:leader="none" w:pos="679" w:val="left"/>
        </w:tabs>
        <w:numPr>
          <w:ilvl w:val="0"/>
          <w:numId w:val="5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 is understood and agreed that the installation, maintenance, operation and removal of the Tenant’s Roof Equipment and aesthetic screening, if any, is not permitted to damage the Building or the roof thereof, nor interfere with the use of the Building and roof by Landlord. Tenant shall be responsible for any damage to the roof or any other part of the Building caused by Tenant or any of its agents, contractors or representatives in the exercise of Tenant’s rights under this Section 4. If Tenant’s Roof Equipment (i) causes physical damage to the Base Building, (ii) materially interferes with any telecommunications, mechanical or other systems located at or servicing the Building, or (iii) interferes with any other service provided to other tenants in the Building, in each case in excess of that permissible under F.C.C. or other regulations (to the extent that such regulations apply and do not require such tenants or those providing such services to correct such interference or damage), Tenant shall within ten (10) Business Days of notice of a claim of interference or damage cooperate with Landlord or any other tenant or third party making such claim to determine the source of the damage or interference and effect a prompt solution at Tenant’s expense (if Tenant’s Roof Equipment caused such interference or damage).</w:t>
      </w:r>
    </w:p>
    <w:p>
      <w:pPr>
        <w:spacing w:after="0" w:line="167" w:lineRule="exact"/>
        <w:rPr>
          <w:sz w:val="20"/>
          <w:szCs w:val="20"/>
          <w:color w:val="auto"/>
        </w:rPr>
      </w:pPr>
    </w:p>
    <w:p>
      <w:pPr>
        <w:ind w:right="160" w:firstLine="982"/>
        <w:spacing w:after="0" w:line="272" w:lineRule="auto"/>
        <w:rPr>
          <w:sz w:val="20"/>
          <w:szCs w:val="20"/>
          <w:color w:val="auto"/>
        </w:rPr>
      </w:pPr>
      <w:r>
        <w:rPr>
          <w:rFonts w:ascii="Arial" w:cs="Arial" w:eastAsia="Arial" w:hAnsi="Arial"/>
          <w:sz w:val="17"/>
          <w:szCs w:val="17"/>
          <w:color w:val="auto"/>
        </w:rPr>
        <w:t>In the event Tenant disputes in good faith Landlord’s allegation that Tenant’s Roof Equipment is causing a problem with the Building (including, but not limited to, the electrical, HVAC, and mechanical systems of the Building) and/or any other Building tenants’ equipment in the Building, in writing delivered within ten (10) Business Days of receiving Landlord’s notice claiming such interference, then Landlord and Tenant shall meet to discuss a solution, and if within seven (7) days of their initial meeting Landlord and Tenant are unable to resolve the dispute, then the matter shall be submitted to arbitration in accordance with the provisions set forth below.</w:t>
      </w:r>
    </w:p>
    <w:p>
      <w:pPr>
        <w:spacing w:after="0" w:line="176" w:lineRule="exact"/>
        <w:rPr>
          <w:sz w:val="20"/>
          <w:szCs w:val="20"/>
          <w:color w:val="auto"/>
        </w:rPr>
      </w:pPr>
    </w:p>
    <w:p>
      <w:pPr>
        <w:jc w:val="both"/>
        <w:ind w:right="200" w:firstLine="982"/>
        <w:spacing w:after="0" w:line="259" w:lineRule="auto"/>
        <w:rPr>
          <w:sz w:val="20"/>
          <w:szCs w:val="20"/>
          <w:color w:val="auto"/>
        </w:rPr>
      </w:pPr>
      <w:r>
        <w:rPr>
          <w:rFonts w:ascii="Arial" w:cs="Arial" w:eastAsia="Arial" w:hAnsi="Arial"/>
          <w:sz w:val="18"/>
          <w:szCs w:val="18"/>
          <w:color w:val="auto"/>
        </w:rPr>
        <w:t>The parties shall direct the Boston office of the AAA to appoint an arbitrator who shall have a minimum of ten (10) years’ experience in commercial real estate disputes and who shall not be affiliated with either Landlord or Tenant. Both Landlord and Tenant shall have the opportunity to present evidence and outside consultants to the arbitrator.</w:t>
      </w:r>
    </w:p>
    <w:p>
      <w:pPr>
        <w:spacing w:after="0" w:line="186" w:lineRule="exact"/>
        <w:rPr>
          <w:sz w:val="20"/>
          <w:szCs w:val="20"/>
          <w:color w:val="auto"/>
        </w:rPr>
      </w:pPr>
    </w:p>
    <w:p>
      <w:pPr>
        <w:ind w:right="100" w:firstLine="982"/>
        <w:spacing w:after="0" w:line="281" w:lineRule="auto"/>
        <w:rPr>
          <w:sz w:val="20"/>
          <w:szCs w:val="20"/>
          <w:color w:val="auto"/>
        </w:rPr>
      </w:pPr>
      <w:r>
        <w:rPr>
          <w:rFonts w:ascii="Arial" w:cs="Arial" w:eastAsia="Arial" w:hAnsi="Arial"/>
          <w:sz w:val="17"/>
          <w:szCs w:val="17"/>
          <w:color w:val="auto"/>
        </w:rPr>
        <w:t>The arbitration shall be conducted in accordance with the commercial real estate arbitration rules of the AAA insofar as such rules are not inconsistent with the provisions of this Lease (in which case the provisions of this Lease shall govern). The cost of the arbitration (exclusive of each party’s witness and reasonable attorneys’ fees, which shall be paid by such party) shall be borne equally by the parties.</w:t>
      </w:r>
    </w:p>
    <w:p>
      <w:pPr>
        <w:spacing w:after="0" w:line="169" w:lineRule="exact"/>
        <w:rPr>
          <w:sz w:val="20"/>
          <w:szCs w:val="20"/>
          <w:color w:val="auto"/>
        </w:rPr>
      </w:pPr>
    </w:p>
    <w:p>
      <w:pPr>
        <w:ind w:right="40" w:firstLine="982"/>
        <w:spacing w:after="0" w:line="251" w:lineRule="auto"/>
        <w:rPr>
          <w:sz w:val="20"/>
          <w:szCs w:val="20"/>
          <w:color w:val="auto"/>
        </w:rPr>
      </w:pPr>
      <w:r>
        <w:rPr>
          <w:rFonts w:ascii="Arial" w:cs="Arial" w:eastAsia="Arial" w:hAnsi="Arial"/>
          <w:sz w:val="18"/>
          <w:szCs w:val="18"/>
          <w:color w:val="auto"/>
        </w:rPr>
        <w:t>Within ten (10) days of appointment, the arbitrator shall determine whether or not Tenant’s Roof Equipment is causing a problem with the Building and/or any other Building tenants’ equipment in the Building, and the appropriate resolution, if any. The arbitrator’s decision shall be final and binding on the parties. If Tenant shall fail to implement the arbitrator’s decision within ten (10) days after it is issued (provided, however, if Tenant cannot reasonably complete the implementation of such required actions within such ten-(10)-day period, Tenant shall be allowed additional time as is reasonably necessary to cure such failure so long as Tenant begins the cure within such ten-(10)-day period and diligently pursues the cure to completion), Landlord may at any time thereafter (i) declare a Default and/or (ii) relocate the item(s) of Tenant’s Roof Equipment in dispute in a manner consistent with the arbitral decision.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920"/>
          </w:cols>
          <w:pgMar w:left="480" w:top="273" w:right="499" w:bottom="1440" w:gutter="0" w:footer="0" w:header="0"/>
        </w:sectPr>
      </w:pPr>
    </w:p>
    <w:bookmarkStart w:id="680" w:name="page681"/>
    <w:bookmarkEnd w:id="680"/>
    <w:p>
      <w:pPr>
        <w:ind w:right="100" w:firstLine="444"/>
        <w:spacing w:after="0" w:line="251" w:lineRule="auto"/>
        <w:tabs>
          <w:tab w:leader="none" w:pos="659" w:val="left"/>
        </w:tabs>
        <w:numPr>
          <w:ilvl w:val="0"/>
          <w:numId w:val="5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Based on Landlord’s good faith determination that such a relocation is necessary, Landlord reserves the right to cause Tenant to relocate Tenant’s Roof Equipment located on the roof to comparably functional space on the roof by giving Tenant prior notice of such intention to relocate. Landlord agrees to pay the reasonable cost of moving Tenant’s Roof Equipment to such other space, taking such other steps necessary to ensure comparable functionality of Tenant’s Roof Equipment, and finishing such space to a condition comparable to the then condition of the current location of Tenant’s Roof Equipment. Tenant shall arrange for the relocation of Tenant’s Roof Equipment within ninety (90) days after Landlord’s notice. In the event Tenant fails to arrange for said relocation within the ninety (90) day period, Landlord shall have the right to arrange for the relocation of Tenant’s Roof Equipment at Landlord’s expense.</w:t>
      </w:r>
    </w:p>
    <w:p>
      <w:pPr>
        <w:spacing w:after="0" w:line="89" w:lineRule="exact"/>
        <w:rPr>
          <w:rFonts w:ascii="Arial" w:cs="Arial" w:eastAsia="Arial" w:hAnsi="Arial"/>
          <w:sz w:val="18"/>
          <w:szCs w:val="18"/>
          <w:color w:val="auto"/>
        </w:rPr>
      </w:pPr>
    </w:p>
    <w:p>
      <w:pPr>
        <w:ind w:right="260" w:firstLine="444"/>
        <w:spacing w:after="0" w:line="270" w:lineRule="auto"/>
        <w:tabs>
          <w:tab w:leader="none" w:pos="68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Tenant agrees that if Landlord makes or plans to make any repairs, alterations, modifications, additions or improvements to the Building (including any repairs or replacement of the roof, other components of the Base Building) that will require an adjustment or modification to the Roof Area or temporary removal of the Tenant’s Roof Equipment in order to perform such work, Landlord shall be responsible, at Landlord’s cost, for the temporary removal and storage of such Tenant’s Roof Equipment and any re-installation thereof in the Roof Area after completion of such work by Landlord. Landlord shall give Tenant at least ninety (90) days’ prior written notice of any request for such removal of the Tenant’s Roof Equipment, except in cases of emergency for which no prior written notice shall be required.</w:t>
      </w:r>
    </w:p>
    <w:p>
      <w:pPr>
        <w:spacing w:after="0" w:line="71" w:lineRule="exact"/>
        <w:rPr>
          <w:rFonts w:ascii="Arial" w:cs="Arial" w:eastAsia="Arial" w:hAnsi="Arial"/>
          <w:sz w:val="17"/>
          <w:szCs w:val="17"/>
          <w:color w:val="auto"/>
        </w:rPr>
      </w:pPr>
    </w:p>
    <w:p>
      <w:pPr>
        <w:ind w:firstLine="444"/>
        <w:spacing w:after="0" w:line="270" w:lineRule="auto"/>
        <w:tabs>
          <w:tab w:leader="none" w:pos="68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Tenant’s Roof Equipment may be used only in direct support of Tenant’s operations at the Premises, and Tenant shall not be permitted to license or grant other parties the right to use the same, nor shall Tenant allow its service providers to use the Roof Area and/or Tenant’s Roof Equipment to provide services to any other party, or to facilitate the provision of services by any other service provider. Landlord hereby reserves the right to grant roof rights to other tenants or telecommunications service providers from time to time. Tenant shall also cooperate with any uniformly applied reasonable rooftop management policy and any telecommunications management policy which Landlord may implement for the Building of which Tenant is given prior written notice.</w:t>
      </w:r>
    </w:p>
    <w:p>
      <w:pPr>
        <w:spacing w:after="0" w:line="178"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Tenant’s rights under this Section 4 are personal to the original Tenant and any Permitted Transferees (including any Shared User that meets the requirements for a Permitted Transferee under this Lease).</w:t>
      </w:r>
    </w:p>
    <w:p>
      <w:pPr>
        <w:spacing w:after="0" w:line="68" w:lineRule="exact"/>
        <w:rPr>
          <w:sz w:val="20"/>
          <w:szCs w:val="20"/>
          <w:color w:val="auto"/>
        </w:rPr>
      </w:pPr>
    </w:p>
    <w:p>
      <w:pPr>
        <w:ind w:left="620" w:hanging="176"/>
        <w:spacing w:after="0"/>
        <w:tabs>
          <w:tab w:leader="none" w:pos="620"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Shared Generator</w:t>
      </w:r>
      <w:r>
        <w:rPr>
          <w:rFonts w:ascii="Arial" w:cs="Arial" w:eastAsia="Arial" w:hAnsi="Arial"/>
          <w:sz w:val="18"/>
          <w:szCs w:val="18"/>
          <w:color w:val="auto"/>
        </w:rPr>
        <w:t>.</w:t>
      </w:r>
    </w:p>
    <w:p>
      <w:pPr>
        <w:spacing w:after="0" w:line="114" w:lineRule="exact"/>
        <w:rPr>
          <w:sz w:val="20"/>
          <w:szCs w:val="20"/>
          <w:color w:val="auto"/>
        </w:rPr>
      </w:pPr>
    </w:p>
    <w:p>
      <w:pPr>
        <w:ind w:right="180" w:firstLine="444"/>
        <w:spacing w:after="0" w:line="287" w:lineRule="auto"/>
        <w:tabs>
          <w:tab w:leader="none" w:pos="679" w:val="left"/>
        </w:tabs>
        <w:numPr>
          <w:ilvl w:val="0"/>
          <w:numId w:val="585"/>
        </w:numPr>
        <w:rPr>
          <w:rFonts w:ascii="Arial" w:cs="Arial" w:eastAsia="Arial" w:hAnsi="Arial"/>
          <w:sz w:val="16"/>
          <w:szCs w:val="16"/>
          <w:color w:val="auto"/>
        </w:rPr>
      </w:pPr>
      <w:r>
        <w:rPr>
          <w:rFonts w:ascii="Arial" w:cs="Arial" w:eastAsia="Arial" w:hAnsi="Arial"/>
          <w:sz w:val="16"/>
          <w:szCs w:val="16"/>
          <w:color w:val="auto"/>
        </w:rPr>
        <w:t>Landlord shall install, at its sole cost and expense, as part of the Base Building Work, a new multi-tenant emergency generator (the “</w:t>
      </w:r>
      <w:r>
        <w:rPr>
          <w:rFonts w:ascii="Arial" w:cs="Arial" w:eastAsia="Arial" w:hAnsi="Arial"/>
          <w:sz w:val="16"/>
          <w:szCs w:val="16"/>
          <w:u w:val="single" w:color="auto"/>
          <w:color w:val="auto"/>
        </w:rPr>
        <w:t>Shared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Generator</w:t>
      </w:r>
      <w:r>
        <w:rPr>
          <w:rFonts w:ascii="Arial" w:cs="Arial" w:eastAsia="Arial" w:hAnsi="Arial"/>
          <w:sz w:val="16"/>
          <w:szCs w:val="16"/>
          <w:color w:val="auto"/>
        </w:rPr>
        <w:t>”) for the non-exclusive use of the tenants and other occupants of the first (1</w:t>
      </w:r>
      <w:r>
        <w:rPr>
          <w:rFonts w:ascii="Arial" w:cs="Arial" w:eastAsia="Arial" w:hAnsi="Arial"/>
          <w:sz w:val="13"/>
          <w:szCs w:val="13"/>
          <w:color w:val="auto"/>
        </w:rPr>
        <w:t>st</w:t>
      </w:r>
      <w:r>
        <w:rPr>
          <w:rFonts w:ascii="Arial" w:cs="Arial" w:eastAsia="Arial" w:hAnsi="Arial"/>
          <w:sz w:val="16"/>
          <w:szCs w:val="16"/>
          <w:color w:val="auto"/>
        </w:rPr>
        <w:t>) floor of the Building (collectively, the “</w:t>
      </w:r>
      <w:r>
        <w:rPr>
          <w:rFonts w:ascii="Arial" w:cs="Arial" w:eastAsia="Arial" w:hAnsi="Arial"/>
          <w:sz w:val="16"/>
          <w:szCs w:val="16"/>
          <w:u w:val="single" w:color="auto"/>
          <w:color w:val="auto"/>
        </w:rPr>
        <w:t>First Floor Tenants</w:t>
      </w:r>
      <w:r>
        <w:rPr>
          <w:rFonts w:ascii="Arial" w:cs="Arial" w:eastAsia="Arial" w:hAnsi="Arial"/>
          <w:sz w:val="16"/>
          <w:szCs w:val="16"/>
          <w:color w:val="auto"/>
        </w:rPr>
        <w:t>”). Landlord shall be responsible for the operation, maintenance and repair of the Shared Generator, and each of the First Floor Tenants shall reimburse Landlord, as additional rent, for its proportionate share (based upon the proportion that the Rentable Floor Area of such First Floor Tenant’s premises bears to the total Rentable Floor Area of the first (1</w:t>
      </w:r>
      <w:r>
        <w:rPr>
          <w:rFonts w:ascii="Arial" w:cs="Arial" w:eastAsia="Arial" w:hAnsi="Arial"/>
          <w:sz w:val="13"/>
          <w:szCs w:val="13"/>
          <w:color w:val="auto"/>
        </w:rPr>
        <w:t>st</w:t>
      </w:r>
      <w:r>
        <w:rPr>
          <w:rFonts w:ascii="Arial" w:cs="Arial" w:eastAsia="Arial" w:hAnsi="Arial"/>
          <w:sz w:val="16"/>
          <w:szCs w:val="16"/>
          <w:color w:val="auto"/>
        </w:rPr>
        <w:t>) floor of the Building, which proportionate share for the Premises is 22.33% (16,748 divided by 75,000), provided that Landlord shall have the right to make equitable adjustments in such proportionate shares based upon variances in allocation between office space and lab space in the First Floor Tenants’ premises) of such costs; provided, however, that if replacement of the entire Shared Generator (as opposed to replacement of component parts) is necessary, such replacement shall be performed by Landlord at Landlord’s sole cost.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00"/>
          </w:cols>
          <w:pgMar w:left="480" w:top="272" w:right="519" w:bottom="1440" w:gutter="0" w:footer="0" w:header="0"/>
        </w:sectPr>
      </w:pPr>
    </w:p>
    <w:bookmarkStart w:id="681" w:name="page682"/>
    <w:bookmarkEnd w:id="681"/>
    <w:p>
      <w:pPr>
        <w:ind w:left="-20" w:right="240" w:firstLine="444"/>
        <w:spacing w:after="0" w:line="259" w:lineRule="auto"/>
        <w:tabs>
          <w:tab w:leader="none" w:pos="669" w:val="left"/>
        </w:tabs>
        <w:numPr>
          <w:ilvl w:val="0"/>
          <w:numId w:val="5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Landlord shall provide Tenant with a total allowable back-up generator capacity of 33.6 kW for the Premises. Landlord’s sole obligation for providing emergency back-up power or alternative sources of power to Tenant shall be to provide the Shared Generator with not less than the stated capacity thereof as set forth herein.</w:t>
      </w:r>
    </w:p>
    <w:p>
      <w:pPr>
        <w:spacing w:after="0" w:line="78" w:lineRule="exact"/>
        <w:rPr>
          <w:rFonts w:ascii="Arial" w:cs="Arial" w:eastAsia="Arial" w:hAnsi="Arial"/>
          <w:sz w:val="18"/>
          <w:szCs w:val="18"/>
          <w:color w:val="auto"/>
        </w:rPr>
      </w:pPr>
    </w:p>
    <w:p>
      <w:pPr>
        <w:ind w:left="-20" w:right="20" w:firstLine="444"/>
        <w:spacing w:after="0" w:line="253" w:lineRule="auto"/>
        <w:tabs>
          <w:tab w:leader="none" w:pos="659" w:val="left"/>
        </w:tabs>
        <w:numPr>
          <w:ilvl w:val="0"/>
          <w:numId w:val="586"/>
        </w:numPr>
        <w:rPr>
          <w:rFonts w:ascii="Arial" w:cs="Arial" w:eastAsia="Arial" w:hAnsi="Arial"/>
          <w:sz w:val="18"/>
          <w:szCs w:val="18"/>
          <w:color w:val="auto"/>
        </w:rPr>
      </w:pPr>
      <w:r>
        <w:rPr>
          <w:rFonts w:ascii="Arial" w:cs="Arial" w:eastAsia="Arial" w:hAnsi="Arial"/>
          <w:sz w:val="18"/>
          <w:szCs w:val="18"/>
          <w:color w:val="auto"/>
        </w:rPr>
        <w:t>Notwithstanding Tenant’s non-exclusive right to use the Shared Generator in common with other First Floor Tenants, Tenant hereby acknowledges and agrees that it shall do so at Tenant’s sole risk and Landlord shall not in any way be liable or responsible to Tenant for any loss, damage or expense which Tenant may sustain or incur if the Shared Generator should fail to operate properly or as intended or if the quality, character or supply of electrical energy therefrom is changed or is no longer available or suitable for Tenant’s requirements, Tenant hereby holding Landlord harmless for all of such loss, damage and expense.</w:t>
      </w:r>
    </w:p>
    <w:p>
      <w:pPr>
        <w:spacing w:after="0" w:line="86" w:lineRule="exact"/>
        <w:rPr>
          <w:sz w:val="20"/>
          <w:szCs w:val="20"/>
          <w:color w:val="auto"/>
        </w:rPr>
      </w:pPr>
    </w:p>
    <w:p>
      <w:pPr>
        <w:ind w:left="-20" w:firstLine="444"/>
        <w:spacing w:after="0" w:line="282" w:lineRule="auto"/>
        <w:tabs>
          <w:tab w:leader="none" w:pos="595" w:val="left"/>
        </w:tabs>
        <w:numPr>
          <w:ilvl w:val="0"/>
          <w:numId w:val="587"/>
        </w:numPr>
        <w:rPr>
          <w:rFonts w:ascii="Arial" w:cs="Arial" w:eastAsia="Arial" w:hAnsi="Arial"/>
          <w:sz w:val="16"/>
          <w:szCs w:val="16"/>
          <w:color w:val="auto"/>
        </w:rPr>
      </w:pPr>
      <w:r>
        <w:rPr>
          <w:rFonts w:ascii="Arial" w:cs="Arial" w:eastAsia="Arial" w:hAnsi="Arial"/>
          <w:sz w:val="16"/>
          <w:szCs w:val="16"/>
          <w:u w:val="single" w:color="auto"/>
          <w:color w:val="auto"/>
        </w:rPr>
        <w:t>Negative Conditions</w:t>
      </w:r>
      <w:r>
        <w:rPr>
          <w:rFonts w:ascii="Arial" w:cs="Arial" w:eastAsia="Arial" w:hAnsi="Arial"/>
          <w:sz w:val="16"/>
          <w:szCs w:val="16"/>
          <w:color w:val="auto"/>
        </w:rPr>
        <w:t>. In light of the fact that the Premises are in a multi-tenant Building, Tenant shall not perform any act or carry on any practice or operate any machinery or equipment which may injure the Premises or any other part of the Building, or cause any odors or vibrations, or noise (including, but without limitation, the use of grinders), or constitute a nuisance to any other occupant or other persons in the Building, and Tenant shall prevent any odors, smoke, vibration, noise or water from emanating from the Premises and shall prevent the emanation of strong odor, smoke, vibration, noise or water (a “</w:t>
      </w:r>
      <w:r>
        <w:rPr>
          <w:rFonts w:ascii="Arial" w:cs="Arial" w:eastAsia="Arial" w:hAnsi="Arial"/>
          <w:sz w:val="16"/>
          <w:szCs w:val="16"/>
          <w:u w:val="single" w:color="auto"/>
          <w:color w:val="auto"/>
        </w:rPr>
        <w:t>Negative Condition</w:t>
      </w:r>
      <w:r>
        <w:rPr>
          <w:rFonts w:ascii="Arial" w:cs="Arial" w:eastAsia="Arial" w:hAnsi="Arial"/>
          <w:sz w:val="16"/>
          <w:szCs w:val="16"/>
          <w:color w:val="auto"/>
        </w:rPr>
        <w:t>”). In addition to the foregoing, “Negative Conditions” shall include any other objectionable emissions from the Premises for which Landlord has received good faith complaints from other tenants or occupants of the Building on more than two (2) separate occasions or a complaintfrom the police or any other governmental authority having jurisdiction at any time. Upon Landlord’s written notice to Tenant that such a Negative Condition exists, Tenant shall thereafter promptly undertake actions to remedy such Negative Condition (which actions may include the installation, operation, maintenance and inspection of odor, noise, vibration, water and/or smoke control devices, and the establishment of effective control procedures to eliminate such odors, noise, vibration, smoke, or water or other objectionable emissions) within five (5) days following receipt of such notice, or such longer period of time as is reasonably necessary to remedy such Negative Condition so long as Tenant promptly undertakes to remedy any such condition and diligently and continuously pursues such remedy to completion within forty-five (45) days of receipt of such notice from Landlord. Tenant shall cease the activity causing the Negative Condition upon receipt of Landlord’s notice until the Negative Condition has been remedied. The means Tenant uses to prevent such migration may include but not be limited to: (i) operating the HVAC systems, including any special exhaust systems, under negative pressure, (ii) sealing all openings in the demising walls, (iii) providing continuous waterproof base (per Landlord’s criteria) along the demising walls in the showers (if any), kitchen and laboratory areas in the Premises, and (iv) placing machines or equipment in settings of cork, rubber or spring type noise and vibration eliminators. If any such Negative Condition is not so remedied, Landlord may, at its discretion either: (i) cure such Negative Condition and charge Tenant for any cost and expense incurred by Landlord therefor, and Tenant shall then pay such amount as within thirty (30) days after its receipt of an invoice thereof, or (ii) treat Tenant’s failure to remedy such Negative Condition as a Default, entitling Landlord to any of its remedies pursuant to the terms of this 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900"/>
          </w:cols>
          <w:pgMar w:left="500" w:top="273" w:right="499" w:bottom="1440" w:gutter="0" w:footer="0" w:header="0"/>
        </w:sectPr>
      </w:pPr>
    </w:p>
    <w:bookmarkStart w:id="682" w:name="page683"/>
    <w:bookmarkEnd w:id="68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F-1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[Intentionally Deleted]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9019"/>
          </w:cols>
          <w:pgMar w:left="1440" w:top="272" w:right="1440" w:bottom="1440" w:gutter="0" w:footer="0" w:header="0"/>
        </w:sectPr>
      </w:pPr>
    </w:p>
    <w:bookmarkStart w:id="683" w:name="page684"/>
    <w:bookmarkEnd w:id="6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F-2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INITIAL LIST OF APPROVED HAZARDOUS MATERIALS AND QUANTITIES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Attached]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9019"/>
          </w:cols>
          <w:pgMar w:left="1440" w:top="273" w:right="1440" w:bottom="1440" w:gutter="0" w:footer="0" w:header="0"/>
        </w:sectPr>
      </w:pPr>
    </w:p>
    <w:bookmarkStart w:id="684" w:name="page685"/>
    <w:bookmarkEnd w:id="6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Proposed Chemical Inventory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Product Name</w:t>
            </w:r>
          </w:p>
        </w:tc>
        <w:tc>
          <w:tcPr>
            <w:tcW w:w="36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Arial" w:cs="Arial" w:eastAsia="Arial" w:hAnsi="Arial"/>
                <w:sz w:val="12"/>
                <w:szCs w:val="12"/>
                <w:b w:val="1"/>
                <w:bCs w:val="1"/>
                <w:color w:val="auto"/>
              </w:rPr>
              <w:t xml:space="preserve">CAS </w:t>
            </w:r>
            <w:r>
              <w:rPr>
                <w:rFonts w:ascii="Arial" w:cs="Arial" w:eastAsia="Arial" w:hAnsi="Arial"/>
                <w:sz w:val="14"/>
                <w:szCs w:val="14"/>
                <w:b w:val="1"/>
                <w:bCs w:val="1"/>
                <w:i w:val="1"/>
                <w:i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QUANTITY</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SIZE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8"/>
              </w:rPr>
              <w:t># of UNITS</w:t>
            </w:r>
          </w:p>
        </w:tc>
      </w:tr>
      <w:tr>
        <w:trPr>
          <w:trHeight w:val="201"/>
        </w:trPr>
        <w:tc>
          <w:tcPr>
            <w:tcW w:w="456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10X Tris/Glycine Buffer</w:t>
            </w:r>
          </w:p>
        </w:tc>
        <w:tc>
          <w:tcPr>
            <w:tcW w:w="3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L</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10X Tris/Glycine/ SDS Buffer</w:t>
            </w:r>
          </w:p>
        </w:tc>
        <w:tc>
          <w:tcPr>
            <w:tcW w:w="3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2-mercaptoethanol, &gt;=99%</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2-Propanol</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67-63-0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Acetic Acid, Glacial</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Acetone</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67-64-1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Acetonitrile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75-05-8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Acetonitrile, for HPLC, gradient grade, 99.9% (GC)</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75-05-8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Agarose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9012-36-6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Ammonium bicarbonate</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1066-33-7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Ammonium sulfate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7783-20-2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Ampicillin, Sodium Salt</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69-52-3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Boric Acid</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10043-35-3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Calcium chloride solution. tor mol. Bio., 1 M in H2O</w:t>
            </w:r>
          </w:p>
        </w:tc>
        <w:tc>
          <w:tcPr>
            <w:tcW w:w="3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CHAPS, SigmaUltra. minimum 98% TLC</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75621-03-3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CHES &gt;99% titration</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103-47-9</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Citric acid, 99.5%, A.C.S. reagent</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Coomassie Blue</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6104-58-1</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DH-(*)-Glucose solution</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Diethanolamine, reagent grade &gt;98%</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111-42-2</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Dimethyl sulfoxide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D-Mannitol</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69-65-8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EDTA. disodium salt dihydrate, crystal</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Ethanol</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64-17-5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Ethanol, 190 proof, USP/NF</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Ethanol, absolute. 200 proof. 99.5%, A.C.S. reagent</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64-17-5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Ethanolamine, &gt;=98%</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141-43-5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Ethidium bromide solution</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1239-45-8</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Glycerol, for electrophoresis</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56-81-5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Glycine</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56-40-6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Guanidine hydrochloride, minimum 99% Cl</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HEPES sodium salt</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75277-39-3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HEPES solution</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7365-45-9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Hydrochloric acid (10%-33%)</w:t>
            </w:r>
          </w:p>
        </w:tc>
        <w:tc>
          <w:tcPr>
            <w:tcW w:w="3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Hydrogen peroxide, 50 wL % solution in water</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7722-84-1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Iodoacetic acid sodium salt</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305-53-3</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Iodoacetic acid, approx. 99%</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64-69-7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Isopropyl alcohol (see 2-propanol)</w:t>
            </w:r>
          </w:p>
        </w:tc>
        <w:tc>
          <w:tcPr>
            <w:tcW w:w="3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 hydrate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4432-31-9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MES sodium sail</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71119-23-6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Methanol</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Mineral Oil, PCR Reagent</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8042-47-5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ml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MOPS, &gt;99.5%</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1132-61-2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PBS, 10X liquid concentrate</w:t>
            </w:r>
          </w:p>
        </w:tc>
        <w:tc>
          <w:tcPr>
            <w:tcW w:w="3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Phosphoric Acid, 99.999+%</w:t>
            </w:r>
          </w:p>
        </w:tc>
        <w:tc>
          <w:tcPr>
            <w:tcW w:w="3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Potassium acetate, for molecular biology. &gt;=99%</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127-08-2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Potassium carbonate. 99+%. A.C.S. reagent</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584-08-7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Potassium Chloride. &gt;=99%</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7447-40-7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Potassium phosphate dibasic</w:t>
            </w:r>
          </w:p>
        </w:tc>
        <w:tc>
          <w:tcPr>
            <w:tcW w:w="3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tcPr>
          <w:p>
            <w:pPr>
              <w:spacing w:after="0"/>
              <w:rPr>
                <w:sz w:val="20"/>
                <w:szCs w:val="20"/>
                <w:color w:val="auto"/>
              </w:rPr>
            </w:pPr>
            <w:r>
              <w:rPr>
                <w:rFonts w:ascii="Arial" w:cs="Arial" w:eastAsia="Arial" w:hAnsi="Arial"/>
                <w:sz w:val="18"/>
                <w:szCs w:val="18"/>
                <w:color w:val="auto"/>
              </w:rPr>
              <w:t>Potassium phosphate monobasic solution</w:t>
            </w:r>
          </w:p>
        </w:tc>
        <w:tc>
          <w:tcPr>
            <w:tcW w:w="3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L</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Sodium bicarbonate</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144-55-8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60"/>
        </w:trPr>
        <w:tc>
          <w:tcPr>
            <w:tcW w:w="9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80" w:type="dxa"/>
            <w:vAlign w:val="bottom"/>
            <w:gridSpan w:val="3"/>
          </w:tcPr>
          <w:p>
            <w:pPr>
              <w:ind w:left="740"/>
              <w:spacing w:after="0"/>
              <w:rPr>
                <w:sz w:val="20"/>
                <w:szCs w:val="20"/>
                <w:color w:val="auto"/>
              </w:rPr>
            </w:pPr>
            <w:r>
              <w:rPr>
                <w:rFonts w:ascii="Arial" w:cs="Arial" w:eastAsia="Arial" w:hAnsi="Arial"/>
                <w:sz w:val="18"/>
                <w:szCs w:val="18"/>
                <w:color w:val="auto"/>
              </w:rPr>
              <w:t>F-16</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685" w:name="page686"/>
    <w:bookmarkEnd w:id="6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Sodium butyrate, approx. 99%</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156-54-7</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Sodium carbonate, SigmaUltra, 99.0%</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497-19-8</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Sodium Chloride, SigmaUltra, minimum 99.5%</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7647-14-5</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kg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Sodium dodecvl sulfate</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151-21-3</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Sodium Hydroxide Solution</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None</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Sodium hydroxide solutions (more than 10% NaOH)</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1310-73-2</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Sodium phosphate dibasic</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7558-79-4</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Sodium phosphate monobasic</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7558-80-7</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Sodium sulfate, granular, 99+%. A.C.S. reagent</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7757-82-5</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Sucrose, for molecular biology, 99+%</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57-50-1</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kg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Sulfuric Acid, ACS Reagent, 95-98%</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7664-93-9</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Trichloroacetic acid, SigmaUltra, minimum 99.0%</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76-03-9</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Trichloroacetic acid, 99+%, spectrophotometric grade</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76-05-1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Tris Buffered Saline. 10X</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None</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L</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Tris EDTA Buffer Solution pH 8.0, for molecular biology</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None</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Triton X-100</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9002-93-1</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Tris Base</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77-86-1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Tris hydrochloride, reagent grade</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1185-53-1</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Trypan Blue Solution, 0.4%, liquid, sterile-filtered</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72-57-1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Tween 20</w:t>
            </w:r>
          </w:p>
        </w:tc>
        <w:tc>
          <w:tcPr>
            <w:tcW w:w="4300" w:type="dxa"/>
            <w:vAlign w:val="bottom"/>
          </w:tcPr>
          <w:p>
            <w:pPr>
              <w:jc w:val="right"/>
              <w:ind w:right="271"/>
              <w:spacing w:after="0"/>
              <w:rPr>
                <w:sz w:val="20"/>
                <w:szCs w:val="20"/>
                <w:color w:val="auto"/>
              </w:rPr>
            </w:pPr>
            <w:r>
              <w:rPr>
                <w:rFonts w:ascii="Arial" w:cs="Arial" w:eastAsia="Arial" w:hAnsi="Arial"/>
                <w:sz w:val="18"/>
                <w:szCs w:val="18"/>
                <w:color w:val="auto"/>
              </w:rPr>
              <w:t>9005-64-5</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720" w:type="dxa"/>
            <w:vAlign w:val="bottom"/>
          </w:tcPr>
          <w:p>
            <w:pPr>
              <w:jc w:val="right"/>
              <w:ind w:right="291"/>
              <w:spacing w:after="0"/>
              <w:rPr>
                <w:sz w:val="20"/>
                <w:szCs w:val="20"/>
                <w:color w:val="auto"/>
              </w:rPr>
            </w:pPr>
            <w:r>
              <w:rPr>
                <w:rFonts w:ascii="Arial" w:cs="Arial" w:eastAsia="Arial" w:hAnsi="Arial"/>
                <w:sz w:val="18"/>
                <w:szCs w:val="18"/>
                <w:color w:val="auto"/>
              </w:rPr>
              <w:t>ml</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Urea, for molecular biology</w:t>
            </w:r>
          </w:p>
        </w:tc>
        <w:tc>
          <w:tcPr>
            <w:tcW w:w="43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57-13-6</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7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60"/>
        </w:trPr>
        <w:tc>
          <w:tcPr>
            <w:tcW w:w="4700" w:type="dxa"/>
            <w:vAlign w:val="bottom"/>
          </w:tcPr>
          <w:p>
            <w:pPr>
              <w:spacing w:after="0"/>
              <w:rPr>
                <w:sz w:val="24"/>
                <w:szCs w:val="24"/>
                <w:color w:val="auto"/>
              </w:rPr>
            </w:pPr>
          </w:p>
        </w:tc>
        <w:tc>
          <w:tcPr>
            <w:tcW w:w="4300" w:type="dxa"/>
            <w:vAlign w:val="bottom"/>
          </w:tcPr>
          <w:p>
            <w:pPr>
              <w:jc w:val="right"/>
              <w:ind w:right="3271"/>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920"/>
          </w:cols>
          <w:pgMar w:left="480" w:top="287" w:right="499" w:bottom="1440" w:gutter="0" w:footer="0" w:header="0"/>
        </w:sectPr>
      </w:pPr>
    </w:p>
    <w:bookmarkStart w:id="686" w:name="page687"/>
    <w:bookmarkEnd w:id="6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FLAMMABLE MATERIAL LIST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Class 1 Flammables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1A - Liquids with a flashpoint &lt; 73°F and a boiling point &lt; 100°F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1B - Liquids with a flashpoint &lt; 73°F and a boiling point at or &gt; 100°F</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1C - Liquids with a flashpoint of &gt; 73°F and below 100°F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Chemical Name</w:t>
            </w: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Flammable Class</w:t>
            </w:r>
          </w:p>
        </w:tc>
        <w:tc>
          <w:tcPr>
            <w:tcW w:w="80" w:type="dxa"/>
            <w:vAlign w:val="bottom"/>
          </w:tcPr>
          <w:p>
            <w:pPr>
              <w:spacing w:after="0"/>
              <w:rPr>
                <w:sz w:val="16"/>
                <w:szCs w:val="16"/>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Flashpoint (°F)</w:t>
            </w:r>
          </w:p>
        </w:tc>
        <w:tc>
          <w:tcPr>
            <w:tcW w:w="40" w:type="dxa"/>
            <w:vAlign w:val="bottom"/>
          </w:tcPr>
          <w:p>
            <w:pPr>
              <w:spacing w:after="0"/>
              <w:rPr>
                <w:sz w:val="16"/>
                <w:szCs w:val="16"/>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Amount in Liters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in Gallons</w:t>
            </w:r>
          </w:p>
        </w:tc>
      </w:tr>
      <w:tr>
        <w:trPr>
          <w:trHeight w:val="187"/>
        </w:trPr>
        <w:tc>
          <w:tcPr>
            <w:tcW w:w="44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2-Propanol</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Acetone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360"/>
              <w:spacing w:after="0"/>
              <w:rPr>
                <w:sz w:val="20"/>
                <w:szCs w:val="20"/>
                <w:color w:val="auto"/>
              </w:rPr>
            </w:pPr>
            <w:r>
              <w:rPr>
                <w:rFonts w:ascii="Arial" w:cs="Arial" w:eastAsia="Arial" w:hAnsi="Arial"/>
                <w:sz w:val="18"/>
                <w:szCs w:val="18"/>
                <w:color w:val="auto"/>
              </w:rPr>
              <w:t>IB</w:t>
            </w:r>
          </w:p>
        </w:tc>
        <w:tc>
          <w:tcPr>
            <w:tcW w:w="1060" w:type="dxa"/>
            <w:vAlign w:val="bottom"/>
            <w:gridSpan w:val="5"/>
          </w:tcPr>
          <w:p>
            <w:pPr>
              <w:jc w:val="center"/>
              <w:ind w:left="713"/>
              <w:spacing w:after="0"/>
              <w:rPr>
                <w:sz w:val="20"/>
                <w:szCs w:val="20"/>
                <w:color w:val="auto"/>
              </w:rPr>
            </w:pPr>
            <w:r>
              <w:rPr>
                <w:rFonts w:ascii="Arial" w:cs="Arial" w:eastAsia="Arial" w:hAnsi="Arial"/>
                <w:sz w:val="18"/>
                <w:szCs w:val="18"/>
                <w:color w:val="auto"/>
                <w:w w:val="87"/>
              </w:rPr>
              <w:t>-4</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Acetonitrile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IB</w:t>
            </w:r>
          </w:p>
        </w:tc>
        <w:tc>
          <w:tcPr>
            <w:tcW w:w="1000" w:type="dxa"/>
            <w:vAlign w:val="bottom"/>
            <w:gridSpan w:val="4"/>
            <w:shd w:val="clear" w:color="auto" w:fill="CCEEFF"/>
          </w:tcPr>
          <w:p>
            <w:pPr>
              <w:jc w:val="center"/>
              <w:ind w:left="753"/>
              <w:spacing w:after="0"/>
              <w:rPr>
                <w:sz w:val="20"/>
                <w:szCs w:val="20"/>
                <w:color w:val="auto"/>
              </w:rPr>
            </w:pPr>
            <w:r>
              <w:rPr>
                <w:rFonts w:ascii="Arial" w:cs="Arial" w:eastAsia="Arial" w:hAnsi="Arial"/>
                <w:sz w:val="18"/>
                <w:szCs w:val="18"/>
                <w:color w:val="auto"/>
                <w:w w:val="79"/>
              </w:rPr>
              <w:t>36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Ethanol 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360"/>
              <w:spacing w:after="0"/>
              <w:rPr>
                <w:sz w:val="20"/>
                <w:szCs w:val="20"/>
                <w:color w:val="auto"/>
              </w:rPr>
            </w:pPr>
            <w:r>
              <w:rPr>
                <w:rFonts w:ascii="Arial" w:cs="Arial" w:eastAsia="Arial" w:hAnsi="Arial"/>
                <w:sz w:val="18"/>
                <w:szCs w:val="18"/>
                <w:color w:val="auto"/>
              </w:rPr>
              <w:t>IB</w:t>
            </w:r>
          </w:p>
        </w:tc>
        <w:tc>
          <w:tcPr>
            <w:tcW w:w="1000" w:type="dxa"/>
            <w:vAlign w:val="bottom"/>
            <w:gridSpan w:val="4"/>
          </w:tcPr>
          <w:p>
            <w:pPr>
              <w:jc w:val="center"/>
              <w:ind w:left="753"/>
              <w:spacing w:after="0"/>
              <w:rPr>
                <w:sz w:val="20"/>
                <w:szCs w:val="20"/>
                <w:color w:val="auto"/>
              </w:rPr>
            </w:pPr>
            <w:r>
              <w:rPr>
                <w:rFonts w:ascii="Arial" w:cs="Arial" w:eastAsia="Arial" w:hAnsi="Arial"/>
                <w:sz w:val="18"/>
                <w:szCs w:val="18"/>
                <w:color w:val="auto"/>
                <w:w w:val="79"/>
              </w:rPr>
              <w:t>61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Isopropanol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IB</w:t>
            </w:r>
          </w:p>
        </w:tc>
        <w:tc>
          <w:tcPr>
            <w:tcW w:w="1000" w:type="dxa"/>
            <w:vAlign w:val="bottom"/>
            <w:gridSpan w:val="4"/>
            <w:shd w:val="clear" w:color="auto" w:fill="CCEEFF"/>
          </w:tcPr>
          <w:p>
            <w:pPr>
              <w:jc w:val="center"/>
              <w:ind w:left="753"/>
              <w:spacing w:after="0"/>
              <w:rPr>
                <w:sz w:val="20"/>
                <w:szCs w:val="20"/>
                <w:color w:val="auto"/>
              </w:rPr>
            </w:pPr>
            <w:r>
              <w:rPr>
                <w:rFonts w:ascii="Arial" w:cs="Arial" w:eastAsia="Arial" w:hAnsi="Arial"/>
                <w:sz w:val="18"/>
                <w:szCs w:val="18"/>
                <w:color w:val="auto"/>
                <w:w w:val="79"/>
              </w:rPr>
              <w:t>53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Methanol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360"/>
              <w:spacing w:after="0"/>
              <w:rPr>
                <w:sz w:val="20"/>
                <w:szCs w:val="20"/>
                <w:color w:val="auto"/>
              </w:rPr>
            </w:pPr>
            <w:r>
              <w:rPr>
                <w:rFonts w:ascii="Arial" w:cs="Arial" w:eastAsia="Arial" w:hAnsi="Arial"/>
                <w:sz w:val="18"/>
                <w:szCs w:val="18"/>
                <w:color w:val="auto"/>
              </w:rPr>
              <w:t>IB</w:t>
            </w:r>
          </w:p>
        </w:tc>
        <w:tc>
          <w:tcPr>
            <w:tcW w:w="1000" w:type="dxa"/>
            <w:vAlign w:val="bottom"/>
            <w:gridSpan w:val="4"/>
          </w:tcPr>
          <w:p>
            <w:pPr>
              <w:jc w:val="center"/>
              <w:ind w:left="753"/>
              <w:spacing w:after="0"/>
              <w:rPr>
                <w:sz w:val="20"/>
                <w:szCs w:val="20"/>
                <w:color w:val="auto"/>
              </w:rPr>
            </w:pPr>
            <w:r>
              <w:rPr>
                <w:rFonts w:ascii="Arial" w:cs="Arial" w:eastAsia="Arial" w:hAnsi="Arial"/>
                <w:sz w:val="18"/>
                <w:szCs w:val="18"/>
                <w:color w:val="auto"/>
                <w:w w:val="79"/>
              </w:rPr>
              <w:t>53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Solvent waste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IABC</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CLASS IABC</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0.00</w:t>
            </w:r>
          </w:p>
        </w:tc>
        <w:tc>
          <w:tcPr>
            <w:tcW w:w="60" w:type="dxa"/>
            <w:vAlign w:val="bottom"/>
          </w:tcPr>
          <w:p>
            <w:pPr>
              <w:spacing w:after="0"/>
              <w:rPr>
                <w:sz w:val="19"/>
                <w:szCs w:val="19"/>
                <w:color w:val="auto"/>
              </w:rPr>
            </w:pPr>
          </w:p>
        </w:tc>
      </w:tr>
      <w:tr>
        <w:trPr>
          <w:trHeight w:val="54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II Combustibles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1"/>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Liquids with a flashpoint &gt; 100°F and &lt; 140°F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Chemical Name</w:t>
            </w:r>
          </w:p>
        </w:tc>
        <w:tc>
          <w:tcPr>
            <w:tcW w:w="3480" w:type="dxa"/>
            <w:vAlign w:val="bottom"/>
          </w:tcPr>
          <w:p>
            <w:pPr>
              <w:spacing w:after="0"/>
              <w:rPr>
                <w:sz w:val="24"/>
                <w:szCs w:val="24"/>
                <w:color w:val="auto"/>
              </w:rPr>
            </w:pPr>
          </w:p>
        </w:tc>
        <w:tc>
          <w:tcPr>
            <w:tcW w:w="18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0"/>
              </w:rPr>
              <w:t>Flammable Class</w:t>
            </w:r>
          </w:p>
        </w:tc>
        <w:tc>
          <w:tcPr>
            <w:tcW w:w="16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1"/>
              </w:rPr>
              <w:t>Flashpoint (°F)</w:t>
            </w:r>
          </w:p>
        </w:tc>
        <w:tc>
          <w:tcPr>
            <w:tcW w:w="1780" w:type="dxa"/>
            <w:vAlign w:val="bottom"/>
            <w:gridSpan w:val="6"/>
          </w:tcPr>
          <w:p>
            <w:pPr>
              <w:spacing w:after="0"/>
              <w:rPr>
                <w:sz w:val="20"/>
                <w:szCs w:val="20"/>
                <w:color w:val="auto"/>
              </w:rPr>
            </w:pPr>
            <w:r>
              <w:rPr>
                <w:rFonts w:ascii="Arial" w:cs="Arial" w:eastAsia="Arial" w:hAnsi="Arial"/>
                <w:sz w:val="14"/>
                <w:szCs w:val="14"/>
                <w:b w:val="1"/>
                <w:bCs w:val="1"/>
                <w:color w:val="auto"/>
              </w:rPr>
              <w:t>Amount in Liters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in Gallons</w:t>
            </w:r>
          </w:p>
        </w:tc>
      </w:tr>
      <w:tr>
        <w:trPr>
          <w:trHeight w:val="201"/>
        </w:trPr>
        <w:tc>
          <w:tcPr>
            <w:tcW w:w="446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Acetic Acid</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II</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102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CLASS II</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0.00</w:t>
            </w:r>
          </w:p>
        </w:tc>
        <w:tc>
          <w:tcPr>
            <w:tcW w:w="60" w:type="dxa"/>
            <w:vAlign w:val="bottom"/>
          </w:tcPr>
          <w:p>
            <w:pPr>
              <w:spacing w:after="0"/>
              <w:rPr>
                <w:sz w:val="19"/>
                <w:szCs w:val="19"/>
                <w:color w:val="auto"/>
              </w:rPr>
            </w:pPr>
          </w:p>
        </w:tc>
      </w:tr>
      <w:tr>
        <w:trPr>
          <w:trHeight w:val="54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III Combustibles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4460" w:type="dxa"/>
            <w:vAlign w:val="bottom"/>
            <w:gridSpan w:val="2"/>
          </w:tcPr>
          <w:p>
            <w:pPr>
              <w:ind w:left="20"/>
              <w:spacing w:after="0"/>
              <w:rPr>
                <w:sz w:val="20"/>
                <w:szCs w:val="20"/>
                <w:color w:val="auto"/>
              </w:rPr>
            </w:pPr>
            <w:r>
              <w:rPr>
                <w:rFonts w:ascii="Arial" w:cs="Arial" w:eastAsia="Arial" w:hAnsi="Arial"/>
                <w:sz w:val="18"/>
                <w:szCs w:val="18"/>
                <w:color w:val="auto"/>
                <w:w w:val="98"/>
              </w:rPr>
              <w:t>IIIA - Liquids with a flashpoint at or &gt; 140°F and &lt; 200°F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IIIB - Liquids with a flashpoint &gt; 200°F</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9"/>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Chemical Name</w:t>
            </w: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Flammable Class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Flashpoint (°F)</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Amount in Liters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in Gallons</w:t>
            </w:r>
          </w:p>
        </w:tc>
      </w:tr>
      <w:tr>
        <w:trPr>
          <w:trHeight w:val="201"/>
        </w:trPr>
        <w:tc>
          <w:tcPr>
            <w:tcW w:w="446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2-Mercaptoethanol</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IIIA</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center"/>
              <w:ind w:left="600"/>
              <w:spacing w:after="0" w:line="201" w:lineRule="exact"/>
              <w:rPr>
                <w:sz w:val="20"/>
                <w:szCs w:val="20"/>
                <w:color w:val="auto"/>
              </w:rPr>
            </w:pPr>
            <w:r>
              <w:rPr>
                <w:rFonts w:ascii="Arial" w:cs="Arial" w:eastAsia="Arial" w:hAnsi="Arial"/>
                <w:sz w:val="18"/>
                <w:szCs w:val="18"/>
                <w:color w:val="auto"/>
                <w:w w:val="86"/>
              </w:rPr>
              <w:t>165</w:t>
            </w: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Dimethyl sulfoxide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380"/>
              <w:spacing w:after="0"/>
              <w:rPr>
                <w:sz w:val="20"/>
                <w:szCs w:val="20"/>
                <w:color w:val="auto"/>
              </w:rPr>
            </w:pPr>
            <w:r>
              <w:rPr>
                <w:rFonts w:ascii="Arial" w:cs="Arial" w:eastAsia="Arial" w:hAnsi="Arial"/>
                <w:sz w:val="18"/>
                <w:szCs w:val="18"/>
                <w:color w:val="auto"/>
              </w:rPr>
              <w:t>IIIA</w:t>
            </w:r>
          </w:p>
        </w:tc>
        <w:tc>
          <w:tcPr>
            <w:tcW w:w="1660" w:type="dxa"/>
            <w:vAlign w:val="bottom"/>
            <w:gridSpan w:val="6"/>
          </w:tcPr>
          <w:p>
            <w:pPr>
              <w:jc w:val="center"/>
              <w:ind w:left="113"/>
              <w:spacing w:after="0"/>
              <w:rPr>
                <w:sz w:val="20"/>
                <w:szCs w:val="20"/>
                <w:color w:val="auto"/>
              </w:rPr>
            </w:pPr>
            <w:r>
              <w:rPr>
                <w:rFonts w:ascii="Arial" w:cs="Arial" w:eastAsia="Arial" w:hAnsi="Arial"/>
                <w:sz w:val="18"/>
                <w:szCs w:val="18"/>
                <w:color w:val="auto"/>
                <w:w w:val="86"/>
              </w:rPr>
              <w:t>190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0.00</w:t>
            </w: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Glycerol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IIIA</w:t>
            </w:r>
          </w:p>
        </w:tc>
        <w:tc>
          <w:tcPr>
            <w:tcW w:w="1660" w:type="dxa"/>
            <w:vAlign w:val="bottom"/>
            <w:gridSpan w:val="6"/>
            <w:shd w:val="clear" w:color="auto" w:fill="CCEEFF"/>
          </w:tcPr>
          <w:p>
            <w:pPr>
              <w:jc w:val="center"/>
              <w:ind w:left="113"/>
              <w:spacing w:after="0"/>
              <w:rPr>
                <w:sz w:val="20"/>
                <w:szCs w:val="20"/>
                <w:color w:val="auto"/>
              </w:rPr>
            </w:pPr>
            <w:r>
              <w:rPr>
                <w:rFonts w:ascii="Arial" w:cs="Arial" w:eastAsia="Arial" w:hAnsi="Arial"/>
                <w:sz w:val="18"/>
                <w:szCs w:val="18"/>
                <w:color w:val="auto"/>
                <w:w w:val="86"/>
              </w:rPr>
              <w:t>320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0.00</w:t>
            </w: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CLASS III</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0.00</w:t>
            </w:r>
          </w:p>
        </w:tc>
        <w:tc>
          <w:tcPr>
            <w:tcW w:w="60" w:type="dxa"/>
            <w:vAlign w:val="bottom"/>
          </w:tcPr>
          <w:p>
            <w:pPr>
              <w:spacing w:after="0"/>
              <w:rPr>
                <w:sz w:val="19"/>
                <w:szCs w:val="19"/>
                <w:color w:val="auto"/>
              </w:rPr>
            </w:pPr>
          </w:p>
        </w:tc>
      </w:tr>
      <w:tr>
        <w:trPr>
          <w:trHeight w:val="366"/>
        </w:trPr>
        <w:tc>
          <w:tcPr>
            <w:tcW w:w="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580"/>
              <w:spacing w:after="0"/>
              <w:rPr>
                <w:sz w:val="20"/>
                <w:szCs w:val="20"/>
                <w:color w:val="auto"/>
              </w:rPr>
            </w:pPr>
            <w:r>
              <w:rPr>
                <w:rFonts w:ascii="Arial" w:cs="Arial" w:eastAsia="Arial" w:hAnsi="Arial"/>
                <w:sz w:val="18"/>
                <w:szCs w:val="18"/>
                <w:color w:val="auto"/>
              </w:rPr>
              <w:t>F-18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687" w:name="page688"/>
    <w:bookmarkEnd w:id="687"/>
    <w:p>
      <w:pPr>
        <w:ind w:left="8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Corrosives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13970</wp:posOffset>
            </wp:positionV>
            <wp:extent cx="467106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4671060" cy="8255"/>
                    </a:xfrm>
                    <a:prstGeom prst="rect">
                      <a:avLst/>
                    </a:prstGeom>
                    <a:noFill/>
                  </pic:spPr>
                </pic:pic>
              </a:graphicData>
            </a:graphic>
          </wp:anchor>
        </w:drawing>
      </w:r>
    </w:p>
    <w:p>
      <w:pPr>
        <w:spacing w:after="0" w:line="4"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auto"/>
        </w:rPr>
        <w:t>Product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6985</wp:posOffset>
            </wp:positionV>
            <wp:extent cx="4704715" cy="144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4704715" cy="14414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Hydrochloric acid (10%-33%)</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Hydrogen peroxide, 50 wt. % solution in water</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Sodium Hydoxide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-129540</wp:posOffset>
            </wp:positionV>
            <wp:extent cx="4704715" cy="135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800" w:right="2080"/>
        <w:spacing w:after="0" w:line="292" w:lineRule="auto"/>
        <w:rPr>
          <w:sz w:val="20"/>
          <w:szCs w:val="20"/>
          <w:color w:val="auto"/>
        </w:rPr>
      </w:pPr>
      <w:r>
        <w:rPr>
          <w:rFonts w:ascii="Arial" w:cs="Arial" w:eastAsia="Arial" w:hAnsi="Arial"/>
          <w:sz w:val="16"/>
          <w:szCs w:val="16"/>
          <w:color w:val="auto"/>
        </w:rPr>
        <w:t>Sodium hydroxide solutions (more than 10% NaOH) Sulfuric Acid, ACS Reagent, 95-98% Trichloroacetic acid, SigmaUltra, minimum 99.0% Trifluoroacetic acid, 99+%, spectrophotometric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-431165</wp:posOffset>
            </wp:positionV>
            <wp:extent cx="4704715" cy="135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4704715" cy="13589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-159385</wp:posOffset>
            </wp:positionV>
            <wp:extent cx="4704715" cy="135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75"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CAS#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7722-84-1</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0" w:lineRule="exact"/>
        <w:rPr>
          <w:sz w:val="20"/>
          <w:szCs w:val="20"/>
          <w:color w:val="auto"/>
        </w:rPr>
      </w:pPr>
    </w:p>
    <w:p>
      <w:pPr>
        <w:jc w:val="right"/>
        <w:ind w:right="859"/>
        <w:spacing w:after="0"/>
        <w:rPr>
          <w:sz w:val="20"/>
          <w:szCs w:val="20"/>
          <w:color w:val="auto"/>
        </w:rPr>
      </w:pPr>
      <w:r>
        <w:rPr>
          <w:rFonts w:ascii="Arial" w:cs="Arial" w:eastAsia="Arial" w:hAnsi="Arial"/>
          <w:sz w:val="16"/>
          <w:szCs w:val="16"/>
          <w:color w:val="auto"/>
        </w:rPr>
        <w:t>1310-73-2</w:t>
      </w:r>
    </w:p>
    <w:p>
      <w:pPr>
        <w:spacing w:after="0" w:line="30" w:lineRule="exact"/>
        <w:rPr>
          <w:sz w:val="20"/>
          <w:szCs w:val="20"/>
          <w:color w:val="auto"/>
        </w:rPr>
      </w:pPr>
    </w:p>
    <w:p>
      <w:pPr>
        <w:jc w:val="right"/>
        <w:ind w:right="859"/>
        <w:spacing w:after="0"/>
        <w:rPr>
          <w:sz w:val="20"/>
          <w:szCs w:val="20"/>
          <w:color w:val="auto"/>
        </w:rPr>
      </w:pPr>
      <w:r>
        <w:rPr>
          <w:rFonts w:ascii="Arial" w:cs="Arial" w:eastAsia="Arial" w:hAnsi="Arial"/>
          <w:sz w:val="16"/>
          <w:szCs w:val="16"/>
          <w:color w:val="auto"/>
        </w:rPr>
        <w:t>7664-93-9</w:t>
      </w:r>
    </w:p>
    <w:p>
      <w:pPr>
        <w:spacing w:after="0" w:line="30"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76-03-9</w:t>
      </w:r>
    </w:p>
    <w:p>
      <w:pPr>
        <w:spacing w:after="0" w:line="7"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76-05-1</w:t>
      </w:r>
    </w:p>
    <w:p>
      <w:pPr>
        <w:sectPr>
          <w:pgSz w:w="11900" w:h="16838" w:orient="portrait"/>
          <w:cols w:equalWidth="0" w:num="2">
            <w:col w:w="6700" w:space="720"/>
            <w:col w:w="1599"/>
          </w:cols>
          <w:pgMar w:left="1440" w:top="264" w:right="1440" w:bottom="1440" w:gutter="0" w:footer="0" w:header="0"/>
        </w:sectPr>
      </w:pPr>
    </w:p>
    <w:bookmarkStart w:id="688" w:name="page689"/>
    <w:bookmarkEnd w:id="688"/>
    <w:p>
      <w:pPr>
        <w:spacing w:after="0"/>
        <w:rPr>
          <w:sz w:val="20"/>
          <w:szCs w:val="20"/>
          <w:color w:val="auto"/>
        </w:rPr>
      </w:pPr>
      <w:r>
        <w:rPr>
          <w:rFonts w:ascii="Arial" w:cs="Arial" w:eastAsia="Arial" w:hAnsi="Arial"/>
          <w:sz w:val="12"/>
          <w:szCs w:val="12"/>
          <w:b w:val="1"/>
          <w:bCs w:val="1"/>
          <w:color w:val="auto"/>
        </w:rPr>
        <w:t>Compressed Gases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Gas Name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Nitrogen Gas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Argon Gas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15"/>
          <w:szCs w:val="15"/>
          <w:color w:val="auto"/>
        </w:rPr>
        <w:t>2</w:t>
      </w:r>
    </w:p>
    <w:p>
      <w:pPr>
        <w:spacing w:after="0" w:line="1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Others (Specify) Hydrogen Gas Propane Gas Others (Specify) Oxygen Gas Others (specify)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Cryogens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Gas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527 CMR 1.0 Table 1.12.8.37(b) Permit Amounts for Compressed Gases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-222885</wp:posOffset>
            </wp:positionV>
            <wp:extent cx="7176135" cy="374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p>
      <w:pPr>
        <w:ind w:left="2960"/>
        <w:spacing w:after="0" w:line="232" w:lineRule="auto"/>
        <w:rPr>
          <w:sz w:val="20"/>
          <w:szCs w:val="20"/>
          <w:color w:val="auto"/>
        </w:rPr>
      </w:pPr>
      <w:r>
        <w:rPr>
          <w:rFonts w:ascii="Arial" w:cs="Arial" w:eastAsia="Arial" w:hAnsi="Arial"/>
          <w:sz w:val="14"/>
          <w:szCs w:val="14"/>
          <w:b w:val="1"/>
          <w:bCs w:val="1"/>
          <w:color w:val="auto"/>
        </w:rPr>
        <w:t>Cubic Feet</w:t>
      </w:r>
    </w:p>
    <w:tbl>
      <w:tblPr>
        <w:tblLayout w:type="fixed"/>
        <w:tblInd w:w="0" w:type="dxa"/>
        <w:tblCellMar>
          <w:top w:w="0" w:type="dxa"/>
          <w:left w:w="0" w:type="dxa"/>
          <w:bottom w:w="0" w:type="dxa"/>
          <w:right w:w="0" w:type="dxa"/>
        </w:tblCellMar>
      </w:tblPr>
      <w:tr>
        <w:trPr>
          <w:trHeight w:val="118"/>
        </w:trPr>
        <w:tc>
          <w:tcPr>
            <w:tcW w:w="1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5"/>
          </w:tcPr>
          <w:p>
            <w:pPr>
              <w:jc w:val="right"/>
              <w:ind w:right="429"/>
              <w:spacing w:after="0" w:line="118" w:lineRule="exact"/>
              <w:rPr>
                <w:sz w:val="20"/>
                <w:szCs w:val="20"/>
                <w:color w:val="auto"/>
              </w:rPr>
            </w:pPr>
            <w:r>
              <w:rPr>
                <w:rFonts w:ascii="Arial" w:cs="Arial" w:eastAsia="Arial" w:hAnsi="Arial"/>
                <w:sz w:val="13"/>
                <w:szCs w:val="13"/>
                <w:b w:val="1"/>
                <w:bCs w:val="1"/>
                <w:color w:val="auto"/>
                <w:w w:val="97"/>
              </w:rPr>
              <w:t>Total For</w:t>
            </w: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Permit</w:t>
            </w:r>
          </w:p>
        </w:tc>
        <w:tc>
          <w:tcPr>
            <w:tcW w:w="42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Type of Gas</w:t>
            </w:r>
          </w:p>
        </w:tc>
        <w:tc>
          <w:tcPr>
            <w:tcW w:w="16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Floor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Floor 2</w:t>
            </w:r>
          </w:p>
        </w:tc>
        <w:tc>
          <w:tcPr>
            <w:tcW w:w="1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Floor 3</w:t>
            </w:r>
          </w:p>
        </w:tc>
        <w:tc>
          <w:tcPr>
            <w:tcW w:w="460" w:type="dxa"/>
            <w:vAlign w:val="bottom"/>
          </w:tcPr>
          <w:p>
            <w:pPr>
              <w:jc w:val="center"/>
              <w:ind w:left="50"/>
              <w:spacing w:after="0" w:line="147" w:lineRule="exact"/>
              <w:rPr>
                <w:sz w:val="20"/>
                <w:szCs w:val="20"/>
                <w:color w:val="auto"/>
              </w:rPr>
            </w:pPr>
            <w:r>
              <w:rPr>
                <w:rFonts w:ascii="Arial" w:cs="Arial" w:eastAsia="Arial" w:hAnsi="Arial"/>
                <w:sz w:val="14"/>
                <w:szCs w:val="14"/>
                <w:b w:val="1"/>
                <w:bCs w:val="1"/>
                <w:color w:val="auto"/>
                <w:w w:val="89"/>
              </w:rPr>
              <w:t>Each</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ind w:right="349"/>
              <w:spacing w:after="0" w:line="147" w:lineRule="exact"/>
              <w:rPr>
                <w:sz w:val="20"/>
                <w:szCs w:val="20"/>
                <w:color w:val="auto"/>
              </w:rPr>
            </w:pPr>
            <w:r>
              <w:rPr>
                <w:rFonts w:ascii="Arial" w:cs="Arial" w:eastAsia="Arial" w:hAnsi="Arial"/>
                <w:sz w:val="14"/>
                <w:szCs w:val="14"/>
                <w:b w:val="1"/>
                <w:bCs w:val="1"/>
                <w:color w:val="auto"/>
                <w:w w:val="90"/>
              </w:rPr>
              <w:t>Total For</w:t>
            </w:r>
          </w:p>
        </w:tc>
        <w:tc>
          <w:tcPr>
            <w:tcW w:w="10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tcPr>
          <w:p>
            <w:pPr>
              <w:jc w:val="center"/>
              <w:ind w:left="30"/>
              <w:spacing w:after="0"/>
              <w:rPr>
                <w:sz w:val="20"/>
                <w:szCs w:val="20"/>
                <w:color w:val="auto"/>
              </w:rPr>
            </w:pPr>
            <w:r>
              <w:rPr>
                <w:rFonts w:ascii="Arial" w:cs="Arial" w:eastAsia="Arial" w:hAnsi="Arial"/>
                <w:sz w:val="14"/>
                <w:szCs w:val="14"/>
                <w:b w:val="1"/>
                <w:bCs w:val="1"/>
                <w:color w:val="auto"/>
                <w:w w:val="90"/>
              </w:rPr>
              <w:t>Gas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Gas Type   Requiring Permit</w:t>
            </w:r>
          </w:p>
        </w:tc>
        <w:tc>
          <w:tcPr>
            <w:tcW w:w="1000" w:type="dxa"/>
            <w:vAlign w:val="bottom"/>
            <w:gridSpan w:val="2"/>
          </w:tcPr>
          <w:p>
            <w:pPr>
              <w:jc w:val="center"/>
              <w:ind w:right="391"/>
              <w:spacing w:after="0"/>
              <w:rPr>
                <w:sz w:val="20"/>
                <w:szCs w:val="20"/>
                <w:color w:val="auto"/>
              </w:rPr>
            </w:pPr>
            <w:r>
              <w:rPr>
                <w:rFonts w:ascii="Arial" w:cs="Arial" w:eastAsia="Arial" w:hAnsi="Arial"/>
                <w:sz w:val="14"/>
                <w:szCs w:val="14"/>
                <w:b w:val="1"/>
                <w:bCs w:val="1"/>
                <w:color w:val="auto"/>
                <w:w w:val="87"/>
              </w:rPr>
              <w:t>Needed?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w w:val="91"/>
              </w:rPr>
              <w:t>5.5 ft tank = 300 Cu Ft</w:t>
            </w:r>
          </w:p>
        </w:tc>
        <w:tc>
          <w:tcPr>
            <w:tcW w:w="0" w:type="dxa"/>
            <w:vAlign w:val="bottom"/>
          </w:tcPr>
          <w:p>
            <w:pPr>
              <w:spacing w:after="0"/>
              <w:rPr>
                <w:sz w:val="1"/>
                <w:szCs w:val="1"/>
                <w:color w:val="auto"/>
              </w:rPr>
            </w:pPr>
          </w:p>
        </w:tc>
      </w:tr>
      <w:tr>
        <w:trPr>
          <w:trHeight w:val="89"/>
        </w:trPr>
        <w:tc>
          <w:tcPr>
            <w:tcW w:w="1240" w:type="dxa"/>
            <w:vAlign w:val="bottom"/>
            <w:vMerge w:val="restart"/>
          </w:tcPr>
          <w:p>
            <w:pPr>
              <w:spacing w:after="0"/>
              <w:rPr>
                <w:sz w:val="20"/>
                <w:szCs w:val="20"/>
                <w:color w:val="auto"/>
              </w:rPr>
            </w:pPr>
            <w:r>
              <w:rPr>
                <w:rFonts w:ascii="Arial" w:cs="Arial" w:eastAsia="Arial" w:hAnsi="Arial"/>
                <w:sz w:val="18"/>
                <w:szCs w:val="18"/>
                <w:color w:val="auto"/>
                <w:w w:val="95"/>
              </w:rPr>
              <w:t>Inert and simple</w:t>
            </w:r>
          </w:p>
        </w:tc>
        <w:tc>
          <w:tcPr>
            <w:tcW w:w="160" w:type="dxa"/>
            <w:vAlign w:val="bottom"/>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ind w:right="141"/>
              <w:spacing w:after="0"/>
              <w:rPr>
                <w:sz w:val="20"/>
                <w:szCs w:val="20"/>
                <w:color w:val="auto"/>
              </w:rPr>
            </w:pPr>
            <w:r>
              <w:rPr>
                <w:rFonts w:ascii="Arial" w:cs="Arial" w:eastAsia="Arial" w:hAnsi="Arial"/>
                <w:sz w:val="18"/>
                <w:szCs w:val="18"/>
                <w:color w:val="auto"/>
                <w:w w:val="90"/>
              </w:rPr>
              <w:t>³ 6000</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w w:val="99"/>
              </w:rPr>
              <w:t>4 ft tank = 125 Cu Ft</w:t>
            </w:r>
          </w:p>
        </w:tc>
        <w:tc>
          <w:tcPr>
            <w:tcW w:w="0" w:type="dxa"/>
            <w:vAlign w:val="bottom"/>
          </w:tcPr>
          <w:p>
            <w:pPr>
              <w:spacing w:after="0"/>
              <w:rPr>
                <w:sz w:val="1"/>
                <w:szCs w:val="1"/>
                <w:color w:val="auto"/>
              </w:rPr>
            </w:pPr>
          </w:p>
        </w:tc>
      </w:tr>
      <w:tr>
        <w:trPr>
          <w:trHeight w:val="89"/>
        </w:trPr>
        <w:tc>
          <w:tcPr>
            <w:tcW w:w="1240" w:type="dxa"/>
            <w:vAlign w:val="bottom"/>
            <w:vMerge w:val="restart"/>
          </w:tcPr>
          <w:p>
            <w:pPr>
              <w:spacing w:after="0"/>
              <w:rPr>
                <w:sz w:val="20"/>
                <w:szCs w:val="20"/>
                <w:color w:val="auto"/>
              </w:rPr>
            </w:pPr>
            <w:r>
              <w:rPr>
                <w:rFonts w:ascii="Arial" w:cs="Arial" w:eastAsia="Arial" w:hAnsi="Arial"/>
                <w:sz w:val="18"/>
                <w:szCs w:val="18"/>
                <w:color w:val="auto"/>
              </w:rPr>
              <w:t>asphyxiant</w:t>
            </w:r>
          </w:p>
        </w:tc>
        <w:tc>
          <w:tcPr>
            <w:tcW w:w="160" w:type="dxa"/>
            <w:vAlign w:val="bottom"/>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3 ft tank = 80 Cu Ft</w:t>
            </w: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2 ft tank = 26 Cu Ft</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gridSpan w:val="2"/>
            <w:vMerge w:val="restart"/>
          </w:tcPr>
          <w:p>
            <w:pPr>
              <w:jc w:val="right"/>
              <w:ind w:right="40"/>
              <w:spacing w:after="0" w:line="200" w:lineRule="exact"/>
              <w:rPr>
                <w:sz w:val="20"/>
                <w:szCs w:val="20"/>
                <w:color w:val="auto"/>
              </w:rPr>
            </w:pPr>
            <w:r>
              <w:rPr>
                <w:rFonts w:ascii="Arial" w:cs="Arial" w:eastAsia="Arial" w:hAnsi="Arial"/>
                <w:sz w:val="18"/>
                <w:szCs w:val="18"/>
                <w:color w:val="auto"/>
                <w:w w:val="99"/>
              </w:rPr>
              <w:t>0</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40" w:type="dxa"/>
            <w:vAlign w:val="bottom"/>
          </w:tcPr>
          <w:p>
            <w:pPr>
              <w:spacing w:after="0"/>
              <w:rPr>
                <w:sz w:val="20"/>
                <w:szCs w:val="20"/>
                <w:color w:val="auto"/>
              </w:rPr>
            </w:pPr>
            <w:r>
              <w:rPr>
                <w:rFonts w:ascii="Arial" w:cs="Arial" w:eastAsia="Arial" w:hAnsi="Arial"/>
                <w:sz w:val="18"/>
                <w:szCs w:val="18"/>
                <w:color w:val="auto"/>
              </w:rPr>
              <w:t>Flammable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80" w:type="dxa"/>
            <w:vAlign w:val="bottom"/>
          </w:tcPr>
          <w:p>
            <w:pPr>
              <w:jc w:val="center"/>
              <w:ind w:right="141"/>
              <w:spacing w:after="0"/>
              <w:rPr>
                <w:sz w:val="20"/>
                <w:szCs w:val="20"/>
                <w:color w:val="auto"/>
              </w:rPr>
            </w:pPr>
            <w:r>
              <w:rPr>
                <w:rFonts w:ascii="Arial" w:cs="Arial" w:eastAsia="Arial" w:hAnsi="Arial"/>
                <w:sz w:val="18"/>
                <w:szCs w:val="18"/>
                <w:color w:val="auto"/>
                <w:w w:val="92"/>
              </w:rPr>
              <w:t>³ 200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40" w:type="dxa"/>
            <w:vAlign w:val="bottom"/>
            <w:vMerge w:val="restart"/>
          </w:tcPr>
          <w:p>
            <w:pPr>
              <w:spacing w:after="0"/>
              <w:rPr>
                <w:sz w:val="20"/>
                <w:szCs w:val="20"/>
                <w:color w:val="auto"/>
              </w:rPr>
            </w:pPr>
            <w:r>
              <w:rPr>
                <w:rFonts w:ascii="Arial" w:cs="Arial" w:eastAsia="Arial" w:hAnsi="Arial"/>
                <w:sz w:val="18"/>
                <w:szCs w:val="18"/>
                <w:color w:val="auto"/>
              </w:rPr>
              <w:t>Oxidizing</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center"/>
              <w:ind w:right="141"/>
              <w:spacing w:after="0"/>
              <w:rPr>
                <w:sz w:val="20"/>
                <w:szCs w:val="20"/>
                <w:color w:val="auto"/>
              </w:rPr>
            </w:pPr>
            <w:r>
              <w:rPr>
                <w:rFonts w:ascii="Arial" w:cs="Arial" w:eastAsia="Arial" w:hAnsi="Arial"/>
                <w:sz w:val="18"/>
                <w:szCs w:val="18"/>
                <w:color w:val="auto"/>
                <w:w w:val="92"/>
              </w:rPr>
              <w:t>³ 504</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240" w:type="dxa"/>
            <w:vAlign w:val="bottom"/>
            <w:vMerge w:val="restart"/>
          </w:tcPr>
          <w:p>
            <w:pPr>
              <w:spacing w:after="0"/>
              <w:rPr>
                <w:sz w:val="20"/>
                <w:szCs w:val="20"/>
                <w:color w:val="auto"/>
              </w:rPr>
            </w:pPr>
            <w:r>
              <w:rPr>
                <w:rFonts w:ascii="Arial" w:cs="Arial" w:eastAsia="Arial" w:hAnsi="Arial"/>
                <w:sz w:val="18"/>
                <w:szCs w:val="18"/>
                <w:color w:val="auto"/>
                <w:w w:val="90"/>
              </w:rPr>
              <w:t>including oxygen</w:t>
            </w:r>
          </w:p>
        </w:tc>
        <w:tc>
          <w:tcPr>
            <w:tcW w:w="160" w:type="dxa"/>
            <w:vAlign w:val="bottom"/>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3"/>
        </w:trPr>
        <w:tc>
          <w:tcPr>
            <w:tcW w:w="4340" w:type="dxa"/>
            <w:vAlign w:val="bottom"/>
            <w:gridSpan w:val="14"/>
          </w:tcPr>
          <w:p>
            <w:pPr>
              <w:ind w:left="460"/>
              <w:spacing w:after="0"/>
              <w:rPr>
                <w:sz w:val="20"/>
                <w:szCs w:val="20"/>
                <w:color w:val="auto"/>
              </w:rPr>
            </w:pPr>
            <w:r>
              <w:rPr>
                <w:rFonts w:ascii="Arial" w:cs="Arial" w:eastAsia="Arial" w:hAnsi="Arial"/>
                <w:sz w:val="14"/>
                <w:szCs w:val="14"/>
                <w:b w:val="1"/>
                <w:bCs w:val="1"/>
                <w:color w:val="auto"/>
                <w:w w:val="95"/>
              </w:rPr>
              <w:t>527 CMR 1.0 Table 1.12.8.37(c) Permit Amounts for Cryogens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Gallons</w:t>
            </w: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5"/>
            <w:vMerge w:val="restart"/>
          </w:tcPr>
          <w:p>
            <w:pPr>
              <w:jc w:val="center"/>
              <w:ind w:left="210"/>
              <w:spacing w:after="0"/>
              <w:rPr>
                <w:sz w:val="20"/>
                <w:szCs w:val="20"/>
                <w:color w:val="auto"/>
              </w:rPr>
            </w:pPr>
            <w:r>
              <w:rPr>
                <w:rFonts w:ascii="Arial" w:cs="Arial" w:eastAsia="Arial" w:hAnsi="Arial"/>
                <w:sz w:val="14"/>
                <w:szCs w:val="14"/>
                <w:b w:val="1"/>
                <w:bCs w:val="1"/>
                <w:color w:val="auto"/>
                <w:w w:val="96"/>
              </w:rPr>
              <w:t>Total For</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Amounts</w:t>
            </w:r>
          </w:p>
        </w:tc>
        <w:tc>
          <w:tcPr>
            <w:tcW w:w="1000" w:type="dxa"/>
            <w:vAlign w:val="bottom"/>
            <w:gridSpan w:val="2"/>
          </w:tcPr>
          <w:p>
            <w:pPr>
              <w:jc w:val="center"/>
              <w:ind w:left="170"/>
              <w:spacing w:after="0" w:line="118" w:lineRule="exact"/>
              <w:rPr>
                <w:sz w:val="20"/>
                <w:szCs w:val="20"/>
                <w:color w:val="auto"/>
              </w:rPr>
            </w:pPr>
            <w:r>
              <w:rPr>
                <w:rFonts w:ascii="Arial" w:cs="Arial" w:eastAsia="Arial" w:hAnsi="Arial"/>
                <w:sz w:val="13"/>
                <w:szCs w:val="13"/>
                <w:b w:val="1"/>
                <w:bCs w:val="1"/>
                <w:color w:val="auto"/>
                <w:w w:val="99"/>
              </w:rPr>
              <w:t>Amounts</w:t>
            </w:r>
          </w:p>
        </w:tc>
        <w:tc>
          <w:tcPr>
            <w:tcW w:w="8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9"/>
              </w:rPr>
              <w:t>Amounts</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Total For</w:t>
            </w: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left="190"/>
              <w:spacing w:after="0" w:line="147" w:lineRule="exact"/>
              <w:rPr>
                <w:sz w:val="20"/>
                <w:szCs w:val="20"/>
                <w:color w:val="auto"/>
              </w:rPr>
            </w:pPr>
            <w:r>
              <w:rPr>
                <w:rFonts w:ascii="Arial" w:cs="Arial" w:eastAsia="Arial" w:hAnsi="Arial"/>
                <w:sz w:val="14"/>
                <w:szCs w:val="14"/>
                <w:b w:val="1"/>
                <w:bCs w:val="1"/>
                <w:color w:val="auto"/>
                <w:w w:val="94"/>
              </w:rPr>
              <w:t>Requiring</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Requiring</w:t>
            </w:r>
          </w:p>
        </w:tc>
        <w:tc>
          <w:tcPr>
            <w:tcW w:w="64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Permit</w:t>
            </w:r>
          </w:p>
        </w:tc>
        <w:tc>
          <w:tcPr>
            <w:tcW w:w="0" w:type="dxa"/>
            <w:vAlign w:val="bottom"/>
          </w:tcPr>
          <w:p>
            <w:pPr>
              <w:spacing w:after="0"/>
              <w:rPr>
                <w:sz w:val="1"/>
                <w:szCs w:val="1"/>
                <w:color w:val="auto"/>
              </w:rPr>
            </w:pPr>
          </w:p>
        </w:tc>
      </w:tr>
      <w:tr>
        <w:trPr>
          <w:trHeight w:val="147"/>
        </w:trPr>
        <w:tc>
          <w:tcPr>
            <w:tcW w:w="18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Type of Cryogen</w:t>
            </w:r>
          </w:p>
        </w:tc>
        <w:tc>
          <w:tcPr>
            <w:tcW w:w="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Floor 1</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4"/>
          </w:tcPr>
          <w:p>
            <w:pPr>
              <w:jc w:val="center"/>
              <w:ind w:right="109"/>
              <w:spacing w:after="0" w:line="147" w:lineRule="exact"/>
              <w:rPr>
                <w:sz w:val="20"/>
                <w:szCs w:val="20"/>
                <w:color w:val="auto"/>
              </w:rPr>
            </w:pPr>
            <w:r>
              <w:rPr>
                <w:rFonts w:ascii="Arial" w:cs="Arial" w:eastAsia="Arial" w:hAnsi="Arial"/>
                <w:sz w:val="14"/>
                <w:szCs w:val="14"/>
                <w:b w:val="1"/>
                <w:bCs w:val="1"/>
                <w:color w:val="auto"/>
                <w:w w:val="89"/>
              </w:rPr>
              <w:t>Each</w:t>
            </w:r>
          </w:p>
        </w:tc>
        <w:tc>
          <w:tcPr>
            <w:tcW w:w="700" w:type="dxa"/>
            <w:vAlign w:val="bottom"/>
            <w:gridSpan w:val="3"/>
            <w:vMerge w:val="continue"/>
          </w:tcPr>
          <w:p>
            <w:pPr>
              <w:spacing w:after="0"/>
              <w:rPr>
                <w:sz w:val="12"/>
                <w:szCs w:val="12"/>
                <w:color w:val="auto"/>
              </w:rPr>
            </w:pPr>
          </w:p>
        </w:tc>
        <w:tc>
          <w:tcPr>
            <w:tcW w:w="202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Requiring Permit   Permit</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Permit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880" w:type="dxa"/>
            <w:vAlign w:val="bottom"/>
            <w:gridSpan w:val="8"/>
          </w:tcPr>
          <w:p>
            <w:pPr>
              <w:spacing w:after="0" w:line="157" w:lineRule="exact"/>
              <w:rPr>
                <w:sz w:val="20"/>
                <w:szCs w:val="20"/>
                <w:color w:val="auto"/>
              </w:rPr>
            </w:pPr>
            <w:r>
              <w:rPr>
                <w:rFonts w:ascii="Arial" w:cs="Arial" w:eastAsia="Arial" w:hAnsi="Arial"/>
                <w:sz w:val="14"/>
                <w:szCs w:val="14"/>
                <w:b w:val="1"/>
                <w:bCs w:val="1"/>
                <w:color w:val="auto"/>
              </w:rPr>
              <w:t>Floor 2  Floor 3   Cryogen</w:t>
            </w:r>
          </w:p>
        </w:tc>
        <w:tc>
          <w:tcPr>
            <w:tcW w:w="70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1"/>
              </w:rPr>
              <w:t>Type</w:t>
            </w:r>
          </w:p>
        </w:tc>
        <w:tc>
          <w:tcPr>
            <w:tcW w:w="1020" w:type="dxa"/>
            <w:vAlign w:val="bottom"/>
            <w:gridSpan w:val="2"/>
          </w:tcPr>
          <w:p>
            <w:pPr>
              <w:ind w:left="400"/>
              <w:spacing w:after="0" w:line="157" w:lineRule="exact"/>
              <w:rPr>
                <w:sz w:val="20"/>
                <w:szCs w:val="20"/>
                <w:color w:val="auto"/>
              </w:rPr>
            </w:pPr>
            <w:r>
              <w:rPr>
                <w:rFonts w:ascii="Arial" w:cs="Arial" w:eastAsia="Arial" w:hAnsi="Arial"/>
                <w:sz w:val="14"/>
                <w:szCs w:val="14"/>
                <w:b w:val="1"/>
                <w:bCs w:val="1"/>
                <w:color w:val="auto"/>
              </w:rPr>
              <w:t>(Indoor)</w:t>
            </w:r>
          </w:p>
        </w:tc>
        <w:tc>
          <w:tcPr>
            <w:tcW w:w="1000" w:type="dxa"/>
            <w:vAlign w:val="bottom"/>
            <w:gridSpan w:val="2"/>
          </w:tcPr>
          <w:p>
            <w:pPr>
              <w:jc w:val="center"/>
              <w:ind w:left="170"/>
              <w:spacing w:after="0" w:line="157" w:lineRule="exact"/>
              <w:rPr>
                <w:sz w:val="20"/>
                <w:szCs w:val="20"/>
                <w:color w:val="auto"/>
              </w:rPr>
            </w:pPr>
            <w:r>
              <w:rPr>
                <w:rFonts w:ascii="Arial" w:cs="Arial" w:eastAsia="Arial" w:hAnsi="Arial"/>
                <w:sz w:val="14"/>
                <w:szCs w:val="14"/>
                <w:b w:val="1"/>
                <w:bCs w:val="1"/>
                <w:color w:val="auto"/>
                <w:w w:val="92"/>
              </w:rPr>
              <w:t>(Indoors)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(Outdoors)</w:t>
            </w:r>
          </w:p>
        </w:tc>
        <w:tc>
          <w:tcPr>
            <w:tcW w:w="640" w:type="dxa"/>
            <w:vAlign w:val="bottom"/>
          </w:tcPr>
          <w:p>
            <w:pPr>
              <w:jc w:val="center"/>
              <w:ind w:left="9"/>
              <w:spacing w:after="0" w:line="157" w:lineRule="exact"/>
              <w:rPr>
                <w:sz w:val="20"/>
                <w:szCs w:val="20"/>
                <w:color w:val="auto"/>
              </w:rPr>
            </w:pPr>
            <w:r>
              <w:rPr>
                <w:rFonts w:ascii="Arial" w:cs="Arial" w:eastAsia="Arial" w:hAnsi="Arial"/>
                <w:sz w:val="14"/>
                <w:szCs w:val="14"/>
                <w:b w:val="1"/>
                <w:bCs w:val="1"/>
                <w:color w:val="auto"/>
                <w:w w:val="88"/>
              </w:rPr>
              <w:t>Needed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-2012315</wp:posOffset>
            </wp:positionV>
            <wp:extent cx="2378075" cy="55181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378075" cy="55181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-1052195</wp:posOffset>
            </wp:positionV>
            <wp:extent cx="2378075" cy="27178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378075" cy="2717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640" w:space="720"/>
            <w:col w:w="8560"/>
          </w:cols>
          <w:pgMar w:left="480" w:top="332" w:right="499" w:bottom="1440" w:gutter="0" w:footer="0" w:header="0"/>
        </w:sectPr>
      </w:pPr>
    </w:p>
    <w:tbl>
      <w:tblPr>
        <w:tblLayout w:type="fixed"/>
        <w:tblInd w:w="0" w:type="dxa"/>
        <w:tblCellMar>
          <w:top w:w="0" w:type="dxa"/>
          <w:left w:w="0" w:type="dxa"/>
          <w:bottom w:w="0" w:type="dxa"/>
          <w:right w:w="0" w:type="dxa"/>
        </w:tblCellMar>
      </w:tblPr>
      <w:tr>
        <w:trPr>
          <w:trHeight w:val="20"/>
        </w:trPr>
        <w:tc>
          <w:tcPr>
            <w:tcW w:w="64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1"/>
        </w:trPr>
        <w:tc>
          <w:tcPr>
            <w:tcW w:w="282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Liquid Nitrogen</w:t>
            </w: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4"/>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(Specify)</w:t>
            </w: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 Flammable</w:t>
            </w:r>
          </w:p>
        </w:tc>
        <w:tc>
          <w:tcPr>
            <w:tcW w:w="44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&gt; 60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&gt; 500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(Specify)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0"/>
        </w:trPr>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5"/>
          </w:tcPr>
          <w:p>
            <w:pPr>
              <w:jc w:val="right"/>
              <w:ind w:right="1020"/>
              <w:spacing w:after="0"/>
              <w:rPr>
                <w:sz w:val="20"/>
                <w:szCs w:val="20"/>
                <w:color w:val="auto"/>
              </w:rPr>
            </w:pPr>
            <w:r>
              <w:rPr>
                <w:rFonts w:ascii="Arial" w:cs="Arial" w:eastAsia="Arial" w:hAnsi="Arial"/>
                <w:sz w:val="18"/>
                <w:szCs w:val="18"/>
                <w:color w:val="auto"/>
                <w:w w:val="97"/>
              </w:rPr>
              <w:t>F-20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20"/>
          </w:cols>
          <w:pgMar w:left="480" w:top="332" w:right="499" w:bottom="1440" w:gutter="0" w:footer="0" w:header="0"/>
          <w:type w:val="continuous"/>
        </w:sectPr>
      </w:pPr>
    </w:p>
    <w:bookmarkStart w:id="689" w:name="page690"/>
    <w:bookmarkEnd w:id="689"/>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F-3</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PROHIBITED HAZARDOUS MATERIALS</w:t>
      </w:r>
    </w:p>
    <w:p>
      <w:pPr>
        <w:spacing w:after="0" w:line="221" w:lineRule="exact"/>
        <w:rPr>
          <w:sz w:val="20"/>
          <w:szCs w:val="20"/>
          <w:color w:val="auto"/>
        </w:rPr>
      </w:pPr>
    </w:p>
    <w:p>
      <w:pPr>
        <w:jc w:val="both"/>
        <w:ind w:right="200" w:firstLine="7"/>
        <w:spacing w:after="0" w:line="309" w:lineRule="auto"/>
        <w:tabs>
          <w:tab w:leader="none" w:pos="193" w:val="left"/>
        </w:tabs>
        <w:numPr>
          <w:ilvl w:val="0"/>
          <w:numId w:val="588"/>
        </w:numPr>
        <w:rPr>
          <w:rFonts w:ascii="Arial" w:cs="Arial" w:eastAsia="Arial" w:hAnsi="Arial"/>
          <w:sz w:val="16"/>
          <w:szCs w:val="16"/>
          <w:color w:val="auto"/>
        </w:rPr>
      </w:pPr>
      <w:r>
        <w:rPr>
          <w:rFonts w:ascii="Arial" w:cs="Arial" w:eastAsia="Arial" w:hAnsi="Arial"/>
          <w:sz w:val="16"/>
          <w:szCs w:val="16"/>
          <w:b w:val="1"/>
          <w:bCs w:val="1"/>
          <w:color w:val="auto"/>
        </w:rPr>
        <w:t xml:space="preserve">Selected biological agents and toxins </w:t>
      </w:r>
      <w:r>
        <w:rPr>
          <w:rFonts w:ascii="Arial" w:cs="Arial" w:eastAsia="Arial" w:hAnsi="Arial"/>
          <w:sz w:val="16"/>
          <w:szCs w:val="16"/>
          <w:color w:val="auto"/>
        </w:rPr>
        <w:t>(Select Agents) as defined by the Federal Select Agent Program (http://www.selectagents.gov/) which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potential to pose a severe threat to public, animal or plant health or to animal or plant products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require registration to possess, use or transfer. Select Agents are regulated under 7CFR Part 331, 9 CFR Part 121 and 42 CFR Part 73, and may also be regulated by the City of Boston.</w:t>
      </w:r>
    </w:p>
    <w:p>
      <w:pPr>
        <w:spacing w:after="0" w:line="38" w:lineRule="exact"/>
        <w:rPr>
          <w:rFonts w:ascii="Arial" w:cs="Arial" w:eastAsia="Arial" w:hAnsi="Arial"/>
          <w:sz w:val="16"/>
          <w:szCs w:val="16"/>
          <w:color w:val="auto"/>
        </w:rPr>
      </w:pPr>
    </w:p>
    <w:p>
      <w:pPr>
        <w:ind w:right="100" w:firstLine="7"/>
        <w:spacing w:after="0" w:line="261" w:lineRule="auto"/>
        <w:tabs>
          <w:tab w:leader="none" w:pos="193"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 xml:space="preserve">Chemicals that present a high level of security risk </w:t>
      </w:r>
      <w:r>
        <w:rPr>
          <w:rFonts w:ascii="Arial" w:cs="Arial" w:eastAsia="Arial" w:hAnsi="Arial"/>
          <w:sz w:val="18"/>
          <w:szCs w:val="18"/>
          <w:color w:val="auto"/>
        </w:rPr>
        <w:t>under the April 2007 Department of Homeland Security—Chemical Facilities Anti-Terrorism</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(CFATS) regulation (http://www.dhs.gov/identifying-facilities-covered-chemical-security-regulation), that are at or above the applicable Screening Threshold Quantity.</w:t>
      </w:r>
    </w:p>
    <w:p>
      <w:pPr>
        <w:spacing w:after="0" w:line="73" w:lineRule="exact"/>
        <w:rPr>
          <w:rFonts w:ascii="Arial" w:cs="Arial" w:eastAsia="Arial" w:hAnsi="Arial"/>
          <w:sz w:val="18"/>
          <w:szCs w:val="18"/>
          <w:color w:val="auto"/>
        </w:rPr>
      </w:pPr>
    </w:p>
    <w:p>
      <w:pPr>
        <w:ind w:left="200" w:hanging="193"/>
        <w:spacing w:after="0"/>
        <w:tabs>
          <w:tab w:leader="none" w:pos="20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The following chemicals: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Perchloric Acid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Picric Acid</w:t>
      </w:r>
    </w:p>
    <w:p>
      <w:pPr>
        <w:spacing w:after="0" w:line="114" w:lineRule="exact"/>
        <w:rPr>
          <w:sz w:val="20"/>
          <w:szCs w:val="20"/>
          <w:color w:val="auto"/>
        </w:rPr>
      </w:pPr>
    </w:p>
    <w:p>
      <w:pPr>
        <w:ind w:left="440" w:right="1100"/>
        <w:spacing w:after="0" w:line="257" w:lineRule="auto"/>
        <w:rPr>
          <w:sz w:val="20"/>
          <w:szCs w:val="20"/>
          <w:color w:val="auto"/>
        </w:rPr>
      </w:pPr>
      <w:r>
        <w:rPr>
          <w:rFonts w:ascii="Arial" w:cs="Arial" w:eastAsia="Arial" w:hAnsi="Arial"/>
          <w:sz w:val="18"/>
          <w:szCs w:val="18"/>
          <w:b w:val="1"/>
          <w:bCs w:val="1"/>
          <w:color w:val="auto"/>
        </w:rPr>
        <w:t>Pyrophoric Material</w:t>
      </w:r>
      <w:r>
        <w:rPr>
          <w:rFonts w:ascii="Arial" w:cs="Arial" w:eastAsia="Arial" w:hAnsi="Arial"/>
          <w:sz w:val="18"/>
          <w:szCs w:val="18"/>
          <w:color w:val="auto"/>
        </w:rPr>
        <w:t>: As defined in 780 CMR as a chemical with an auto ignition temperature in air, at or below a temperature of</w:t>
      </w:r>
      <w:r>
        <w:rPr>
          <w:rFonts w:ascii="Arial" w:cs="Arial" w:eastAsia="Arial" w:hAnsi="Arial"/>
          <w:sz w:val="18"/>
          <w:szCs w:val="18"/>
          <w:b w:val="1"/>
          <w:bCs w:val="1"/>
          <w:color w:val="auto"/>
        </w:rPr>
        <w:t xml:space="preserve"> </w:t>
      </w:r>
      <w:r>
        <w:rPr>
          <w:rFonts w:ascii="Arial" w:cs="Arial" w:eastAsia="Arial" w:hAnsi="Arial"/>
          <w:sz w:val="18"/>
          <w:szCs w:val="18"/>
          <w:color w:val="auto"/>
        </w:rPr>
        <w:t>130°F (54.4°C).</w:t>
      </w:r>
    </w:p>
    <w:p>
      <w:pPr>
        <w:spacing w:after="0" w:line="2" w:lineRule="exact"/>
        <w:rPr>
          <w:sz w:val="20"/>
          <w:szCs w:val="20"/>
          <w:color w:val="auto"/>
        </w:rPr>
      </w:pPr>
    </w:p>
    <w:p>
      <w:pPr>
        <w:ind w:left="440"/>
        <w:spacing w:after="0" w:line="285" w:lineRule="auto"/>
        <w:rPr>
          <w:sz w:val="20"/>
          <w:szCs w:val="20"/>
          <w:color w:val="auto"/>
        </w:rPr>
      </w:pPr>
      <w:r>
        <w:rPr>
          <w:rFonts w:ascii="Arial" w:cs="Arial" w:eastAsia="Arial" w:hAnsi="Arial"/>
          <w:sz w:val="17"/>
          <w:szCs w:val="17"/>
          <w:b w:val="1"/>
          <w:bCs w:val="1"/>
          <w:color w:val="auto"/>
        </w:rPr>
        <w:t>Oxidizer Class 3</w:t>
      </w:r>
      <w:r>
        <w:rPr>
          <w:rFonts w:ascii="Arial" w:cs="Arial" w:eastAsia="Arial" w:hAnsi="Arial"/>
          <w:sz w:val="17"/>
          <w:szCs w:val="17"/>
          <w:color w:val="auto"/>
        </w:rPr>
        <w:t>: As defined in 780 CMR as an oxidizer that will cause a severe increase in the burning rate of combustible materials with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oxidizer comes in contact or that will undergo vigorous self-sustained decomposition due to contamination or exposure to heat.</w:t>
      </w:r>
    </w:p>
    <w:p>
      <w:pPr>
        <w:spacing w:after="0" w:line="54"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b w:val="1"/>
          <w:bCs w:val="1"/>
          <w:color w:val="auto"/>
        </w:rPr>
        <w:t>Toxic Gas</w:t>
      </w:r>
      <w:r>
        <w:rPr>
          <w:rFonts w:ascii="Arial" w:cs="Arial" w:eastAsia="Arial" w:hAnsi="Arial"/>
          <w:sz w:val="18"/>
          <w:szCs w:val="18"/>
          <w:color w:val="auto"/>
        </w:rPr>
        <w:t>: As defined in 527 CMR as a gas that has a median lethal concentration (LC50) in air of more than 200 parts per million, but not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2,000 parts per million by volume of gas or vapor, or 2 milligrams per liter but no more than 20 milligrams per liter of mist, fume, or dust, when administered by continuous inhalation for 1 hour (or less if death occurs within 1 hour) to albino rats weighing between 0.44 lb and 0.66 lb (200 and 300 grams) each.</w:t>
      </w:r>
    </w:p>
    <w:p>
      <w:pPr>
        <w:spacing w:after="0" w:line="76" w:lineRule="exact"/>
        <w:rPr>
          <w:sz w:val="20"/>
          <w:szCs w:val="20"/>
          <w:color w:val="auto"/>
        </w:rPr>
      </w:pPr>
    </w:p>
    <w:p>
      <w:pPr>
        <w:ind w:left="440" w:right="60"/>
        <w:spacing w:after="0" w:line="275" w:lineRule="auto"/>
        <w:rPr>
          <w:sz w:val="20"/>
          <w:szCs w:val="20"/>
          <w:color w:val="auto"/>
        </w:rPr>
      </w:pPr>
      <w:r>
        <w:rPr>
          <w:rFonts w:ascii="Arial" w:cs="Arial" w:eastAsia="Arial" w:hAnsi="Arial"/>
          <w:sz w:val="18"/>
          <w:szCs w:val="18"/>
          <w:b w:val="1"/>
          <w:bCs w:val="1"/>
          <w:color w:val="auto"/>
        </w:rPr>
        <w:t>Corrosive Gas</w:t>
      </w:r>
      <w:r>
        <w:rPr>
          <w:rFonts w:ascii="Arial" w:cs="Arial" w:eastAsia="Arial" w:hAnsi="Arial"/>
          <w:sz w:val="18"/>
          <w:szCs w:val="18"/>
          <w:color w:val="auto"/>
        </w:rPr>
        <w:t>: As defined in 527 CMR as a gas that causes visible destruction of or irreversible alterations in living tissue by chemical action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site of contact.</w:t>
      </w:r>
    </w:p>
    <w:p>
      <w:pPr>
        <w:spacing w:after="0" w:line="61" w:lineRule="exact"/>
        <w:rPr>
          <w:sz w:val="20"/>
          <w:szCs w:val="20"/>
          <w:color w:val="auto"/>
        </w:rPr>
      </w:pPr>
    </w:p>
    <w:p>
      <w:pPr>
        <w:ind w:left="200" w:hanging="193"/>
        <w:spacing w:after="0"/>
        <w:tabs>
          <w:tab w:leader="none" w:pos="200"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Radioactive Materials and Devices</w:t>
      </w:r>
      <w:r>
        <w:rPr>
          <w:rFonts w:ascii="Arial" w:cs="Arial" w:eastAsia="Arial" w:hAnsi="Arial"/>
          <w:sz w:val="18"/>
          <w:szCs w:val="18"/>
          <w:color w:val="auto"/>
        </w:rPr>
        <w:t>: as regulated in 105 CMR 120 Radiation Control Program.</w:t>
      </w:r>
    </w:p>
    <w:p>
      <w:pPr>
        <w:spacing w:after="0" w:line="117" w:lineRule="exact"/>
        <w:rPr>
          <w:rFonts w:ascii="Arial" w:cs="Arial" w:eastAsia="Arial" w:hAnsi="Arial"/>
          <w:sz w:val="18"/>
          <w:szCs w:val="18"/>
          <w:color w:val="auto"/>
        </w:rPr>
      </w:pPr>
    </w:p>
    <w:p>
      <w:pPr>
        <w:ind w:left="200" w:hanging="193"/>
        <w:spacing w:after="0"/>
        <w:tabs>
          <w:tab w:leader="none" w:pos="200" w:val="left"/>
        </w:tabs>
        <w:numPr>
          <w:ilvl w:val="0"/>
          <w:numId w:val="589"/>
        </w:numPr>
        <w:rPr>
          <w:rFonts w:ascii="Arial" w:cs="Arial" w:eastAsia="Arial" w:hAnsi="Arial"/>
          <w:sz w:val="17"/>
          <w:szCs w:val="17"/>
          <w:color w:val="auto"/>
        </w:rPr>
      </w:pPr>
      <w:r>
        <w:rPr>
          <w:rFonts w:ascii="Arial" w:cs="Arial" w:eastAsia="Arial" w:hAnsi="Arial"/>
          <w:sz w:val="17"/>
          <w:szCs w:val="17"/>
          <w:u w:val="single" w:color="auto"/>
          <w:color w:val="auto"/>
        </w:rPr>
        <w:t>Explosive Materials</w:t>
      </w:r>
      <w:r>
        <w:rPr>
          <w:rFonts w:ascii="Arial" w:cs="Arial" w:eastAsia="Arial" w:hAnsi="Arial"/>
          <w:sz w:val="17"/>
          <w:szCs w:val="17"/>
          <w:color w:val="auto"/>
        </w:rPr>
        <w:t>: as defined in 18 USC 841(c) of the Federal explosives statutes in United States Code, CHAPTER 40—IMPORTATION,</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MANUFACTURE, DISTRIBUTION AND STORAGE OF EXPLOSIVE MATERIALS.</w:t>
      </w:r>
    </w:p>
    <w:p>
      <w:pPr>
        <w:spacing w:after="0" w:line="101" w:lineRule="exact"/>
        <w:rPr>
          <w:rFonts w:ascii="Arial" w:cs="Arial" w:eastAsia="Arial" w:hAnsi="Arial"/>
          <w:sz w:val="17"/>
          <w:szCs w:val="17"/>
          <w:color w:val="auto"/>
        </w:rPr>
      </w:pPr>
    </w:p>
    <w:p>
      <w:pPr>
        <w:ind w:right="440" w:firstLine="7"/>
        <w:spacing w:after="0" w:line="335" w:lineRule="auto"/>
        <w:tabs>
          <w:tab w:leader="none" w:pos="193" w:val="left"/>
        </w:tabs>
        <w:numPr>
          <w:ilvl w:val="0"/>
          <w:numId w:val="589"/>
        </w:numPr>
        <w:rPr>
          <w:rFonts w:ascii="Arial" w:cs="Arial" w:eastAsia="Arial" w:hAnsi="Arial"/>
          <w:sz w:val="16"/>
          <w:szCs w:val="16"/>
          <w:color w:val="auto"/>
        </w:rPr>
      </w:pPr>
      <w:r>
        <w:rPr>
          <w:rFonts w:ascii="Arial" w:cs="Arial" w:eastAsia="Arial" w:hAnsi="Arial"/>
          <w:sz w:val="16"/>
          <w:szCs w:val="16"/>
          <w:u w:val="single" w:color="auto"/>
          <w:color w:val="auto"/>
        </w:rPr>
        <w:t>Oxidizer Class 4</w:t>
      </w:r>
      <w:r>
        <w:rPr>
          <w:rFonts w:ascii="Arial" w:cs="Arial" w:eastAsia="Arial" w:hAnsi="Arial"/>
          <w:sz w:val="16"/>
          <w:szCs w:val="16"/>
          <w:color w:val="auto"/>
        </w:rPr>
        <w:t>: As defined in 780 CMR as an oxidizer that can undergo an explosive reaction due to contamination or exposure to thermal or physical shock. Additionally, the oxidizer will enhance the burning rate and is capable of causing spontaneous ignition of combustibles.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0860"/>
          </w:cols>
          <w:pgMar w:left="480" w:top="273" w:right="559"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 </w:t>
      </w:r>
      <w:r>
        <w:rPr>
          <w:rFonts w:ascii="Arial" w:cs="Arial" w:eastAsia="Arial" w:hAnsi="Arial"/>
          <w:sz w:val="18"/>
          <w:szCs w:val="18"/>
          <w:u w:val="single" w:color="auto"/>
          <w:color w:val="auto"/>
        </w:rPr>
        <w:t>Organic Peroxides</w:t>
      </w:r>
      <w:r>
        <w:rPr>
          <w:rFonts w:ascii="Arial" w:cs="Arial" w:eastAsia="Arial" w:hAnsi="Arial"/>
          <w:sz w:val="18"/>
          <w:szCs w:val="18"/>
          <w:color w:val="auto"/>
        </w:rPr>
        <w:t>: As defined in 780 CMR.</w:t>
      </w:r>
    </w:p>
    <w:p>
      <w:pPr>
        <w:spacing w:after="0" w:line="110" w:lineRule="exact"/>
        <w:rPr>
          <w:sz w:val="20"/>
          <w:szCs w:val="20"/>
          <w:color w:val="auto"/>
        </w:rPr>
      </w:pPr>
    </w:p>
    <w:p>
      <w:pPr>
        <w:ind w:left="440"/>
        <w:spacing w:after="0" w:line="275" w:lineRule="auto"/>
        <w:rPr>
          <w:sz w:val="20"/>
          <w:szCs w:val="20"/>
          <w:color w:val="auto"/>
        </w:rPr>
      </w:pPr>
      <w:r>
        <w:rPr>
          <w:rFonts w:ascii="Arial" w:cs="Arial" w:eastAsia="Arial" w:hAnsi="Arial"/>
          <w:sz w:val="18"/>
          <w:szCs w:val="18"/>
          <w:b w:val="1"/>
          <w:bCs w:val="1"/>
          <w:color w:val="auto"/>
        </w:rPr>
        <w:t>Unclassified detonable</w:t>
      </w:r>
      <w:r>
        <w:rPr>
          <w:rFonts w:ascii="Arial" w:cs="Arial" w:eastAsia="Arial" w:hAnsi="Arial"/>
          <w:sz w:val="18"/>
          <w:szCs w:val="18"/>
          <w:color w:val="auto"/>
        </w:rPr>
        <w:t>: Organic peroxides which are capable of detonation. These peroxides present an extremely high explosion hazard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rapid explosive decomposition.</w:t>
      </w:r>
    </w:p>
    <w:p>
      <w:pPr>
        <w:spacing w:after="0" w:line="61" w:lineRule="exact"/>
        <w:rPr>
          <w:sz w:val="20"/>
          <w:szCs w:val="20"/>
          <w:color w:val="auto"/>
        </w:rPr>
      </w:pPr>
    </w:p>
    <w:p>
      <w:pPr>
        <w:ind w:left="440" w:right="120"/>
        <w:spacing w:after="0" w:line="275" w:lineRule="auto"/>
        <w:rPr>
          <w:sz w:val="20"/>
          <w:szCs w:val="20"/>
          <w:color w:val="auto"/>
        </w:rPr>
      </w:pPr>
      <w:r>
        <w:rPr>
          <w:rFonts w:ascii="Arial" w:cs="Arial" w:eastAsia="Arial" w:hAnsi="Arial"/>
          <w:sz w:val="18"/>
          <w:szCs w:val="18"/>
          <w:b w:val="1"/>
          <w:bCs w:val="1"/>
          <w:color w:val="auto"/>
        </w:rPr>
        <w:t>Class I</w:t>
      </w:r>
      <w:r>
        <w:rPr>
          <w:rFonts w:ascii="Arial" w:cs="Arial" w:eastAsia="Arial" w:hAnsi="Arial"/>
          <w:sz w:val="18"/>
          <w:szCs w:val="18"/>
          <w:color w:val="auto"/>
        </w:rPr>
        <w:t>: Class I organic peroxides are capable of deflagration, but not detonation. These peroxides present a high explosion hazard through rapid</w:t>
      </w:r>
      <w:r>
        <w:rPr>
          <w:rFonts w:ascii="Arial" w:cs="Arial" w:eastAsia="Arial" w:hAnsi="Arial"/>
          <w:sz w:val="18"/>
          <w:szCs w:val="18"/>
          <w:b w:val="1"/>
          <w:bCs w:val="1"/>
          <w:color w:val="auto"/>
        </w:rPr>
        <w:t xml:space="preserve"> </w:t>
      </w:r>
      <w:r>
        <w:rPr>
          <w:rFonts w:ascii="Arial" w:cs="Arial" w:eastAsia="Arial" w:hAnsi="Arial"/>
          <w:sz w:val="18"/>
          <w:szCs w:val="18"/>
          <w:color w:val="auto"/>
        </w:rPr>
        <w:t>decomposition.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8) Unstable (reactive) materials: As defined in 780 CMR.</w:t>
      </w:r>
    </w:p>
    <w:p>
      <w:pPr>
        <w:spacing w:after="0" w:line="110" w:lineRule="exact"/>
        <w:rPr>
          <w:sz w:val="20"/>
          <w:szCs w:val="20"/>
          <w:color w:val="auto"/>
        </w:rPr>
      </w:pPr>
    </w:p>
    <w:p>
      <w:pPr>
        <w:ind w:left="440" w:right="40"/>
        <w:spacing w:after="0" w:line="261" w:lineRule="auto"/>
        <w:rPr>
          <w:sz w:val="20"/>
          <w:szCs w:val="20"/>
          <w:color w:val="auto"/>
        </w:rPr>
      </w:pPr>
      <w:r>
        <w:rPr>
          <w:rFonts w:ascii="Arial" w:cs="Arial" w:eastAsia="Arial" w:hAnsi="Arial"/>
          <w:sz w:val="18"/>
          <w:szCs w:val="18"/>
          <w:b w:val="1"/>
          <w:bCs w:val="1"/>
          <w:color w:val="auto"/>
        </w:rPr>
        <w:t>Class 4</w:t>
      </w:r>
      <w:r>
        <w:rPr>
          <w:rFonts w:ascii="Arial" w:cs="Arial" w:eastAsia="Arial" w:hAnsi="Arial"/>
          <w:sz w:val="18"/>
          <w:szCs w:val="18"/>
          <w:color w:val="auto"/>
        </w:rPr>
        <w:t>: Materials that in themselves are readily capable of detonation or explosive decomposition or explosive reaction at normal temperatures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pressures. This class includes, among others, materials that are sensitive to localized thermal or mechanical shock at normal temperatures and pressures.</w:t>
      </w:r>
    </w:p>
    <w:p>
      <w:pPr>
        <w:spacing w:after="0" w:line="74" w:lineRule="exact"/>
        <w:rPr>
          <w:sz w:val="20"/>
          <w:szCs w:val="20"/>
          <w:color w:val="auto"/>
        </w:rPr>
      </w:pPr>
    </w:p>
    <w:p>
      <w:pPr>
        <w:ind w:left="440" w:right="440"/>
        <w:spacing w:after="0" w:line="261" w:lineRule="auto"/>
        <w:rPr>
          <w:sz w:val="20"/>
          <w:szCs w:val="20"/>
          <w:color w:val="auto"/>
        </w:rPr>
      </w:pPr>
      <w:r>
        <w:rPr>
          <w:rFonts w:ascii="Arial" w:cs="Arial" w:eastAsia="Arial" w:hAnsi="Arial"/>
          <w:sz w:val="18"/>
          <w:szCs w:val="18"/>
          <w:b w:val="1"/>
          <w:bCs w:val="1"/>
          <w:color w:val="auto"/>
        </w:rPr>
        <w:t>Class 3</w:t>
      </w:r>
      <w:r>
        <w:rPr>
          <w:rFonts w:ascii="Arial" w:cs="Arial" w:eastAsia="Arial" w:hAnsi="Arial"/>
          <w:sz w:val="18"/>
          <w:szCs w:val="18"/>
          <w:color w:val="auto"/>
        </w:rPr>
        <w:t>: Materials that in themselves are capable of detonation or explosive decomposition or explosive reaction, but that require a strong</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initiating source or that must be heated under confinement before initiation. This class includes, among others, materials that are sensitive to thermal or mechanical shock at elevated temperatures and pressures.</w:t>
      </w:r>
    </w:p>
    <w:p>
      <w:pPr>
        <w:spacing w:after="0" w:line="78" w:lineRule="exact"/>
        <w:rPr>
          <w:sz w:val="20"/>
          <w:szCs w:val="20"/>
          <w:color w:val="auto"/>
        </w:rPr>
      </w:pPr>
    </w:p>
    <w:p>
      <w:pPr>
        <w:ind w:left="200" w:hanging="193"/>
        <w:spacing w:after="0"/>
        <w:tabs>
          <w:tab w:leader="none" w:pos="200"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Water-reactive materials</w:t>
      </w:r>
      <w:r>
        <w:rPr>
          <w:rFonts w:ascii="Arial" w:cs="Arial" w:eastAsia="Arial" w:hAnsi="Arial"/>
          <w:sz w:val="18"/>
          <w:szCs w:val="18"/>
          <w:color w:val="auto"/>
        </w:rPr>
        <w:t>: As defined in 780 CMR.</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Class 3</w:t>
      </w:r>
      <w:r>
        <w:rPr>
          <w:rFonts w:ascii="Arial" w:cs="Arial" w:eastAsia="Arial" w:hAnsi="Arial"/>
          <w:sz w:val="18"/>
          <w:szCs w:val="18"/>
          <w:color w:val="auto"/>
        </w:rPr>
        <w:t>: Materials which react explosively with water without requiring heat or confinement.</w:t>
      </w:r>
    </w:p>
    <w:p>
      <w:pPr>
        <w:spacing w:after="0" w:line="118" w:lineRule="exact"/>
        <w:rPr>
          <w:sz w:val="20"/>
          <w:szCs w:val="20"/>
          <w:color w:val="auto"/>
        </w:rPr>
      </w:pPr>
    </w:p>
    <w:p>
      <w:pPr>
        <w:ind w:left="280" w:hanging="273"/>
        <w:spacing w:after="0"/>
        <w:tabs>
          <w:tab w:leader="none" w:pos="280"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Cryogenic liquids (flammable or oxidizing)</w:t>
      </w:r>
      <w:r>
        <w:rPr>
          <w:rFonts w:ascii="Arial" w:cs="Arial" w:eastAsia="Arial" w:hAnsi="Arial"/>
          <w:sz w:val="18"/>
          <w:szCs w:val="18"/>
          <w:color w:val="auto"/>
        </w:rPr>
        <w:t>: As defined in 780 CMR as any liquid that has a boiling point below -200°F (-129°C).</w:t>
      </w:r>
    </w:p>
    <w:p>
      <w:pPr>
        <w:spacing w:after="0" w:line="109" w:lineRule="exact"/>
        <w:rPr>
          <w:rFonts w:ascii="Arial" w:cs="Arial" w:eastAsia="Arial" w:hAnsi="Arial"/>
          <w:sz w:val="18"/>
          <w:szCs w:val="18"/>
          <w:color w:val="auto"/>
        </w:rPr>
      </w:pPr>
    </w:p>
    <w:p>
      <w:pPr>
        <w:ind w:right="60" w:firstLine="7"/>
        <w:spacing w:after="0" w:line="261" w:lineRule="auto"/>
        <w:tabs>
          <w:tab w:leader="none" w:pos="275"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Highly Toxic Gas</w:t>
      </w:r>
      <w:r>
        <w:rPr>
          <w:rFonts w:ascii="Arial" w:cs="Arial" w:eastAsia="Arial" w:hAnsi="Arial"/>
          <w:sz w:val="18"/>
          <w:szCs w:val="18"/>
          <w:b w:val="1"/>
          <w:bCs w:val="1"/>
          <w:color w:val="auto"/>
        </w:rPr>
        <w:t>:</w:t>
      </w:r>
      <w:r>
        <w:rPr>
          <w:rFonts w:ascii="Arial" w:cs="Arial" w:eastAsia="Arial" w:hAnsi="Arial"/>
          <w:sz w:val="18"/>
          <w:szCs w:val="18"/>
          <w:color w:val="auto"/>
        </w:rPr>
        <w:t xml:space="preserve"> As defined in 527 CMR as a chemical that has a median lethal concentration (LC50) in air of 200 parts per million by volume or less of gas or vapor, or 2 milligrams per liter or less of mist, fume, or dust, when administered by continuous inhalation for 1 hour (or less if death occurs within 1 hour) to albino rats weighing between 0.44 lb and 0.66 lb (200 and 300 grams) each.</w:t>
      </w:r>
    </w:p>
    <w:p>
      <w:pPr>
        <w:spacing w:after="0" w:line="77" w:lineRule="exact"/>
        <w:rPr>
          <w:rFonts w:ascii="Arial" w:cs="Arial" w:eastAsia="Arial" w:hAnsi="Arial"/>
          <w:sz w:val="18"/>
          <w:szCs w:val="18"/>
          <w:color w:val="auto"/>
        </w:rPr>
      </w:pPr>
    </w:p>
    <w:p>
      <w:pPr>
        <w:ind w:right="300" w:firstLine="7"/>
        <w:spacing w:after="0" w:line="335" w:lineRule="auto"/>
        <w:tabs>
          <w:tab w:leader="none" w:pos="282" w:val="left"/>
        </w:tabs>
        <w:numPr>
          <w:ilvl w:val="0"/>
          <w:numId w:val="591"/>
        </w:numPr>
        <w:rPr>
          <w:rFonts w:ascii="Arial" w:cs="Arial" w:eastAsia="Arial" w:hAnsi="Arial"/>
          <w:sz w:val="16"/>
          <w:szCs w:val="16"/>
          <w:color w:val="auto"/>
        </w:rPr>
      </w:pPr>
      <w:r>
        <w:rPr>
          <w:rFonts w:ascii="Arial" w:cs="Arial" w:eastAsia="Arial" w:hAnsi="Arial"/>
          <w:sz w:val="16"/>
          <w:szCs w:val="16"/>
          <w:u w:val="single" w:color="auto"/>
          <w:color w:val="auto"/>
        </w:rPr>
        <w:t>Unstable (reactive) gas</w:t>
      </w:r>
      <w:r>
        <w:rPr>
          <w:rFonts w:ascii="Arial" w:cs="Arial" w:eastAsia="Arial" w:hAnsi="Arial"/>
          <w:sz w:val="16"/>
          <w:szCs w:val="16"/>
          <w:color w:val="auto"/>
        </w:rPr>
        <w:t>: As defined in 527 CMR as a gas that, in the pure state or as commercially produced, will vigorously polymerize, decompose, or condense; become self-reactive; or otherwise undergo a violent chemical reaction under condition of shock, pressure, or temperature.</w:t>
      </w:r>
    </w:p>
    <w:p>
      <w:pPr>
        <w:spacing w:after="0" w:line="21" w:lineRule="exact"/>
        <w:rPr>
          <w:rFonts w:ascii="Arial" w:cs="Arial" w:eastAsia="Arial" w:hAnsi="Arial"/>
          <w:sz w:val="16"/>
          <w:szCs w:val="16"/>
          <w:color w:val="auto"/>
        </w:rPr>
      </w:pPr>
    </w:p>
    <w:p>
      <w:pPr>
        <w:ind w:left="280" w:hanging="273"/>
        <w:spacing w:after="0"/>
        <w:tabs>
          <w:tab w:leader="none" w:pos="280"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Pyrophoric gas</w:t>
      </w:r>
      <w:r>
        <w:rPr>
          <w:rFonts w:ascii="Arial" w:cs="Arial" w:eastAsia="Arial" w:hAnsi="Arial"/>
          <w:sz w:val="18"/>
          <w:szCs w:val="18"/>
          <w:color w:val="auto"/>
        </w:rPr>
        <w:t>: As defined in 527 CFR as a gas with an auto ignition temperature in air, at or below a temperature of 130°F (54.4°C).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880"/>
          </w:cols>
          <w:pgMar w:left="480" w:top="273" w:right="539" w:bottom="1440" w:gutter="0" w:footer="0" w:header="0"/>
        </w:sectPr>
      </w:pPr>
    </w:p>
    <w:bookmarkStart w:id="691" w:name="page692"/>
    <w:bookmarkEnd w:id="69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F-4</w:t>
      </w:r>
    </w:p>
    <w:p>
      <w:pPr>
        <w:spacing w:after="0" w:line="2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Tenant Laboratory Decommissioning Checklist</w:t>
      </w:r>
    </w:p>
    <w:p>
      <w:pPr>
        <w:spacing w:after="0" w:line="221"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Tenant Name</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Tenant Location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-8890</wp:posOffset>
            </wp:positionV>
            <wp:extent cx="385064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8506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 Management</w:t>
      </w:r>
    </w:p>
    <w:p>
      <w:pPr>
        <w:spacing w:after="0" w:line="81" w:lineRule="exact"/>
        <w:rPr>
          <w:sz w:val="20"/>
          <w:szCs w:val="20"/>
          <w:color w:val="auto"/>
        </w:rPr>
      </w:pPr>
    </w:p>
    <w:p>
      <w:pPr>
        <w:ind w:right="440"/>
        <w:spacing w:after="0" w:line="237" w:lineRule="exact"/>
        <w:rPr>
          <w:sz w:val="20"/>
          <w:szCs w:val="20"/>
          <w:color w:val="auto"/>
        </w:rPr>
      </w:pPr>
      <w:r>
        <w:rPr>
          <w:rFonts w:ascii="Arial" w:cs="Arial" w:eastAsia="Arial" w:hAnsi="Arial"/>
          <w:sz w:val="18"/>
          <w:szCs w:val="18"/>
          <w:i w:val="1"/>
          <w:iCs w:val="1"/>
          <w:color w:val="auto"/>
        </w:rPr>
        <w:t>If you used and/or stored the following materials, please put a “</w:t>
      </w:r>
      <w:r>
        <w:rPr>
          <w:rFonts w:ascii="MS PGothic" w:cs="MS PGothic" w:eastAsia="MS PGothic" w:hAnsi="MS PGothic"/>
          <w:sz w:val="18"/>
          <w:szCs w:val="18"/>
          <w:color w:val="auto"/>
        </w:rPr>
        <w:t>✓</w:t>
      </w:r>
      <w:r>
        <w:rPr>
          <w:rFonts w:ascii="Arial" w:cs="Arial" w:eastAsia="Arial" w:hAnsi="Arial"/>
          <w:sz w:val="18"/>
          <w:szCs w:val="18"/>
          <w:i w:val="1"/>
          <w:iCs w:val="1"/>
          <w:color w:val="auto"/>
        </w:rPr>
        <w:t>” in the “used and/or stored” box. Indicate the disposal vendor and date of final removal from the laboratory.</w:t>
      </w:r>
    </w:p>
    <w:p>
      <w:pPr>
        <w:spacing w:after="0" w:line="220" w:lineRule="exact"/>
        <w:rPr>
          <w:sz w:val="20"/>
          <w:szCs w:val="20"/>
          <w:color w:val="auto"/>
        </w:rPr>
      </w:pPr>
    </w:p>
    <w:p>
      <w:pPr>
        <w:spacing w:after="0"/>
        <w:tabs>
          <w:tab w:leader="none" w:pos="3680" w:val="left"/>
          <w:tab w:leader="none" w:pos="6300" w:val="left"/>
          <w:tab w:leader="none" w:pos="9220" w:val="left"/>
        </w:tabs>
        <w:rPr>
          <w:sz w:val="20"/>
          <w:szCs w:val="20"/>
          <w:color w:val="auto"/>
        </w:rPr>
      </w:pP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4"/>
          <w:szCs w:val="14"/>
          <w:b w:val="1"/>
          <w:bCs w:val="1"/>
          <w:color w:val="auto"/>
        </w:rPr>
        <w:t>Used and/or Stored</w:t>
      </w:r>
      <w:r>
        <w:rPr>
          <w:sz w:val="20"/>
          <w:szCs w:val="20"/>
          <w:color w:val="auto"/>
        </w:rPr>
        <w:tab/>
      </w:r>
      <w:r>
        <w:rPr>
          <w:rFonts w:ascii="Arial" w:cs="Arial" w:eastAsia="Arial" w:hAnsi="Arial"/>
          <w:sz w:val="14"/>
          <w:szCs w:val="14"/>
          <w:b w:val="1"/>
          <w:bCs w:val="1"/>
          <w:color w:val="auto"/>
        </w:rPr>
        <w:t>Disposal Vendor Name</w:t>
      </w:r>
      <w:r>
        <w:rPr>
          <w:sz w:val="20"/>
          <w:szCs w:val="20"/>
          <w:color w:val="auto"/>
        </w:rPr>
        <w:tab/>
      </w:r>
      <w:r>
        <w:rPr>
          <w:rFonts w:ascii="Arial" w:cs="Arial" w:eastAsia="Arial" w:hAnsi="Arial"/>
          <w:sz w:val="12"/>
          <w:szCs w:val="12"/>
          <w:b w:val="1"/>
          <w:bCs w:val="1"/>
          <w:color w:val="auto"/>
        </w:rPr>
        <w:t>Removal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6929755" cy="135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Hazardous (Chemical) Waste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Gas Cylinders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Biological Waste and Sharps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135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Animal Carcasses and Waste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Radioactive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135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Controlled Substances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Select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135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Permits and Licenses</w:t>
      </w:r>
    </w:p>
    <w:p>
      <w:pPr>
        <w:spacing w:after="0" w:line="81" w:lineRule="exact"/>
        <w:rPr>
          <w:sz w:val="20"/>
          <w:szCs w:val="20"/>
          <w:color w:val="auto"/>
        </w:rPr>
      </w:pPr>
    </w:p>
    <w:p>
      <w:pPr>
        <w:ind w:right="100"/>
        <w:spacing w:after="0" w:line="237" w:lineRule="exact"/>
        <w:rPr>
          <w:sz w:val="20"/>
          <w:szCs w:val="20"/>
          <w:color w:val="auto"/>
        </w:rPr>
      </w:pPr>
      <w:r>
        <w:rPr>
          <w:rFonts w:ascii="Arial" w:cs="Arial" w:eastAsia="Arial" w:hAnsi="Arial"/>
          <w:sz w:val="18"/>
          <w:szCs w:val="18"/>
          <w:i w:val="1"/>
          <w:iCs w:val="1"/>
          <w:color w:val="auto"/>
        </w:rPr>
        <w:t>If you possessed any of the following permits and/or licenses, please put a “</w:t>
      </w:r>
      <w:r>
        <w:rPr>
          <w:rFonts w:ascii="MS PGothic" w:cs="MS PGothic" w:eastAsia="MS PGothic" w:hAnsi="MS PGothic"/>
          <w:sz w:val="18"/>
          <w:szCs w:val="18"/>
          <w:color w:val="auto"/>
        </w:rPr>
        <w:t>✓</w:t>
      </w:r>
      <w:r>
        <w:rPr>
          <w:rFonts w:ascii="Arial" w:cs="Arial" w:eastAsia="Arial" w:hAnsi="Arial"/>
          <w:sz w:val="18"/>
          <w:szCs w:val="18"/>
          <w:i w:val="1"/>
          <w:iCs w:val="1"/>
          <w:color w:val="auto"/>
        </w:rPr>
        <w:t>” in the “Applicable” box. Indicate the date you requested termination of the permit or license, and whether confirmation has been received from the regulatory agency.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Permit or License</w:t>
            </w:r>
          </w:p>
        </w:tc>
        <w:tc>
          <w:tcPr>
            <w:tcW w:w="2540" w:type="dxa"/>
            <w:vAlign w:val="bottom"/>
            <w:vMerge w:val="restart"/>
          </w:tcPr>
          <w:p>
            <w:pPr>
              <w:spacing w:after="0"/>
              <w:rPr>
                <w:sz w:val="14"/>
                <w:szCs w:val="14"/>
                <w:color w:val="auto"/>
              </w:rPr>
            </w:pPr>
          </w:p>
        </w:tc>
        <w:tc>
          <w:tcPr>
            <w:tcW w:w="22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Regulatory Agency</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Applicable?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 of Termination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Confirmation from</w:t>
            </w:r>
          </w:p>
        </w:tc>
        <w:tc>
          <w:tcPr>
            <w:tcW w:w="0" w:type="dxa"/>
            <w:vAlign w:val="bottom"/>
          </w:tcPr>
          <w:p>
            <w:pPr>
              <w:spacing w:after="0"/>
              <w:rPr>
                <w:sz w:val="1"/>
                <w:szCs w:val="1"/>
                <w:color w:val="auto"/>
              </w:rPr>
            </w:pPr>
          </w:p>
        </w:tc>
      </w:tr>
      <w:tr>
        <w:trPr>
          <w:trHeight w:val="190"/>
        </w:trPr>
        <w:tc>
          <w:tcPr>
            <w:tcW w:w="1100" w:type="dxa"/>
            <w:vAlign w:val="bottom"/>
            <w:tcBorders>
              <w:bottom w:val="single" w:sz="8" w:color="auto"/>
            </w:tcBorders>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Request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Regulator Received?</w:t>
            </w:r>
          </w:p>
        </w:tc>
        <w:tc>
          <w:tcPr>
            <w:tcW w:w="0" w:type="dxa"/>
            <w:vAlign w:val="bottom"/>
          </w:tcPr>
          <w:p>
            <w:pPr>
              <w:spacing w:after="0"/>
              <w:rPr>
                <w:sz w:val="1"/>
                <w:szCs w:val="1"/>
                <w:color w:val="auto"/>
              </w:rPr>
            </w:pPr>
          </w:p>
        </w:tc>
      </w:tr>
      <w:tr>
        <w:trPr>
          <w:trHeight w:val="201"/>
        </w:trPr>
        <w:tc>
          <w:tcPr>
            <w:tcW w:w="364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Recombinant DNA Permit</w:t>
            </w:r>
          </w:p>
        </w:tc>
        <w:tc>
          <w:tcPr>
            <w:tcW w:w="21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City of Boston</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Biosafety Permit</w:t>
            </w:r>
          </w:p>
        </w:tc>
        <w:tc>
          <w:tcPr>
            <w:tcW w:w="2280" w:type="dxa"/>
            <w:vAlign w:val="bottom"/>
            <w:gridSpan w:val="2"/>
          </w:tcPr>
          <w:p>
            <w:pPr>
              <w:spacing w:after="0"/>
              <w:rPr>
                <w:sz w:val="20"/>
                <w:szCs w:val="20"/>
                <w:color w:val="auto"/>
              </w:rPr>
            </w:pPr>
            <w:r>
              <w:rPr>
                <w:rFonts w:ascii="Arial" w:cs="Arial" w:eastAsia="Arial" w:hAnsi="Arial"/>
                <w:sz w:val="18"/>
                <w:szCs w:val="18"/>
                <w:color w:val="auto"/>
              </w:rPr>
              <w:t>City of Boston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Laboratory Animal Use Permit</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Boston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Flammables Permit</w:t>
            </w:r>
          </w:p>
        </w:tc>
        <w:tc>
          <w:tcPr>
            <w:tcW w:w="2280" w:type="dxa"/>
            <w:vAlign w:val="bottom"/>
            <w:gridSpan w:val="2"/>
          </w:tcPr>
          <w:p>
            <w:pPr>
              <w:spacing w:after="0"/>
              <w:rPr>
                <w:sz w:val="20"/>
                <w:szCs w:val="20"/>
                <w:color w:val="auto"/>
              </w:rPr>
            </w:pPr>
            <w:r>
              <w:rPr>
                <w:rFonts w:ascii="Arial" w:cs="Arial" w:eastAsia="Arial" w:hAnsi="Arial"/>
                <w:sz w:val="18"/>
                <w:szCs w:val="18"/>
                <w:color w:val="auto"/>
              </w:rPr>
              <w:t>City of Boston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Wastewater Discharge Permit</w:t>
            </w:r>
          </w:p>
        </w:tc>
        <w:tc>
          <w:tcPr>
            <w:tcW w:w="22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Massachusetts Water</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Resources Authority</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80" w:type="dxa"/>
            <w:vAlign w:val="bottom"/>
            <w:gridSpan w:val="2"/>
          </w:tcPr>
          <w:p>
            <w:pPr>
              <w:ind w:left="1660"/>
              <w:spacing w:after="0"/>
              <w:rPr>
                <w:sz w:val="20"/>
                <w:szCs w:val="20"/>
                <w:color w:val="auto"/>
              </w:rPr>
            </w:pPr>
            <w:r>
              <w:rPr>
                <w:rFonts w:ascii="Arial" w:cs="Arial" w:eastAsia="Arial" w:hAnsi="Arial"/>
                <w:sz w:val="18"/>
                <w:szCs w:val="18"/>
                <w:color w:val="auto"/>
              </w:rPr>
              <w:t>F-23</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72" w:right="499" w:bottom="1440" w:gutter="0" w:footer="0" w:header="0"/>
        </w:sectPr>
      </w:pPr>
    </w:p>
    <w:bookmarkStart w:id="692" w:name="page693"/>
    <w:bookmarkEnd w:id="6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Hazardous Waste Generator ID#</w:t>
            </w: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 Department of Environmental</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28"/>
        </w:trPr>
        <w:tc>
          <w:tcPr>
            <w:tcW w:w="3720" w:type="dxa"/>
            <w:vAlign w:val="bottom"/>
            <w:shd w:val="clear" w:color="auto" w:fill="CCEEFF"/>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Protection</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4"/>
        </w:trPr>
        <w:tc>
          <w:tcPr>
            <w:tcW w:w="3720" w:type="dxa"/>
            <w:vAlign w:val="bottom"/>
          </w:tcPr>
          <w:p>
            <w:pPr>
              <w:spacing w:after="0"/>
              <w:rPr>
                <w:sz w:val="20"/>
                <w:szCs w:val="20"/>
                <w:color w:val="auto"/>
              </w:rPr>
            </w:pPr>
            <w:r>
              <w:rPr>
                <w:rFonts w:ascii="Arial" w:cs="Arial" w:eastAsia="Arial" w:hAnsi="Arial"/>
                <w:sz w:val="18"/>
                <w:szCs w:val="18"/>
                <w:b w:val="1"/>
                <w:bCs w:val="1"/>
                <w:color w:val="auto"/>
              </w:rPr>
              <w:t>Radiation Control License</w:t>
            </w:r>
          </w:p>
        </w:tc>
        <w:tc>
          <w:tcPr>
            <w:tcW w:w="6160" w:type="dxa"/>
            <w:vAlign w:val="bottom"/>
          </w:tcPr>
          <w:p>
            <w:pPr>
              <w:ind w:left="20"/>
              <w:spacing w:after="0"/>
              <w:rPr>
                <w:sz w:val="20"/>
                <w:szCs w:val="20"/>
                <w:color w:val="auto"/>
              </w:rPr>
            </w:pPr>
            <w:r>
              <w:rPr>
                <w:rFonts w:ascii="Arial" w:cs="Arial" w:eastAsia="Arial" w:hAnsi="Arial"/>
                <w:sz w:val="18"/>
                <w:szCs w:val="18"/>
                <w:color w:val="auto"/>
              </w:rPr>
              <w:t>Massachusetts Department of Public Health</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0"/>
        </w:trPr>
        <w:tc>
          <w:tcPr>
            <w:tcW w:w="3720" w:type="dxa"/>
            <w:vAlign w:val="bottom"/>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Controlled Substances Registration</w:t>
            </w:r>
          </w:p>
        </w:tc>
        <w:tc>
          <w:tcPr>
            <w:tcW w:w="61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Massachusetts Department of Public</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4"/>
        </w:trPr>
        <w:tc>
          <w:tcPr>
            <w:tcW w:w="3720" w:type="dxa"/>
            <w:vAlign w:val="bottom"/>
            <w:shd w:val="clear" w:color="auto" w:fill="CCEEFF"/>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 &amp; United States Drug Enforcement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8"/>
        </w:trPr>
        <w:tc>
          <w:tcPr>
            <w:tcW w:w="3720" w:type="dxa"/>
            <w:vAlign w:val="bottom"/>
            <w:shd w:val="clear" w:color="auto" w:fill="CCEEFF"/>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00"/>
        </w:trPr>
        <w:tc>
          <w:tcPr>
            <w:tcW w:w="3720" w:type="dxa"/>
            <w:vAlign w:val="bottom"/>
          </w:tcPr>
          <w:p>
            <w:pPr>
              <w:spacing w:after="0" w:line="200" w:lineRule="exact"/>
              <w:rPr>
                <w:sz w:val="20"/>
                <w:szCs w:val="20"/>
                <w:color w:val="auto"/>
              </w:rPr>
            </w:pPr>
            <w:r>
              <w:rPr>
                <w:rFonts w:ascii="Arial" w:cs="Arial" w:eastAsia="Arial" w:hAnsi="Arial"/>
                <w:sz w:val="18"/>
                <w:szCs w:val="18"/>
                <w:b w:val="1"/>
                <w:bCs w:val="1"/>
                <w:color w:val="auto"/>
              </w:rPr>
              <w:t>SelectAgent Registration</w:t>
            </w:r>
          </w:p>
        </w:tc>
        <w:tc>
          <w:tcPr>
            <w:tcW w:w="6160" w:type="dxa"/>
            <w:vAlign w:val="bottom"/>
          </w:tcPr>
          <w:p>
            <w:pPr>
              <w:ind w:left="20"/>
              <w:spacing w:after="0" w:line="200" w:lineRule="exact"/>
              <w:rPr>
                <w:sz w:val="20"/>
                <w:szCs w:val="20"/>
                <w:color w:val="auto"/>
              </w:rPr>
            </w:pPr>
            <w:r>
              <w:rPr>
                <w:rFonts w:ascii="Arial" w:cs="Arial" w:eastAsia="Arial" w:hAnsi="Arial"/>
                <w:sz w:val="18"/>
                <w:szCs w:val="18"/>
                <w:color w:val="auto"/>
              </w:rPr>
              <w:t>United States / Department of Agriculture or</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7"/>
        </w:trPr>
        <w:tc>
          <w:tcPr>
            <w:tcW w:w="37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Homeland Security</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535"/>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Laboratory Decontamination Survey</w:t>
            </w:r>
          </w:p>
        </w:tc>
        <w:tc>
          <w:tcPr>
            <w:tcW w:w="6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1"/>
        </w:trPr>
        <w:tc>
          <w:tcPr>
            <w:tcW w:w="9880" w:type="dxa"/>
            <w:vAlign w:val="bottom"/>
            <w:gridSpan w:val="2"/>
          </w:tcPr>
          <w:p>
            <w:pPr>
              <w:spacing w:after="0"/>
              <w:rPr>
                <w:sz w:val="20"/>
                <w:szCs w:val="20"/>
                <w:color w:val="auto"/>
              </w:rPr>
            </w:pPr>
            <w:r>
              <w:rPr>
                <w:rFonts w:ascii="Arial" w:cs="Arial" w:eastAsia="Arial" w:hAnsi="Arial"/>
                <w:sz w:val="18"/>
                <w:szCs w:val="18"/>
                <w:color w:val="auto"/>
                <w:w w:val="95"/>
              </w:rPr>
              <w:t>Were all fixed surfaces in the laboratory such as benches, fume hoods, sinks, cold rooms and warm rooms decontaminated with a</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4"/>
        </w:trPr>
        <w:tc>
          <w:tcPr>
            <w:tcW w:w="3720" w:type="dxa"/>
            <w:vAlign w:val="bottom"/>
          </w:tcPr>
          <w:p>
            <w:pPr>
              <w:ind w:left="180"/>
              <w:spacing w:after="0"/>
              <w:rPr>
                <w:sz w:val="20"/>
                <w:szCs w:val="20"/>
                <w:color w:val="auto"/>
              </w:rPr>
            </w:pPr>
            <w:r>
              <w:rPr>
                <w:rFonts w:ascii="Arial" w:cs="Arial" w:eastAsia="Arial" w:hAnsi="Arial"/>
                <w:sz w:val="18"/>
                <w:szCs w:val="18"/>
                <w:color w:val="auto"/>
                <w:w w:val="92"/>
              </w:rPr>
              <w:t>disinfectant or other efficacious decontaminant?</w:t>
            </w:r>
          </w:p>
        </w:tc>
        <w:tc>
          <w:tcPr>
            <w:tcW w:w="616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rPr>
              <w:t>If “YES”, briefly describe the decontaminants used, specific to the hazardous materials in use and storage in the laboratory.</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rPr>
              <w:t>Did you use any mercury-containing equipment such as thermometers, or elemental mercury?</w:t>
            </w: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rPr>
              <w:t>If “YES”, briefly describe:</w:t>
            </w:r>
          </w:p>
        </w:tc>
        <w:tc>
          <w:tcPr>
            <w:tcW w:w="6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rPr>
              <w:t>If “YES”, have you had the sink traps tested for mercury contamination? If “YES”, attach results.</w:t>
            </w: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w w:val="95"/>
              </w:rPr>
              <w:t>If the results of the mercury test indicated the presence of mercury, did you have it removed and decontaminated? If “YES”, attach</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3720" w:type="dxa"/>
            <w:vAlign w:val="bottom"/>
          </w:tcPr>
          <w:p>
            <w:pPr>
              <w:ind w:left="180"/>
              <w:spacing w:after="0"/>
              <w:rPr>
                <w:sz w:val="20"/>
                <w:szCs w:val="20"/>
                <w:color w:val="auto"/>
              </w:rPr>
            </w:pPr>
            <w:r>
              <w:rPr>
                <w:rFonts w:ascii="Arial" w:cs="Arial" w:eastAsia="Arial" w:hAnsi="Arial"/>
                <w:sz w:val="18"/>
                <w:szCs w:val="18"/>
                <w:color w:val="auto"/>
              </w:rPr>
              <w:t>documentation.</w:t>
            </w:r>
          </w:p>
        </w:tc>
        <w:tc>
          <w:tcPr>
            <w:tcW w:w="616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rPr>
              <w:t>Did you use any perchlorates in the chemical fume hoods?</w:t>
            </w: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w w:val="92"/>
              </w:rPr>
              <w:t>If “YES”, indicate the location of the fume hood(s):</w:t>
            </w:r>
          </w:p>
        </w:tc>
        <w:tc>
          <w:tcPr>
            <w:tcW w:w="6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rPr>
              <w:t>If “YES”, have you had the fume hood(s) tested for perchlorate residues? If “YES”, attach results.</w:t>
            </w: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w w:val="99"/>
              </w:rPr>
              <w:t>If the results of the perchlorate test indicated the presence of residues, did you have the fume hood and associated ductwork</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decontaminated? If “YES”, attach documentation.</w:t>
            </w: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214"/>
        </w:trPr>
        <w:tc>
          <w:tcPr>
            <w:tcW w:w="9880" w:type="dxa"/>
            <w:vAlign w:val="bottom"/>
            <w:gridSpan w:val="2"/>
          </w:tcPr>
          <w:p>
            <w:pPr>
              <w:spacing w:after="0"/>
              <w:rPr>
                <w:sz w:val="20"/>
                <w:szCs w:val="20"/>
                <w:color w:val="auto"/>
              </w:rPr>
            </w:pPr>
            <w:r>
              <w:rPr>
                <w:rFonts w:ascii="Arial" w:cs="Arial" w:eastAsia="Arial" w:hAnsi="Arial"/>
                <w:sz w:val="18"/>
                <w:szCs w:val="18"/>
                <w:color w:val="auto"/>
                <w:w w:val="91"/>
              </w:rPr>
              <w:t>Is there any equipment remaining in the laboratory that will not be removed, such as but not limited to biosafety cabinets, incubators, or</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7"/>
        </w:trPr>
        <w:tc>
          <w:tcPr>
            <w:tcW w:w="3720" w:type="dxa"/>
            <w:vAlign w:val="bottom"/>
          </w:tcPr>
          <w:p>
            <w:pPr>
              <w:ind w:left="180"/>
              <w:spacing w:after="0"/>
              <w:rPr>
                <w:sz w:val="20"/>
                <w:szCs w:val="20"/>
                <w:color w:val="auto"/>
              </w:rPr>
            </w:pPr>
            <w:r>
              <w:rPr>
                <w:rFonts w:ascii="Arial" w:cs="Arial" w:eastAsia="Arial" w:hAnsi="Arial"/>
                <w:sz w:val="18"/>
                <w:szCs w:val="18"/>
                <w:color w:val="auto"/>
              </w:rPr>
              <w:t>freezers?</w:t>
            </w:r>
          </w:p>
        </w:tc>
        <w:tc>
          <w:tcPr>
            <w:tcW w:w="616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YES</w:t>
            </w:r>
          </w:p>
        </w:tc>
        <w:tc>
          <w:tcPr>
            <w:tcW w:w="420" w:type="dxa"/>
            <w:vAlign w:val="bottom"/>
          </w:tcPr>
          <w:p>
            <w:pPr>
              <w:ind w:left="100"/>
              <w:spacing w:after="0"/>
              <w:rPr>
                <w:sz w:val="20"/>
                <w:szCs w:val="20"/>
                <w:color w:val="auto"/>
              </w:rPr>
            </w:pPr>
            <w:r>
              <w:rPr>
                <w:rFonts w:ascii="Arial" w:cs="Arial" w:eastAsia="Arial" w:hAnsi="Arial"/>
                <w:sz w:val="18"/>
                <w:szCs w:val="18"/>
                <w:color w:val="auto"/>
              </w:rPr>
              <w:t>NO</w:t>
            </w:r>
          </w:p>
        </w:tc>
      </w:tr>
      <w:tr>
        <w:trPr>
          <w:trHeight w:val="361"/>
        </w:trPr>
        <w:tc>
          <w:tcPr>
            <w:tcW w:w="3720" w:type="dxa"/>
            <w:vAlign w:val="bottom"/>
          </w:tcPr>
          <w:p>
            <w:pPr>
              <w:spacing w:after="0"/>
              <w:rPr>
                <w:sz w:val="24"/>
                <w:szCs w:val="24"/>
                <w:color w:val="auto"/>
              </w:rPr>
            </w:pPr>
          </w:p>
        </w:tc>
        <w:tc>
          <w:tcPr>
            <w:tcW w:w="6160" w:type="dxa"/>
            <w:vAlign w:val="bottom"/>
          </w:tcPr>
          <w:p>
            <w:pPr>
              <w:ind w:left="1580"/>
              <w:spacing w:after="0"/>
              <w:rPr>
                <w:sz w:val="20"/>
                <w:szCs w:val="20"/>
                <w:color w:val="auto"/>
              </w:rPr>
            </w:pPr>
            <w:r>
              <w:rPr>
                <w:rFonts w:ascii="Arial" w:cs="Arial" w:eastAsia="Arial" w:hAnsi="Arial"/>
                <w:sz w:val="18"/>
                <w:szCs w:val="18"/>
                <w:color w:val="auto"/>
              </w:rPr>
              <w:t>F-24</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20"/>
          </w:cols>
          <w:pgMar w:left="480" w:top="279" w:right="499" w:bottom="1440" w:gutter="0" w:footer="0" w:header="0"/>
        </w:sectPr>
      </w:pPr>
    </w:p>
    <w:bookmarkStart w:id="693" w:name="page694"/>
    <w:bookmarkEnd w:id="6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If “YES”, briefly describe the equipment and the methods used to decontaminate the equipment:</w:t>
      </w:r>
    </w:p>
    <w:p>
      <w:pPr>
        <w:spacing w:after="0" w:line="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lease period, was there ever a chemical spill in the laboratory? YES NO If “YES”, please provide information on the material and quantity involved in the spill, and approximate date of the spill: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Name of Person Completing This Form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-8890</wp:posOffset>
            </wp:positionV>
            <wp:extent cx="127317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Name of Company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-8890</wp:posOffset>
            </wp:positionV>
            <wp:extent cx="189547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89547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of Company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-8890</wp:posOffset>
            </wp:positionV>
            <wp:extent cx="198056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-8890</wp:posOffset>
            </wp:positionV>
            <wp:extent cx="113157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860"/>
          </w:cols>
          <w:pgMar w:left="480" w:top="271" w:right="559" w:bottom="1440" w:gutter="0" w:footer="0" w:header="0"/>
        </w:sectPr>
      </w:pPr>
    </w:p>
    <w:bookmarkStart w:id="694" w:name="page695"/>
    <w:bookmarkEnd w:id="6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OF CREDIT REQUIREMENTS</w:t>
      </w:r>
    </w:p>
    <w:p>
      <w:pPr>
        <w:spacing w:after="0" w:line="225" w:lineRule="exact"/>
        <w:rPr>
          <w:sz w:val="20"/>
          <w:szCs w:val="20"/>
          <w:color w:val="auto"/>
        </w:rPr>
      </w:pPr>
    </w:p>
    <w:p>
      <w:pPr>
        <w:ind w:right="200" w:firstLine="436"/>
        <w:spacing w:after="0" w:line="307" w:lineRule="auto"/>
        <w:rPr>
          <w:sz w:val="20"/>
          <w:szCs w:val="20"/>
          <w:color w:val="auto"/>
        </w:rPr>
      </w:pPr>
      <w:r>
        <w:rPr>
          <w:rFonts w:ascii="Arial" w:cs="Arial" w:eastAsia="Arial" w:hAnsi="Arial"/>
          <w:sz w:val="16"/>
          <w:szCs w:val="16"/>
          <w:color w:val="auto"/>
        </w:rPr>
        <w:t>This Exhibit is attached to and made a part of the Lease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OPG MP PARCEL OWNER (DE)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MONTE ROSA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for space in the Building located at 645 Summer Street, Boston, MA 02210. Capitalized terms used but not defined herein shall have the meanings given in the Lease.</w:t>
      </w:r>
    </w:p>
    <w:p>
      <w:pPr>
        <w:spacing w:after="0" w:line="150" w:lineRule="exact"/>
        <w:rPr>
          <w:sz w:val="20"/>
          <w:szCs w:val="20"/>
          <w:color w:val="auto"/>
        </w:rPr>
      </w:pPr>
    </w:p>
    <w:p>
      <w:pPr>
        <w:ind w:right="40" w:firstLine="436"/>
        <w:spacing w:after="0" w:line="265" w:lineRule="auto"/>
        <w:rPr>
          <w:sz w:val="20"/>
          <w:szCs w:val="20"/>
          <w:color w:val="auto"/>
        </w:rPr>
      </w:pPr>
      <w:r>
        <w:rPr>
          <w:rFonts w:ascii="Arial" w:cs="Arial" w:eastAsia="Arial" w:hAnsi="Arial"/>
          <w:sz w:val="17"/>
          <w:szCs w:val="17"/>
          <w:color w:val="auto"/>
        </w:rPr>
        <w:t>The Letter of Credit (as defined in the Lease) shall be for the amount set forth in Section 1 of the Lease, subject to the terms of Section 6 of the Lease. The Letter of Credit (i) shall be irrevocable and shall be issued by a commercial bank that has a financial condition reasonably acceptable to Landlord and be able to be drawn upon in Boston, Massachusetts or New York City or by facsimile presentation, (ii) shall require only the presentation to the issuer of a certificate of the holder of the Letter of Credit stating that Landlord is entitled to draw on the Letter of Credit pursuant to the terms of the Lease, (iii) shall be payable to Landlord or its successors in interest as the Landlord and shall be freely transferable without cost to any such successor or any lender holding a collateral assignment of Landlord’s interest in the Lease, (iv) shall be for an initial term of not less than one year and contain a provision that such term shall be automatically renewed for successive one-year periods unless the issuer shall, at least thirty (30) days prior to the scheduled expiration date, give Landlord notice of such nonrenewal, and (v) shall otherwise be in form and substance reasonably acceptable to Landlord. Notwithstanding the foregoing, the term of the Letter of Credit for the final period shall be for a term ending not earlier than the date forty five (45) days after the last day of the Term. In the event that the issuer ceases to be reasonably acceptable to Landlord, due to a deterioration in its financial condition or change in status that threatens to compromise Landlord’s ability to draw on the Letter of Credit as determined in good faith by Landlord, then Tenant shall provide a replacement Letter of Credit from an issuer satisfying the terms of this Exhibit within thirty (30) days after Landlord’s notice of such event.</w:t>
      </w:r>
    </w:p>
    <w:p>
      <w:pPr>
        <w:spacing w:after="0" w:line="190"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Landlord shall be entitled to draw upon the Letter of Credit for its full amount or any portion thereof if (a) Tenant shall fail to perform any of its obligations under the Lease after the expiration of any applicable notice and cure periods, or (b) not less than thirty (30) days before the scheduled expiration of the Letter of Credit, Tenant has not delivered to Landlord a new Letter of Credit in accordance with this Exhibit. Without limiting the generality of the foregoing, Landlord may, but shall not be obligated to, draw on the Letter of Credit from time to time in the event of a bankruptcy filing by or against Tenant and/or to compensate Landlord, in such order as Landlord may determine, for all or any part of any unpaid rent, any damages arising from any termination of the Lease in accordance with the terms of the Lease, and/or any damages arising from any rejection of the Lease in a bankruptcy proceeding commenced by or against Tenant. Landlord may, but shall not be obligated to, apply the amount so drawn to the extent necessary to cure Tenant’s failure.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0920"/>
          </w:cols>
          <w:pgMar w:left="480" w:top="268" w:right="499" w:bottom="1440" w:gutter="0" w:footer="0" w:header="0"/>
        </w:sectPr>
      </w:pPr>
    </w:p>
    <w:bookmarkStart w:id="695" w:name="page696"/>
    <w:bookmarkEnd w:id="695"/>
    <w:p>
      <w:pPr>
        <w:ind w:right="20" w:firstLine="43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amount of the Letter of Credit drawn in excess of the amount applied by Landlord to cure any such failure shall be held by Landlord as a cash security deposit for the performance by Tenant of its obligations under the Lease. Any cash security deposit may be mingled with other funds of Landlord and no fiduciary relationship shall be created with respect to such deposit, nor shall Landlord be liable to pay Tenant interest thereon. If Tenant shall fail to perform any of its obligations under the Lease after the expiration of any applicable notice and cure periods, Landlord may, but shall not be obliged to, apply the cash security deposit to the extent necessary to cure Tenant’s failure. After any such application by Landlord of the Letter of Credit or cash security deposit, as the case may be, Tenant shall reinstate the Letter of Credit to the amount originally required to be maintained under the Lease, within ten (10) Business Days after Landlord’s written demand. Provided that Tenant is not then in default under the</w:t>
      </w:r>
    </w:p>
    <w:p>
      <w:pPr>
        <w:spacing w:after="0" w:line="166" w:lineRule="exact"/>
        <w:rPr>
          <w:sz w:val="20"/>
          <w:szCs w:val="20"/>
          <w:color w:val="auto"/>
        </w:rPr>
      </w:pPr>
    </w:p>
    <w:p>
      <w:pPr>
        <w:ind w:right="80" w:firstLine="436"/>
        <w:spacing w:after="0" w:line="297" w:lineRule="auto"/>
        <w:rPr>
          <w:sz w:val="20"/>
          <w:szCs w:val="20"/>
          <w:color w:val="auto"/>
        </w:rPr>
      </w:pPr>
      <w:r>
        <w:rPr>
          <w:rFonts w:ascii="Arial" w:cs="Arial" w:eastAsia="Arial" w:hAnsi="Arial"/>
          <w:sz w:val="16"/>
          <w:szCs w:val="16"/>
          <w:color w:val="auto"/>
        </w:rPr>
        <w:t xml:space="preserve">Lease, and no condition exists or event has occurred which after the expiration of any applicable notice or cure period would constitute such a default, within forty five (45) days after the later to occur of (i) the payment of the final Rent due from Tenant or (ii) the later to occur of the Term Expiration Date or the date on which Tenant surrenders the Premises to Landlord in compliance with Section 19 of the Lease and Section 3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Lease, the Letter of Credit and any cash security deposit, to the extent not applied, shall be returned to the Tenant, without interest.</w:t>
      </w:r>
    </w:p>
    <w:p>
      <w:pPr>
        <w:spacing w:after="0" w:line="159"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In the event of a sale of the Building or lease, conveyance or transfer of the Building, Landlord shall transfer the Letter of Credit or cash security deposit to the transferee. Upon such transfer, the transferring Landlord shall be released by Tenant from all liability for the return of such security, and Tenant agrees to look to the transferee solely for the return of said security. The provisions hereof shall apply to every transfer or assignment made of the security to such a transferee. Tenant further covenants that it will not assign or encumber or attempt to assign or encumber the Letter of Credit or the monies deposited herein as security, and that neither Landlord nor its successors or assigns shall be bound by any assignment, encumbrance, attempted assignment or attempted encumbrance.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920"/>
          </w:cols>
          <w:pgMar w:left="480" w:top="272" w:right="499" w:bottom="1440" w:gutter="0" w:footer="0" w:header="0"/>
        </w:sectPr>
      </w:pPr>
    </w:p>
    <w:bookmarkStart w:id="696" w:name="page697"/>
    <w:bookmarkEnd w:id="6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9019"/>
          </w:cols>
          <w:pgMar w:left="1440" w:top="268" w:right="1440" w:bottom="1440" w:gutter="0" w:footer="0" w:header="0"/>
        </w:sectPr>
      </w:pPr>
    </w:p>
    <w:bookmarkStart w:id="697" w:name="page698"/>
    <w:bookmarkEnd w:id="6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NDA</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PP-7143(22)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NON-DISTURBANCE AND ATTORNMENT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 2020</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Ground Landlord</w:t>
      </w:r>
      <w:r>
        <w:rPr>
          <w:rFonts w:ascii="Arial" w:cs="Arial" w:eastAsia="Arial" w:hAnsi="Arial"/>
          <w:sz w:val="18"/>
          <w:szCs w:val="18"/>
          <w:color w:val="auto"/>
        </w:rPr>
        <w:t>:</w:t>
      </w:r>
    </w:p>
    <w:p>
      <w:pPr>
        <w:spacing w:after="0" w:line="114" w:lineRule="exact"/>
        <w:rPr>
          <w:sz w:val="20"/>
          <w:szCs w:val="20"/>
          <w:color w:val="auto"/>
        </w:rPr>
      </w:pPr>
    </w:p>
    <w:p>
      <w:pPr>
        <w:ind w:left="1420" w:right="300"/>
        <w:spacing w:after="0" w:line="271" w:lineRule="auto"/>
        <w:rPr>
          <w:sz w:val="20"/>
          <w:szCs w:val="20"/>
          <w:color w:val="auto"/>
        </w:rPr>
      </w:pPr>
      <w:r>
        <w:rPr>
          <w:rFonts w:ascii="Arial" w:cs="Arial" w:eastAsia="Arial" w:hAnsi="Arial"/>
          <w:sz w:val="18"/>
          <w:szCs w:val="18"/>
          <w:color w:val="auto"/>
        </w:rPr>
        <w:t>Massachusetts Port Authority One Harborside Drive, Suite 200S East Boston, Massachusetts 02128-2909 Attention: Chief Legal Counsel</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14" w:lineRule="exact"/>
        <w:rPr>
          <w:sz w:val="20"/>
          <w:szCs w:val="20"/>
          <w:color w:val="auto"/>
        </w:rPr>
      </w:pPr>
    </w:p>
    <w:p>
      <w:pPr>
        <w:ind w:left="1420" w:right="540"/>
        <w:spacing w:after="0" w:line="271" w:lineRule="auto"/>
        <w:rPr>
          <w:sz w:val="20"/>
          <w:szCs w:val="20"/>
          <w:color w:val="auto"/>
        </w:rPr>
      </w:pPr>
      <w:r>
        <w:rPr>
          <w:rFonts w:ascii="Arial" w:cs="Arial" w:eastAsia="Arial" w:hAnsi="Arial"/>
          <w:sz w:val="18"/>
          <w:szCs w:val="18"/>
          <w:color w:val="auto"/>
        </w:rPr>
        <w:t>OPG MP Parcel Owner (DE) LLC c/o Oxford Properties Group 125 Summer Street, 12th Floor Boston, Massachusetts 02110 Attention: Legal</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Subtenant</w:t>
      </w:r>
      <w:r>
        <w:rPr>
          <w:rFonts w:ascii="Arial" w:cs="Arial" w:eastAsia="Arial" w:hAnsi="Arial"/>
          <w:sz w:val="18"/>
          <w:szCs w:val="18"/>
          <w:color w:val="auto"/>
        </w:rPr>
        <w:t>:</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Monte Rosa Therapeutics, Inc. 645 Summer Street, Suite 102 Boston, Massachusetts 02210</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Ground Lease</w:t>
      </w:r>
      <w:r>
        <w:rPr>
          <w:rFonts w:ascii="Arial" w:cs="Arial" w:eastAsia="Arial" w:hAnsi="Arial"/>
          <w:sz w:val="18"/>
          <w:szCs w:val="18"/>
          <w:color w:val="auto"/>
        </w:rPr>
        <w:t>:</w:t>
      </w:r>
    </w:p>
    <w:p>
      <w:pPr>
        <w:spacing w:after="0" w:line="114" w:lineRule="exact"/>
        <w:rPr>
          <w:sz w:val="20"/>
          <w:szCs w:val="20"/>
          <w:color w:val="auto"/>
        </w:rPr>
      </w:pPr>
    </w:p>
    <w:p>
      <w:pPr>
        <w:ind w:left="1420" w:right="180"/>
        <w:spacing w:after="0" w:line="290" w:lineRule="auto"/>
        <w:rPr>
          <w:sz w:val="20"/>
          <w:szCs w:val="20"/>
          <w:color w:val="auto"/>
        </w:rPr>
      </w:pPr>
      <w:r>
        <w:rPr>
          <w:rFonts w:ascii="Arial" w:cs="Arial" w:eastAsia="Arial" w:hAnsi="Arial"/>
          <w:sz w:val="16"/>
          <w:szCs w:val="16"/>
          <w:color w:val="auto"/>
        </w:rPr>
        <w:t>Amended, Restated and Consolidated Ground Lease entered into as of March 31, 2010 by and between the Massachusetts Port Authority and Boston Harbor Industrial Development LLC, notice of which is recorded at the Suffolk County Registry of Deeds at Book 46261, Page 23 and filed with the Suffolk Registry District of the Land Court as Document No. 776685, as amended by an Amendment to Amended, Restated and Consolidated Lease entered into as of July 3, 2014 by and between the Massachusetts Port Authority and Boston Harbor Industrial Development LLC, notice of which is recorded at the Suffolk County Registry of Deeds at Book 53189, Page 102 and filed with the Suffolk Registry District of the Land Court as Document No. 832844, as assigned by an</w:t>
      </w:r>
    </w:p>
    <w:p>
      <w:pPr>
        <w:spacing w:after="0" w:line="57" w:lineRule="exact"/>
        <w:rPr>
          <w:sz w:val="20"/>
          <w:szCs w:val="20"/>
          <w:color w:val="auto"/>
        </w:rPr>
      </w:pPr>
    </w:p>
    <w:p>
      <w:pPr>
        <w:jc w:val="both"/>
        <w:ind w:left="1420" w:right="220"/>
        <w:spacing w:after="0" w:line="259" w:lineRule="auto"/>
        <w:rPr>
          <w:sz w:val="20"/>
          <w:szCs w:val="20"/>
          <w:color w:val="auto"/>
        </w:rPr>
      </w:pPr>
      <w:r>
        <w:rPr>
          <w:rFonts w:ascii="Arial" w:cs="Arial" w:eastAsia="Arial" w:hAnsi="Arial"/>
          <w:sz w:val="18"/>
          <w:szCs w:val="18"/>
          <w:color w:val="auto"/>
        </w:rPr>
        <w:t>Assignment of Ground Lease entered into between Boston Harbor Industrial Development LLC and OPG MP Parcel Owner (DE) LLC entered into as of October 2, 2019, which is recorded at the Suffolk County Registry of Deeds at Book 61 844, Page 194 and filed with the Suffolk Registry District of the Land Court as Document No. 899129.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0920"/>
          </w:cols>
          <w:pgMar w:left="480" w:top="269" w:right="499" w:bottom="1440" w:gutter="0" w:footer="0" w:header="0"/>
        </w:sectPr>
      </w:pPr>
    </w:p>
    <w:bookmarkStart w:id="698" w:name="page699"/>
    <w:bookmarkEnd w:id="698"/>
    <w:p>
      <w:pPr>
        <w:ind w:left="97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Sublease</w:t>
      </w:r>
      <w:r>
        <w:rPr>
          <w:rFonts w:ascii="Arial" w:cs="Arial" w:eastAsia="Arial" w:hAnsi="Arial"/>
          <w:sz w:val="18"/>
          <w:szCs w:val="18"/>
          <w:color w:val="auto"/>
        </w:rPr>
        <w:t>:</w:t>
      </w:r>
    </w:p>
    <w:p>
      <w:pPr>
        <w:spacing w:after="0" w:line="114" w:lineRule="exact"/>
        <w:rPr>
          <w:sz w:val="20"/>
          <w:szCs w:val="20"/>
          <w:color w:val="auto"/>
        </w:rPr>
      </w:pPr>
    </w:p>
    <w:p>
      <w:pPr>
        <w:ind w:left="1413"/>
        <w:spacing w:after="0"/>
        <w:rPr>
          <w:sz w:val="20"/>
          <w:szCs w:val="20"/>
          <w:color w:val="auto"/>
        </w:rPr>
      </w:pPr>
      <w:r>
        <w:rPr>
          <w:rFonts w:ascii="Arial" w:cs="Arial" w:eastAsia="Arial" w:hAnsi="Arial"/>
          <w:sz w:val="16"/>
          <w:szCs w:val="16"/>
          <w:color w:val="auto"/>
        </w:rPr>
        <w:t>That certain Lease Agreement dated as of __________, 2020, by and between Tenant and Subtenant covering the Subleased</w:t>
      </w:r>
    </w:p>
    <w:p>
      <w:pPr>
        <w:spacing w:after="0" w:line="43" w:lineRule="exact"/>
        <w:rPr>
          <w:sz w:val="20"/>
          <w:szCs w:val="20"/>
          <w:color w:val="auto"/>
        </w:rPr>
      </w:pPr>
    </w:p>
    <w:p>
      <w:pPr>
        <w:ind w:left="1413"/>
        <w:spacing w:after="0"/>
        <w:rPr>
          <w:sz w:val="20"/>
          <w:szCs w:val="20"/>
          <w:color w:val="auto"/>
        </w:rPr>
      </w:pPr>
      <w:r>
        <w:rPr>
          <w:rFonts w:ascii="Arial" w:cs="Arial" w:eastAsia="Arial" w:hAnsi="Arial"/>
          <w:sz w:val="18"/>
          <w:szCs w:val="18"/>
          <w:color w:val="auto"/>
        </w:rPr>
        <w:t>Premises.</w:t>
      </w:r>
    </w:p>
    <w:p>
      <w:pPr>
        <w:spacing w:after="0" w:line="101" w:lineRule="exact"/>
        <w:rPr>
          <w:sz w:val="20"/>
          <w:szCs w:val="20"/>
          <w:color w:val="auto"/>
        </w:rPr>
      </w:pPr>
    </w:p>
    <w:p>
      <w:pPr>
        <w:ind w:left="973"/>
        <w:spacing w:after="0"/>
        <w:rPr>
          <w:sz w:val="20"/>
          <w:szCs w:val="20"/>
          <w:color w:val="auto"/>
        </w:rPr>
      </w:pPr>
      <w:r>
        <w:rPr>
          <w:rFonts w:ascii="Arial" w:cs="Arial" w:eastAsia="Arial" w:hAnsi="Arial"/>
          <w:sz w:val="18"/>
          <w:szCs w:val="18"/>
          <w:u w:val="single" w:color="auto"/>
          <w:color w:val="auto"/>
        </w:rPr>
        <w:t>Ground Leased Premises</w:t>
      </w:r>
      <w:r>
        <w:rPr>
          <w:rFonts w:ascii="Arial" w:cs="Arial" w:eastAsia="Arial" w:hAnsi="Arial"/>
          <w:sz w:val="18"/>
          <w:szCs w:val="18"/>
          <w:color w:val="auto"/>
        </w:rPr>
        <w:t>:</w:t>
      </w:r>
    </w:p>
    <w:p>
      <w:pPr>
        <w:spacing w:after="0" w:line="114" w:lineRule="exact"/>
        <w:rPr>
          <w:sz w:val="20"/>
          <w:szCs w:val="20"/>
          <w:color w:val="auto"/>
        </w:rPr>
      </w:pPr>
    </w:p>
    <w:p>
      <w:pPr>
        <w:jc w:val="both"/>
        <w:ind w:left="1413"/>
        <w:spacing w:after="0" w:line="259" w:lineRule="auto"/>
        <w:rPr>
          <w:sz w:val="20"/>
          <w:szCs w:val="20"/>
          <w:color w:val="auto"/>
        </w:rPr>
      </w:pPr>
      <w:r>
        <w:rPr>
          <w:rFonts w:ascii="Arial" w:cs="Arial" w:eastAsia="Arial" w:hAnsi="Arial"/>
          <w:sz w:val="18"/>
          <w:szCs w:val="18"/>
          <w:color w:val="auto"/>
        </w:rPr>
        <w:t>That certain parcel of land located in the Commonwealth Flats area of South Boston, Massachusetts, generally bounded by Summer Street, E Street, West First Street and the South Boston Reserve Channel and consisting of approximately 38.1 acres of land, as more particularly described in the Ground Lease.</w:t>
      </w:r>
    </w:p>
    <w:p>
      <w:pPr>
        <w:spacing w:after="0" w:line="79" w:lineRule="exact"/>
        <w:rPr>
          <w:sz w:val="20"/>
          <w:szCs w:val="20"/>
          <w:color w:val="auto"/>
        </w:rPr>
      </w:pPr>
    </w:p>
    <w:p>
      <w:pPr>
        <w:ind w:left="973"/>
        <w:spacing w:after="0"/>
        <w:rPr>
          <w:sz w:val="20"/>
          <w:szCs w:val="20"/>
          <w:color w:val="auto"/>
        </w:rPr>
      </w:pPr>
      <w:r>
        <w:rPr>
          <w:rFonts w:ascii="Arial" w:cs="Arial" w:eastAsia="Arial" w:hAnsi="Arial"/>
          <w:sz w:val="18"/>
          <w:szCs w:val="18"/>
          <w:u w:val="single" w:color="auto"/>
          <w:color w:val="auto"/>
        </w:rPr>
        <w:t>Subleased Premises</w:t>
      </w:r>
      <w:r>
        <w:rPr>
          <w:rFonts w:ascii="Arial" w:cs="Arial" w:eastAsia="Arial" w:hAnsi="Arial"/>
          <w:sz w:val="18"/>
          <w:szCs w:val="18"/>
          <w:color w:val="auto"/>
        </w:rPr>
        <w:t>:</w:t>
      </w:r>
    </w:p>
    <w:p>
      <w:pPr>
        <w:spacing w:after="0" w:line="114" w:lineRule="exact"/>
        <w:rPr>
          <w:sz w:val="20"/>
          <w:szCs w:val="20"/>
          <w:color w:val="auto"/>
        </w:rPr>
      </w:pPr>
    </w:p>
    <w:p>
      <w:pPr>
        <w:ind w:left="1413" w:right="140"/>
        <w:spacing w:after="0" w:line="301" w:lineRule="auto"/>
        <w:rPr>
          <w:sz w:val="20"/>
          <w:szCs w:val="20"/>
          <w:color w:val="auto"/>
        </w:rPr>
      </w:pPr>
      <w:r>
        <w:rPr>
          <w:rFonts w:ascii="Arial" w:cs="Arial" w:eastAsia="Arial" w:hAnsi="Arial"/>
          <w:sz w:val="17"/>
          <w:szCs w:val="17"/>
          <w:color w:val="auto"/>
        </w:rPr>
        <w:t>That portion of the first floor known as Suite 102 and containing approximately 16,748 rentable square feet (the “Premises”) in the building located at 645 Summer Street, Boston, MA (the “Building), as more particularly described in the Sublease.</w:t>
      </w:r>
    </w:p>
    <w:p>
      <w:pPr>
        <w:spacing w:after="0" w:line="366" w:lineRule="exact"/>
        <w:rPr>
          <w:sz w:val="20"/>
          <w:szCs w:val="20"/>
          <w:color w:val="auto"/>
        </w:rPr>
      </w:pPr>
    </w:p>
    <w:p>
      <w:pPr>
        <w:jc w:val="center"/>
        <w:ind w:right="-12"/>
        <w:spacing w:after="0"/>
        <w:rPr>
          <w:sz w:val="20"/>
          <w:szCs w:val="20"/>
          <w:color w:val="auto"/>
        </w:rPr>
      </w:pPr>
      <w:r>
        <w:rPr>
          <w:rFonts w:ascii="Arial" w:cs="Arial" w:eastAsia="Arial" w:hAnsi="Arial"/>
          <w:sz w:val="18"/>
          <w:szCs w:val="18"/>
          <w:u w:val="single" w:color="auto"/>
          <w:color w:val="auto"/>
        </w:rPr>
        <w:t>RECITALS</w:t>
      </w:r>
    </w:p>
    <w:p>
      <w:pPr>
        <w:spacing w:after="0" w:line="248" w:lineRule="exact"/>
        <w:rPr>
          <w:sz w:val="20"/>
          <w:szCs w:val="20"/>
          <w:color w:val="auto"/>
        </w:rPr>
      </w:pPr>
    </w:p>
    <w:p>
      <w:pPr>
        <w:ind w:left="973" w:hanging="545"/>
        <w:spacing w:after="0"/>
        <w:tabs>
          <w:tab w:leader="none" w:pos="973" w:val="left"/>
        </w:tabs>
        <w:numPr>
          <w:ilvl w:val="0"/>
          <w:numId w:val="592"/>
        </w:numPr>
        <w:rPr>
          <w:rFonts w:ascii="Arial" w:cs="Arial" w:eastAsia="Arial" w:hAnsi="Arial"/>
          <w:sz w:val="18"/>
          <w:szCs w:val="18"/>
          <w:color w:val="auto"/>
        </w:rPr>
      </w:pPr>
      <w:r>
        <w:rPr>
          <w:rFonts w:ascii="Arial" w:cs="Arial" w:eastAsia="Arial" w:hAnsi="Arial"/>
          <w:sz w:val="18"/>
          <w:szCs w:val="18"/>
          <w:color w:val="auto"/>
        </w:rPr>
        <w:t>Pursuant to the Ground Lease, Tenant has leased the Ground Leased Premises from the Ground Landlord.</w:t>
      </w:r>
    </w:p>
    <w:p>
      <w:pPr>
        <w:spacing w:after="0" w:line="127" w:lineRule="exact"/>
        <w:rPr>
          <w:rFonts w:ascii="Arial" w:cs="Arial" w:eastAsia="Arial" w:hAnsi="Arial"/>
          <w:sz w:val="18"/>
          <w:szCs w:val="18"/>
          <w:color w:val="auto"/>
        </w:rPr>
      </w:pPr>
    </w:p>
    <w:p>
      <w:pPr>
        <w:jc w:val="both"/>
        <w:ind w:left="973" w:right="120" w:hanging="545"/>
        <w:spacing w:after="0" w:line="259" w:lineRule="auto"/>
        <w:tabs>
          <w:tab w:leader="none" w:pos="973"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Tenant and Subtenant have entered into the Sublease,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(provided that a copy of the Sublease shall not be attached to any counterpart of this Agreement to be recorded at the Registry of Deeds or filed with the Suffolk Registry District of the Land Court).</w:t>
      </w:r>
    </w:p>
    <w:p>
      <w:pPr>
        <w:spacing w:after="0" w:line="400" w:lineRule="exact"/>
        <w:rPr>
          <w:sz w:val="20"/>
          <w:szCs w:val="20"/>
          <w:color w:val="auto"/>
        </w:rPr>
      </w:pPr>
    </w:p>
    <w:p>
      <w:pPr>
        <w:jc w:val="center"/>
        <w:ind w:right="-12"/>
        <w:spacing w:after="0"/>
        <w:rPr>
          <w:sz w:val="20"/>
          <w:szCs w:val="20"/>
          <w:color w:val="auto"/>
        </w:rPr>
      </w:pPr>
      <w:r>
        <w:rPr>
          <w:rFonts w:ascii="Arial" w:cs="Arial" w:eastAsia="Arial" w:hAnsi="Arial"/>
          <w:sz w:val="18"/>
          <w:szCs w:val="18"/>
          <w:u w:val="single" w:color="auto"/>
          <w:color w:val="auto"/>
        </w:rPr>
        <w:t>AGREEMENTS</w:t>
      </w:r>
    </w:p>
    <w:p>
      <w:pPr>
        <w:spacing w:after="0" w:line="221" w:lineRule="exact"/>
        <w:rPr>
          <w:sz w:val="20"/>
          <w:szCs w:val="20"/>
          <w:color w:val="auto"/>
        </w:rPr>
      </w:pPr>
    </w:p>
    <w:p>
      <w:pPr>
        <w:ind w:left="433"/>
        <w:spacing w:after="0"/>
        <w:rPr>
          <w:sz w:val="20"/>
          <w:szCs w:val="20"/>
          <w:color w:val="auto"/>
        </w:rPr>
      </w:pPr>
      <w:r>
        <w:rPr>
          <w:rFonts w:ascii="Arial" w:cs="Arial" w:eastAsia="Arial" w:hAnsi="Arial"/>
          <w:sz w:val="18"/>
          <w:szCs w:val="18"/>
          <w:color w:val="auto"/>
        </w:rPr>
        <w:t>NOW THEREFORE, in consideration of the agreements contained herein, the parties agree as follows:</w:t>
      </w:r>
    </w:p>
    <w:p>
      <w:pPr>
        <w:spacing w:after="0" w:line="248" w:lineRule="exact"/>
        <w:rPr>
          <w:sz w:val="20"/>
          <w:szCs w:val="20"/>
          <w:color w:val="auto"/>
        </w:rPr>
      </w:pPr>
    </w:p>
    <w:p>
      <w:pPr>
        <w:ind w:left="433" w:hanging="433"/>
        <w:spacing w:after="0"/>
        <w:tabs>
          <w:tab w:leader="none" w:pos="433"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Subordination</w:t>
      </w:r>
    </w:p>
    <w:p>
      <w:pPr>
        <w:spacing w:after="0" w:line="127" w:lineRule="exact"/>
        <w:rPr>
          <w:rFonts w:ascii="Arial" w:cs="Arial" w:eastAsia="Arial" w:hAnsi="Arial"/>
          <w:sz w:val="18"/>
          <w:szCs w:val="18"/>
          <w:color w:val="auto"/>
        </w:rPr>
      </w:pPr>
    </w:p>
    <w:p>
      <w:pPr>
        <w:ind w:left="973" w:right="80" w:hanging="545"/>
        <w:spacing w:after="0" w:line="287" w:lineRule="auto"/>
        <w:tabs>
          <w:tab w:leader="none" w:pos="973" w:val="left"/>
        </w:tabs>
        <w:numPr>
          <w:ilvl w:val="1"/>
          <w:numId w:val="593"/>
        </w:numPr>
        <w:rPr>
          <w:rFonts w:ascii="Arial" w:cs="Arial" w:eastAsia="Arial" w:hAnsi="Arial"/>
          <w:sz w:val="16"/>
          <w:szCs w:val="16"/>
          <w:color w:val="auto"/>
        </w:rPr>
      </w:pPr>
      <w:r>
        <w:rPr>
          <w:rFonts w:ascii="Arial" w:cs="Arial" w:eastAsia="Arial" w:hAnsi="Arial"/>
          <w:sz w:val="16"/>
          <w:szCs w:val="16"/>
          <w:color w:val="auto"/>
        </w:rPr>
        <w:t>Tenant and Subtenant confirm and agree that the Sublease and any extensions, renewals, amendments, modifications, consolidations, replacements and expansions thereof, and all right, title and interest of Subtenant and Tenant thereunder in and to the Subleased Premises, are and shall be subject andsubordinate to the Ground Lease and to all the terms and conditions contained therein, and to all extensions, renewals, amendments, modifications, consolidations, replacements and expansions thereof as though each such extension, renewal, amendment, modification, consolidation, replacement and expansion were executed, delivered and notice thereof recorded before the execution of the Sublease. Without limiting the foregoing and notwithstanding any other term or provision of this Agreement, Subtenant’s rights with respect to proceeds of insurance and eminent domain awards are expressly made subject and subordinate to the terms of the Ground Lease, and the disposition of such proceeds shall be governed by the Ground Lease in all respects.</w:t>
      </w:r>
    </w:p>
    <w:p>
      <w:pPr>
        <w:spacing w:after="0" w:line="9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893"/>
          </w:cols>
          <w:pgMar w:left="487" w:top="272" w:right="519" w:bottom="1440" w:gutter="0" w:footer="0" w:header="0"/>
        </w:sectPr>
      </w:pPr>
    </w:p>
    <w:bookmarkStart w:id="699" w:name="page700"/>
    <w:bookmarkEnd w:id="699"/>
    <w:p>
      <w:pPr>
        <w:ind w:left="980" w:right="60" w:hanging="545"/>
        <w:spacing w:after="0" w:line="259" w:lineRule="auto"/>
        <w:tabs>
          <w:tab w:leader="none" w:pos="9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Ground Landlord hereby agrees that it has consented to Subtenant’s use of the Subleased Premises for the Permitted Use (as defined in the Sublease) and that there are no provisions of the Ground Lease that prohibit such use or which will adversely affect Tenant’s occupancy and use of the Premises.</w:t>
      </w:r>
    </w:p>
    <w:p>
      <w:pPr>
        <w:spacing w:after="0" w:line="92" w:lineRule="exact"/>
        <w:rPr>
          <w:rFonts w:ascii="Arial" w:cs="Arial" w:eastAsia="Arial" w:hAnsi="Arial"/>
          <w:sz w:val="18"/>
          <w:szCs w:val="18"/>
          <w:color w:val="auto"/>
        </w:rPr>
      </w:pPr>
    </w:p>
    <w:p>
      <w:pPr>
        <w:ind w:left="440" w:hanging="433"/>
        <w:spacing w:after="0"/>
        <w:tabs>
          <w:tab w:leader="none" w:pos="440"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Non-Disturbance</w:t>
      </w:r>
    </w:p>
    <w:p>
      <w:pPr>
        <w:spacing w:after="0" w:line="127" w:lineRule="exact"/>
        <w:rPr>
          <w:rFonts w:ascii="Arial" w:cs="Arial" w:eastAsia="Arial" w:hAnsi="Arial"/>
          <w:sz w:val="18"/>
          <w:szCs w:val="18"/>
          <w:color w:val="auto"/>
        </w:rPr>
      </w:pPr>
    </w:p>
    <w:p>
      <w:pPr>
        <w:ind w:left="980" w:hanging="545"/>
        <w:spacing w:after="0" w:line="269" w:lineRule="auto"/>
        <w:tabs>
          <w:tab w:leader="none" w:pos="98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Per that certain approval letter dated , 2020, Ground Landlord has consented, in accordance with its approval rights under the Ground Lease, to the execution and delivery of the Sublease in the form delivered by Tenant to the Ground Landlord prior to Ground Landlord’s execution of this Agreement. Tenant and Subtenant represent and warrant to the Ground Landlord that the copy of the Sublease so delivered to the Ground Landlord is a true and complete copy of the Sublease, and that it contains all of the agreements and understandings between Tenant and Subtenant with respect to the Subleased Premises and the development, use or occupancy thereof. Tenant and Subtenant agree that this Agreement satisfies any condition or requirement in the Ground Lease or in the Sublease relating to the granting of a non-disturbance agreement by the Ground Landlord with respect to the Sublease.</w:t>
      </w:r>
    </w:p>
    <w:p>
      <w:pPr>
        <w:spacing w:after="0" w:line="84" w:lineRule="exact"/>
        <w:rPr>
          <w:rFonts w:ascii="Arial" w:cs="Arial" w:eastAsia="Arial" w:hAnsi="Arial"/>
          <w:sz w:val="17"/>
          <w:szCs w:val="17"/>
          <w:color w:val="auto"/>
        </w:rPr>
      </w:pPr>
    </w:p>
    <w:p>
      <w:pPr>
        <w:ind w:left="980" w:right="60" w:hanging="545"/>
        <w:spacing w:after="0" w:line="253" w:lineRule="auto"/>
        <w:tabs>
          <w:tab w:leader="none" w:pos="98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Provided that the Sublease is then in full force and effect, the Ground Landlord agrees that, in the event of a termination of the Ground Lease due to a default of Tenant or the exercise by the Ground Landlord of any of its rights thereunder to take possession of and to operate the Subleased Premises, the Ground Landlord shall not disturb Subtenant’s right of possession of the Subleased Premises under the terms of the Sublease so long as Subtenant is not in default of any term, covenant or condition of the Sublease beyond any applicable grace period provided in the Sublease.</w:t>
      </w:r>
    </w:p>
    <w:p>
      <w:pPr>
        <w:spacing w:after="0" w:line="19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rights under this paragraph shall inure to the benefit of only (i) the Subtenant named herein or (ii) any successor to Subtenant as described in Section 11.04 of the Sublease, and shall not pass to any other assignee of the Subtenant or any other party without the prior written approval of the Ground Landlord.</w:t>
      </w:r>
    </w:p>
    <w:p>
      <w:pPr>
        <w:spacing w:after="0" w:line="92" w:lineRule="exact"/>
        <w:rPr>
          <w:sz w:val="20"/>
          <w:szCs w:val="20"/>
          <w:color w:val="auto"/>
        </w:rPr>
      </w:pPr>
    </w:p>
    <w:p>
      <w:pPr>
        <w:ind w:left="440" w:hanging="433"/>
        <w:spacing w:after="0"/>
        <w:tabs>
          <w:tab w:leader="none" w:pos="440"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Attornment</w:t>
      </w:r>
    </w:p>
    <w:p>
      <w:pPr>
        <w:spacing w:after="0" w:line="127" w:lineRule="exact"/>
        <w:rPr>
          <w:rFonts w:ascii="Arial" w:cs="Arial" w:eastAsia="Arial" w:hAnsi="Arial"/>
          <w:sz w:val="18"/>
          <w:szCs w:val="18"/>
          <w:color w:val="auto"/>
        </w:rPr>
      </w:pPr>
    </w:p>
    <w:p>
      <w:pPr>
        <w:ind w:left="980" w:right="80" w:hanging="545"/>
        <w:spacing w:after="0" w:line="251" w:lineRule="auto"/>
        <w:tabs>
          <w:tab w:leader="none" w:pos="9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Subtenant agrees that, in the event of a termination of the Ground Lease or the exercise by the Ground Landlord of any of its rights thereunder to take possession of the Ground Leased Premises, Subtenant will attorn to and recognize the Ground Landlord as its sublandlord under the Sublease for the remainder of the term thereof (including all extension periods which have been or are hereafter exercised) upon the same terms and conditions as are set forth in the Sublease, and Subtenant hereby agrees to pay and perform all of the obligations of Subtenant pursuant to the Sublease and the Sublease shall not terminate but shall become a direct lease between the Ground Landlord and Subtenant, and Ground Landlord shall be bound by and perform all obligations imposed by the Sublease, except as set forth in Section III B 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0900"/>
          </w:cols>
          <w:pgMar w:left="480" w:top="272" w:right="519" w:bottom="1440" w:gutter="0" w:footer="0" w:header="0"/>
        </w:sectPr>
      </w:pPr>
    </w:p>
    <w:bookmarkStart w:id="700" w:name="page701"/>
    <w:bookmarkEnd w:id="700"/>
    <w:p>
      <w:pPr>
        <w:ind w:left="545" w:right="20" w:hanging="545"/>
        <w:spacing w:after="0" w:line="271" w:lineRule="auto"/>
        <w:tabs>
          <w:tab w:leader="none" w:pos="545" w:val="left"/>
        </w:tabs>
        <w:numPr>
          <w:ilvl w:val="0"/>
          <w:numId w:val="5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provisions of Section III A hereof, Subtenant agrees that, in the event the Ground Landlord succeeds to the position of sublandlord under the Sublease, the Ground Landlord shall not be:</w:t>
      </w:r>
    </w:p>
    <w:p>
      <w:pPr>
        <w:spacing w:after="0" w:line="80" w:lineRule="exact"/>
        <w:rPr>
          <w:rFonts w:ascii="Arial" w:cs="Arial" w:eastAsia="Arial" w:hAnsi="Arial"/>
          <w:sz w:val="18"/>
          <w:szCs w:val="18"/>
          <w:color w:val="auto"/>
        </w:rPr>
      </w:pPr>
    </w:p>
    <w:p>
      <w:pPr>
        <w:ind w:left="985" w:right="60" w:hanging="436"/>
        <w:spacing w:after="0" w:line="307" w:lineRule="auto"/>
        <w:tabs>
          <w:tab w:leader="none" w:pos="985" w:val="left"/>
        </w:tabs>
        <w:numPr>
          <w:ilvl w:val="1"/>
          <w:numId w:val="597"/>
        </w:numPr>
        <w:rPr>
          <w:rFonts w:ascii="Arial" w:cs="Arial" w:eastAsia="Arial" w:hAnsi="Arial"/>
          <w:sz w:val="16"/>
          <w:szCs w:val="16"/>
          <w:color w:val="auto"/>
        </w:rPr>
      </w:pPr>
      <w:r>
        <w:rPr>
          <w:rFonts w:ascii="Arial" w:cs="Arial" w:eastAsia="Arial" w:hAnsi="Arial"/>
          <w:sz w:val="16"/>
          <w:szCs w:val="16"/>
          <w:color w:val="auto"/>
        </w:rPr>
        <w:t>liable for any act or omission of any prior sublandlord (including, without limitation, Tenant), or for any fact, circumstance or condition existing prior to the Ground Landlord’s succession in interest, except to the extent Ground Landlord had notice of such act or omission prior to said succession in interest, such act or omission is continuing and is capable of cure by Ground Landlord;</w:t>
      </w:r>
    </w:p>
    <w:p>
      <w:pPr>
        <w:spacing w:after="0" w:line="56" w:lineRule="exact"/>
        <w:rPr>
          <w:rFonts w:ascii="Arial" w:cs="Arial" w:eastAsia="Arial" w:hAnsi="Arial"/>
          <w:sz w:val="16"/>
          <w:szCs w:val="16"/>
          <w:color w:val="auto"/>
        </w:rPr>
      </w:pPr>
    </w:p>
    <w:p>
      <w:pPr>
        <w:ind w:left="985" w:hanging="436"/>
        <w:spacing w:after="0"/>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liable for the return of any security deposit or letter of credit unless the Ground Landlord is holding the same;</w:t>
      </w:r>
    </w:p>
    <w:p>
      <w:pPr>
        <w:spacing w:after="0" w:line="127" w:lineRule="exact"/>
        <w:rPr>
          <w:rFonts w:ascii="Arial" w:cs="Arial" w:eastAsia="Arial" w:hAnsi="Arial"/>
          <w:sz w:val="18"/>
          <w:szCs w:val="18"/>
          <w:color w:val="auto"/>
        </w:rPr>
      </w:pPr>
    </w:p>
    <w:p>
      <w:pPr>
        <w:ind w:left="985" w:right="40" w:hanging="436"/>
        <w:spacing w:after="0" w:line="271" w:lineRule="auto"/>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bound by any agreement of any prior sublandlord (including, without limitation, Tenant) to provide a letter of credit or other security for sublandlord’s obligations under the Sublease;</w:t>
      </w:r>
    </w:p>
    <w:p>
      <w:pPr>
        <w:spacing w:after="0" w:line="80" w:lineRule="exact"/>
        <w:rPr>
          <w:rFonts w:ascii="Arial" w:cs="Arial" w:eastAsia="Arial" w:hAnsi="Arial"/>
          <w:sz w:val="18"/>
          <w:szCs w:val="18"/>
          <w:color w:val="auto"/>
        </w:rPr>
      </w:pPr>
    </w:p>
    <w:p>
      <w:pPr>
        <w:ind w:left="985" w:hanging="436"/>
        <w:spacing w:after="0" w:line="335" w:lineRule="auto"/>
        <w:tabs>
          <w:tab w:leader="none" w:pos="985" w:val="left"/>
        </w:tabs>
        <w:numPr>
          <w:ilvl w:val="1"/>
          <w:numId w:val="597"/>
        </w:numPr>
        <w:rPr>
          <w:rFonts w:ascii="Arial" w:cs="Arial" w:eastAsia="Arial" w:hAnsi="Arial"/>
          <w:sz w:val="16"/>
          <w:szCs w:val="16"/>
          <w:color w:val="auto"/>
        </w:rPr>
      </w:pPr>
      <w:r>
        <w:rPr>
          <w:rFonts w:ascii="Arial" w:cs="Arial" w:eastAsia="Arial" w:hAnsi="Arial"/>
          <w:sz w:val="16"/>
          <w:szCs w:val="16"/>
          <w:color w:val="auto"/>
        </w:rPr>
        <w:t>bound by any rent, percentage rent, or additional rent which Subtenant may have prepaid for more than one (1) month in addition to the then current month under the Sublease other than to the extent that such prepayment is actually received by the Ground Landlord;</w:t>
      </w:r>
    </w:p>
    <w:p>
      <w:pPr>
        <w:spacing w:after="0" w:line="34" w:lineRule="exact"/>
        <w:rPr>
          <w:rFonts w:ascii="Arial" w:cs="Arial" w:eastAsia="Arial" w:hAnsi="Arial"/>
          <w:sz w:val="16"/>
          <w:szCs w:val="16"/>
          <w:color w:val="auto"/>
        </w:rPr>
      </w:pPr>
    </w:p>
    <w:p>
      <w:pPr>
        <w:ind w:left="985" w:right="200" w:hanging="436"/>
        <w:spacing w:after="0" w:line="259" w:lineRule="auto"/>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bound by any amendments or modifications of the Sublease made without the prior written consent of the Ground Landlord, excepting amendments or modifications to the Sublease that are made consistent with the terms of the Sublease in connection with Tenant’s exercise of the Extension Option (as defined in the Sublease);</w:t>
      </w:r>
    </w:p>
    <w:p>
      <w:pPr>
        <w:spacing w:after="0" w:line="92" w:lineRule="exact"/>
        <w:rPr>
          <w:rFonts w:ascii="Arial" w:cs="Arial" w:eastAsia="Arial" w:hAnsi="Arial"/>
          <w:sz w:val="18"/>
          <w:szCs w:val="18"/>
          <w:color w:val="auto"/>
        </w:rPr>
      </w:pPr>
    </w:p>
    <w:p>
      <w:pPr>
        <w:ind w:left="985" w:right="200" w:hanging="436"/>
        <w:spacing w:after="0" w:line="271" w:lineRule="auto"/>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subject to any offsets, claims or defenses which Subtenant might have against any prior sublandlord (including, without limitation, Tenant);</w:t>
      </w:r>
    </w:p>
    <w:p>
      <w:pPr>
        <w:spacing w:after="0" w:line="80" w:lineRule="exact"/>
        <w:rPr>
          <w:rFonts w:ascii="Arial" w:cs="Arial" w:eastAsia="Arial" w:hAnsi="Arial"/>
          <w:sz w:val="18"/>
          <w:szCs w:val="18"/>
          <w:color w:val="auto"/>
        </w:rPr>
      </w:pPr>
    </w:p>
    <w:p>
      <w:pPr>
        <w:ind w:left="985" w:right="220" w:hanging="436"/>
        <w:spacing w:after="0" w:line="255" w:lineRule="auto"/>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the Sublease, bound by any agreement in the Sublease or otherwise required to initially construct, complete or deliver the Subleased Premises or any portion thereof or any improvement thereof or to indemnify Subtenant for any loss resulting from a failure to timely deliver the Subleased Premises or to provide any tenant improvement allowance to Subtenant;</w:t>
      </w:r>
    </w:p>
    <w:p>
      <w:pPr>
        <w:spacing w:after="0" w:line="96" w:lineRule="exact"/>
        <w:rPr>
          <w:rFonts w:ascii="Arial" w:cs="Arial" w:eastAsia="Arial" w:hAnsi="Arial"/>
          <w:sz w:val="18"/>
          <w:szCs w:val="18"/>
          <w:color w:val="auto"/>
        </w:rPr>
      </w:pPr>
    </w:p>
    <w:p>
      <w:pPr>
        <w:ind w:left="985" w:right="100" w:hanging="436"/>
        <w:spacing w:after="0" w:line="259" w:lineRule="auto"/>
        <w:tabs>
          <w:tab w:leader="none" w:pos="98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absent sufficient and available taking or casualty insurance proceeds, bound by any agreement in the Sublease or otherwise required to repair or restore the Subleased Premises or any portion thereof after casualty or condemnation, or to make any payments to anyone for or on account of or in connection with any of the foregoing;</w:t>
      </w:r>
    </w:p>
    <w:p>
      <w:pPr>
        <w:spacing w:after="0" w:line="119" w:lineRule="exact"/>
        <w:rPr>
          <w:sz w:val="20"/>
          <w:szCs w:val="20"/>
          <w:color w:val="auto"/>
        </w:rPr>
      </w:pPr>
    </w:p>
    <w:p>
      <w:pPr>
        <w:jc w:val="center"/>
        <w:ind w:right="415"/>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485"/>
          </w:cols>
          <w:pgMar w:left="915" w:top="272" w:right="499" w:bottom="1440" w:gutter="0" w:footer="0" w:header="0"/>
        </w:sectPr>
      </w:pPr>
    </w:p>
    <w:bookmarkStart w:id="701" w:name="page702"/>
    <w:bookmarkEnd w:id="701"/>
    <w:p>
      <w:pPr>
        <w:ind w:left="1420" w:hanging="436"/>
        <w:spacing w:after="0" w:line="259" w:lineRule="auto"/>
        <w:tabs>
          <w:tab w:leader="none" w:pos="14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liable for or incur any obligations with respect to any breach of warranties or representations of any nature under the Sublease or otherwise including, without limitation, any warranties or representations regarding use, compliance with or applicability of zoning, title, authority or possession; or</w:t>
      </w:r>
    </w:p>
    <w:p>
      <w:pPr>
        <w:spacing w:after="0" w:line="92" w:lineRule="exact"/>
        <w:rPr>
          <w:rFonts w:ascii="Arial" w:cs="Arial" w:eastAsia="Arial" w:hAnsi="Arial"/>
          <w:sz w:val="18"/>
          <w:szCs w:val="18"/>
          <w:color w:val="auto"/>
        </w:rPr>
      </w:pPr>
    </w:p>
    <w:p>
      <w:pPr>
        <w:ind w:left="1420" w:hanging="436"/>
        <w:spacing w:after="0"/>
        <w:tabs>
          <w:tab w:leader="none" w:pos="14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liable for consequential damages; or</w:t>
      </w:r>
    </w:p>
    <w:p>
      <w:pPr>
        <w:spacing w:after="0" w:line="127" w:lineRule="exact"/>
        <w:rPr>
          <w:rFonts w:ascii="Arial" w:cs="Arial" w:eastAsia="Arial" w:hAnsi="Arial"/>
          <w:sz w:val="18"/>
          <w:szCs w:val="18"/>
          <w:color w:val="auto"/>
        </w:rPr>
      </w:pPr>
    </w:p>
    <w:p>
      <w:pPr>
        <w:ind w:left="1420" w:right="120" w:hanging="436"/>
        <w:spacing w:after="0" w:line="272" w:lineRule="auto"/>
        <w:tabs>
          <w:tab w:leader="none" w:pos="1420" w:val="left"/>
        </w:tabs>
        <w:numPr>
          <w:ilvl w:val="1"/>
          <w:numId w:val="598"/>
        </w:numPr>
        <w:rPr>
          <w:rFonts w:ascii="Arial" w:cs="Arial" w:eastAsia="Arial" w:hAnsi="Arial"/>
          <w:sz w:val="17"/>
          <w:szCs w:val="17"/>
          <w:color w:val="auto"/>
        </w:rPr>
      </w:pPr>
      <w:r>
        <w:rPr>
          <w:rFonts w:ascii="Arial" w:cs="Arial" w:eastAsia="Arial" w:hAnsi="Arial"/>
          <w:sz w:val="17"/>
          <w:szCs w:val="17"/>
          <w:color w:val="auto"/>
        </w:rPr>
        <w:t>liable in any way under or with respect to any claim for indemnification under the Sublease arising out of or relating to any event (including, without limitation, any act or omission of Tenant or any other prior sublandlord, or any default on the part of Tenant or any other prior sublandlord under the Sublease), any condition or any circumstance which occurred or existed prior to the date on which Ground Landlord succeeds to the position of sublandlord under the Sublease, regardless of whether or not such event, condition or circumstance continues to exist after such date of succession by Ground Landlord.</w:t>
      </w:r>
    </w:p>
    <w:p>
      <w:pPr>
        <w:spacing w:after="0" w:line="82" w:lineRule="exact"/>
        <w:rPr>
          <w:rFonts w:ascii="Arial" w:cs="Arial" w:eastAsia="Arial" w:hAnsi="Arial"/>
          <w:sz w:val="17"/>
          <w:szCs w:val="17"/>
          <w:color w:val="auto"/>
        </w:rPr>
      </w:pPr>
    </w:p>
    <w:p>
      <w:pPr>
        <w:ind w:left="980" w:right="40" w:hanging="545"/>
        <w:spacing w:after="0" w:line="307" w:lineRule="auto"/>
        <w:tabs>
          <w:tab w:leader="none" w:pos="980" w:val="left"/>
        </w:tabs>
        <w:numPr>
          <w:ilvl w:val="0"/>
          <w:numId w:val="599"/>
        </w:numPr>
        <w:rPr>
          <w:rFonts w:ascii="Arial" w:cs="Arial" w:eastAsia="Arial" w:hAnsi="Arial"/>
          <w:sz w:val="16"/>
          <w:szCs w:val="16"/>
          <w:color w:val="auto"/>
        </w:rPr>
      </w:pPr>
      <w:r>
        <w:rPr>
          <w:rFonts w:ascii="Arial" w:cs="Arial" w:eastAsia="Arial" w:hAnsi="Arial"/>
          <w:sz w:val="16"/>
          <w:szCs w:val="16"/>
          <w:color w:val="auto"/>
        </w:rPr>
        <w:t>The Ground Landlord will have the same remedies for the nonperformance of any agreement contained in the Sublease which Tenant had or would have had if the Ground Lease had not been terminated. The limitations set forth in this Agreement as to the Ground Landlord shall not affect, impair, or abrogate any claims or remedies that Subtenant may have against Tenant under the Sublease or otherwise.</w:t>
      </w:r>
    </w:p>
    <w:p>
      <w:pPr>
        <w:spacing w:after="0" w:line="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Notice and Cure</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Subtenant agrees to give the Ground Landlord a copy of any notice of default under the Sublease served upon Tenant, at the same time as such notice is given to Tenant. Subtenant further agrees that if Tenant shall have failed to cure such default then the Ground Landlord shall have an additional sixty</w:t>
      </w:r>
    </w:p>
    <w:p>
      <w:pPr>
        <w:spacing w:after="0" w:line="1" w:lineRule="exact"/>
        <w:rPr>
          <w:sz w:val="20"/>
          <w:szCs w:val="20"/>
          <w:color w:val="auto"/>
        </w:rPr>
      </w:pPr>
    </w:p>
    <w:p>
      <w:pPr>
        <w:ind w:right="180" w:firstLine="7"/>
        <w:spacing w:after="0" w:line="285" w:lineRule="auto"/>
        <w:tabs>
          <w:tab w:leader="none" w:pos="342" w:val="left"/>
        </w:tabs>
        <w:numPr>
          <w:ilvl w:val="0"/>
          <w:numId w:val="600"/>
        </w:numPr>
        <w:rPr>
          <w:rFonts w:ascii="Arial" w:cs="Arial" w:eastAsia="Arial" w:hAnsi="Arial"/>
          <w:sz w:val="17"/>
          <w:szCs w:val="17"/>
          <w:color w:val="auto"/>
        </w:rPr>
      </w:pPr>
      <w:r>
        <w:rPr>
          <w:rFonts w:ascii="Arial" w:cs="Arial" w:eastAsia="Arial" w:hAnsi="Arial"/>
          <w:sz w:val="17"/>
          <w:szCs w:val="17"/>
          <w:color w:val="auto"/>
        </w:rPr>
        <w:t>days beyond the time period set forth in the Sublease for the curing of defaults within which to cure such default, or, if no such cure period is set forth in the Sublease, shall have sixty (60) days from the date notice is first given to the Ground Landlord to cure such default.</w:t>
      </w:r>
    </w:p>
    <w:p>
      <w:pPr>
        <w:spacing w:after="0" w:line="71" w:lineRule="exact"/>
        <w:rPr>
          <w:sz w:val="20"/>
          <w:szCs w:val="20"/>
          <w:color w:val="auto"/>
        </w:rPr>
      </w:pPr>
    </w:p>
    <w:p>
      <w:pPr>
        <w:ind w:left="440" w:hanging="433"/>
        <w:spacing w:after="0"/>
        <w:tabs>
          <w:tab w:leader="none" w:pos="44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subordination provisions hereof are effective upon execution hereof and the nondisturbance and attornment provisions hereof shall operate immediately upon the Ground Landlordsucceeding to the position of sublandlord as aforesaid, provided that the Sublease is then in full force and effect and Subtenant is not then in default of any term, covenant or condition of the Sublease beyond any applicable grace period provided in the Sublease, in either event without execution of any further instrument. The Ground Landlord, Tenant and Subtenant agree, however, to execute and deliver from time to time such further documentation as any such party deems necessary or appropriate to evidence their agreement hereunder.</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Modification of Sublease</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agreement which shall amend or modify the Sublease, or operate to surrender, merge, terminate or cancel the Sublease absent a default thereunder, without the prior written consent of the Ground Landlord, shall be void and of no force or effect as to the Ground Landlord, excepting amendments or modifications to the Sublease that are made consistent with the terms of the Sublease in connection with Tenant’s exercise of the Extension Option (as defined in the Sublease).</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820"/>
          </w:cols>
          <w:pgMar w:left="480" w:top="272" w:right="599" w:bottom="1440" w:gutter="0" w:footer="0" w:header="0"/>
        </w:sectPr>
      </w:pPr>
    </w:p>
    <w:bookmarkStart w:id="702" w:name="page703"/>
    <w:bookmarkEnd w:id="702"/>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6135" cy="38735"/>
                    </a:xfrm>
                    <a:prstGeom prst="rect">
                      <a:avLst/>
                    </a:prstGeom>
                    <a:noFill/>
                  </pic:spPr>
                </pic:pic>
              </a:graphicData>
            </a:graphic>
          </wp:anchor>
        </w:drawing>
        <w:t>VII.</w:t>
      </w:r>
      <w:r>
        <w:rPr>
          <w:sz w:val="20"/>
          <w:szCs w:val="20"/>
          <w:color w:val="auto"/>
        </w:rPr>
        <w:tab/>
      </w:r>
      <w:r>
        <w:rPr>
          <w:rFonts w:ascii="Arial" w:cs="Arial" w:eastAsia="Arial" w:hAnsi="Arial"/>
          <w:sz w:val="16"/>
          <w:szCs w:val="16"/>
          <w:u w:val="single" w:color="auto"/>
          <w:color w:val="auto"/>
        </w:rPr>
        <w:t>Options</w:t>
      </w:r>
    </w:p>
    <w:p>
      <w:pPr>
        <w:spacing w:after="0" w:line="11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With respect to any options or rights of first refusal for additional space provided to Subtenant under the Sublease, the Ground Landlord agrees to recognize the same if Subtenant is entitled thereto under the Sublease after the date on which the Ground Landlord succeeds to the interest of Tenant under the Sublease; provided that the Ground Landlord shall not be liable or responsible for any acts of any prior sublandlord (including, without limitation, Tenant) or the acts of any other party (whether or not consented to by the Ground Landlord), that prevents the Ground Landlord from complying with the provisions hereof and Subtenant shall have no right to cancel the Sublease or make such claims against the Ground Landlord on account thereof.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Successors and Assigns</w:t>
      </w:r>
    </w:p>
    <w:p>
      <w:pPr>
        <w:spacing w:after="0" w:line="127" w:lineRule="exact"/>
        <w:rPr>
          <w:sz w:val="20"/>
          <w:szCs w:val="20"/>
          <w:color w:val="auto"/>
        </w:rPr>
      </w:pPr>
    </w:p>
    <w:p>
      <w:pPr>
        <w:ind w:left="980" w:hanging="545"/>
        <w:spacing w:after="0" w:line="272" w:lineRule="auto"/>
        <w:tabs>
          <w:tab w:leader="none" w:pos="980" w:val="left"/>
        </w:tabs>
        <w:numPr>
          <w:ilvl w:val="0"/>
          <w:numId w:val="602"/>
        </w:numPr>
        <w:rPr>
          <w:rFonts w:ascii="Arial" w:cs="Arial" w:eastAsia="Arial" w:hAnsi="Arial"/>
          <w:sz w:val="17"/>
          <w:szCs w:val="17"/>
          <w:color w:val="auto"/>
        </w:rPr>
      </w:pPr>
      <w:r>
        <w:rPr>
          <w:rFonts w:ascii="Arial" w:cs="Arial" w:eastAsia="Arial" w:hAnsi="Arial"/>
          <w:sz w:val="17"/>
          <w:szCs w:val="17"/>
          <w:color w:val="auto"/>
        </w:rPr>
        <w:t>The term “the Ground Landlord” as used in this Agreement means only the owner (or the owner’s nominee) for the time being of the fee title to the Ground Leased Premises under the Ground Lease. In the event of any sale or other transfer of its entire interest in the Ground Leased Premises, the Ground Landlord named herein shall be and hereby is entirely relieved of all covenants and obligations of the Ground Landlord hereunder from and after the date thereof provided the new fee title holder to the Ground Leased Premises assumes in writing the obligations of the Ground Landlord hereunder and under the Ground Lease.</w:t>
      </w:r>
    </w:p>
    <w:p>
      <w:pPr>
        <w:spacing w:after="0" w:line="82" w:lineRule="exact"/>
        <w:rPr>
          <w:rFonts w:ascii="Arial" w:cs="Arial" w:eastAsia="Arial" w:hAnsi="Arial"/>
          <w:sz w:val="17"/>
          <w:szCs w:val="17"/>
          <w:color w:val="auto"/>
        </w:rPr>
      </w:pPr>
    </w:p>
    <w:p>
      <w:pPr>
        <w:ind w:left="980" w:right="20" w:hanging="545"/>
        <w:spacing w:after="0" w:line="271" w:lineRule="auto"/>
        <w:tabs>
          <w:tab w:leader="none" w:pos="9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Except as otherwise provided, this Agreement is binding upon and shall inure to the benefit of the parties hereto and their heirs, successors, personal representatives, and assigns.</w:t>
      </w:r>
    </w:p>
    <w:p>
      <w:pPr>
        <w:spacing w:after="0" w:line="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Non-Recourse</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Subtenant agrees that execution by the Ground Landlord of this Agreement and execution of the Ground Lease by the Ground Landlord does not constitute an assumption by the Ground Landlord of any obligations or liabilities under the Sublease, and that the Ground Landlord is not bound to perform Tenant’s obligations under the Sublease, unless and until the Ground Landlord succeeds to Tenant’s position under the Sublease as set forth above, it being understood that the Ground Landlord cannot be bound by any act or omission of Tenant, its successors or assigns, except as provided in Section III B 1. Subtenant further agrees that, in the event the Ground Landlord succeeds to Tenant’s position under the Sublease as aforesaid, the Ground Landlord’s liability under the Sublease shall be enforceable only out of the Ground Landlord’s interest in the Subleased Premises, including all rents, issues and profits therefrom; and there shall be no other recourse against, or right to seek a deficiency judgment against, the Ground Landlord or any other assets of the Ground Landlord, nor shall there be any personal liability on the part of any member of its board of directors or any officer or employee of the Ground Landlord, with respect to any obligations to be performed under the Sublease.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0920"/>
          </w:cols>
          <w:pgMar w:left="480" w:top="273" w:right="499" w:bottom="1440" w:gutter="0" w:footer="0" w:header="0"/>
        </w:sectPr>
      </w:pPr>
    </w:p>
    <w:bookmarkStart w:id="703" w:name="page704"/>
    <w:bookmarkEnd w:id="703"/>
    <w:p>
      <w:pPr>
        <w:ind w:left="440" w:hanging="433"/>
        <w:spacing w:after="0"/>
        <w:tabs>
          <w:tab w:leader="none" w:pos="440"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Validity of Provisions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invalidity of any provision of this Agreement shall in no way affect the validity of any other provision.</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u w:val="single" w:color="auto"/>
          <w:color w:val="auto"/>
        </w:rPr>
        <w:t>Governing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interpreted in accordance with and governed by the laws of The Commonwealth of Massachusetts.</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6"/>
          <w:szCs w:val="16"/>
          <w:u w:val="single" w:color="auto"/>
          <w:color w:val="auto"/>
        </w:rPr>
        <w:t>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parties submit to personal jurisdiction in The Commonwealth of Massachusetts and waive any and all personal rights to object to such jurisdiction.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parties agree service of process may be made and personal jurisdiction obtained by serving them at the addresses stated on the first page hereof.</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XIII. </w:t>
      </w:r>
      <w:r>
        <w:rPr>
          <w:rFonts w:ascii="Arial" w:cs="Arial" w:eastAsia="Arial" w:hAnsi="Arial"/>
          <w:sz w:val="18"/>
          <w:szCs w:val="18"/>
          <w:u w:val="single" w:color="auto"/>
          <w:color w:val="auto"/>
        </w:rPr>
        <w:t>Notices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notices given hereunder shall be in writing and shall be deemed received at the earlier of when delivered in hand or by recognized overnight delivery service or seventy two (72) hours after the same have been deposited in the United States mail, postage prepaid, certified or registered mail, return receipt requested, addressed to any party at its address appearing on the first page hereof, or to such other address or addresses as the parties may from time to time specify by notice so given.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XIV. </w:t>
      </w:r>
      <w:r>
        <w:rPr>
          <w:rFonts w:ascii="Arial" w:cs="Arial" w:eastAsia="Arial" w:hAnsi="Arial"/>
          <w:sz w:val="18"/>
          <w:szCs w:val="18"/>
          <w:u w:val="single" w:color="auto"/>
          <w:color w:val="auto"/>
        </w:rPr>
        <w:t>Changes in Writing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changed, waived, or terminated except in a writing signed by all parties hereto.</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XV.</w:t>
      </w:r>
      <w:r>
        <w:rPr>
          <w:sz w:val="20"/>
          <w:szCs w:val="20"/>
          <w:color w:val="auto"/>
        </w:rPr>
        <w:tab/>
      </w:r>
      <w:r>
        <w:rPr>
          <w:rFonts w:ascii="Arial" w:cs="Arial" w:eastAsia="Arial" w:hAnsi="Arial"/>
          <w:sz w:val="14"/>
          <w:szCs w:val="14"/>
          <w:u w:val="single" w:color="auto"/>
          <w:color w:val="auto"/>
        </w:rPr>
        <w:t>Counterparts</w:t>
      </w:r>
    </w:p>
    <w:p>
      <w:pPr>
        <w:spacing w:after="0" w:line="11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This Agreement may be executed in multiple counterparts, each of which shall be deemed an original instrument but all of which together shall constitute one and the same instrument.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XVI. </w:t>
      </w:r>
      <w:r>
        <w:rPr>
          <w:rFonts w:ascii="Arial" w:cs="Arial" w:eastAsia="Arial" w:hAnsi="Arial"/>
          <w:sz w:val="18"/>
          <w:szCs w:val="18"/>
          <w:u w:val="single" w:color="auto"/>
          <w:color w:val="auto"/>
        </w:rPr>
        <w:t>Waiver of Jury Trial</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GROUND LANDLORD, TENANT AND SUBTENANT WAIVE TRIAL BY JURY IN ANY ACTION OR PROCEEDING BROUGHT BY ANY OF THE PARTIES HERETO AGAINST ANY OTHER PARTY OR ON ANY COUNTERCLAIM IN RESPECT THEREOF ON ANY MATTERS WHATSOEVER ARISING OUT OF, OR IN ANY WAY CONNECTED WITH, THIS AGREEMENT OR THE SUBLEASE, THE RELATIONSHIP OF GROUND LANDLORD, TENANT, SUBTENANT, SUBTENANT’S USE OR OCCUPANCY OF THE SUBLEASED PREMISES, AND/OR ANY CLAIM OF INJURY OR DAMAGE UNDER THIS AGREEMENT OR THE SUBLEASE.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Signatures on next page]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0900"/>
          </w:cols>
          <w:pgMar w:left="480" w:top="272" w:right="519" w:bottom="1440" w:gutter="0" w:footer="0" w:header="0"/>
        </w:sectPr>
      </w:pPr>
    </w:p>
    <w:bookmarkStart w:id="704" w:name="page705"/>
    <w:bookmarkEnd w:id="704"/>
    <w:tbl>
      <w:tblPr>
        <w:tblLayout w:type="fixed"/>
        <w:tblInd w:w="0" w:type="dxa"/>
        <w:tblCellMar>
          <w:top w:w="0" w:type="dxa"/>
          <w:left w:w="0" w:type="dxa"/>
          <w:bottom w:w="0" w:type="dxa"/>
          <w:right w:w="0" w:type="dxa"/>
        </w:tblCellMar>
      </w:tblPr>
      <w:tr>
        <w:trPr>
          <w:trHeight w:val="227"/>
        </w:trPr>
        <w:tc>
          <w:tcPr>
            <w:tcW w:w="4760" w:type="dxa"/>
            <w:vAlign w:val="bottom"/>
          </w:tcPr>
          <w:p>
            <w:pPr>
              <w:ind w:left="440"/>
              <w:spacing w:after="0"/>
              <w:rPr>
                <w:sz w:val="20"/>
                <w:szCs w:val="20"/>
                <w:color w:val="auto"/>
              </w:rPr>
            </w:pPr>
            <w:r>
              <w:rPr>
                <w:rFonts w:ascii="Arial" w:cs="Arial" w:eastAsia="Arial" w:hAnsi="Arial"/>
                <w:sz w:val="18"/>
                <w:szCs w:val="18"/>
                <w:color w:val="auto"/>
              </w:rPr>
              <w:t>Executed under seal as of the date first written above.</w:t>
            </w:r>
          </w:p>
        </w:tc>
        <w:tc>
          <w:tcPr>
            <w:tcW w:w="136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455"/>
        </w:trPr>
        <w:tc>
          <w:tcPr>
            <w:tcW w:w="4760" w:type="dxa"/>
            <w:vAlign w:val="bottom"/>
          </w:tcPr>
          <w:p>
            <w:pPr>
              <w:spacing w:after="0"/>
              <w:rPr>
                <w:sz w:val="20"/>
                <w:szCs w:val="20"/>
                <w:color w:val="auto"/>
              </w:rPr>
            </w:pPr>
            <w:r>
              <w:rPr>
                <w:rFonts w:ascii="Arial" w:cs="Arial" w:eastAsia="Arial" w:hAnsi="Arial"/>
                <w:sz w:val="18"/>
                <w:szCs w:val="18"/>
                <w:color w:val="auto"/>
              </w:rPr>
              <w:t>GROUND LANDLORD:</w:t>
            </w:r>
          </w:p>
        </w:tc>
        <w:tc>
          <w:tcPr>
            <w:tcW w:w="6160" w:type="dxa"/>
            <w:vAlign w:val="bottom"/>
            <w:gridSpan w:val="2"/>
          </w:tcPr>
          <w:p>
            <w:pPr>
              <w:ind w:left="520"/>
              <w:spacing w:after="0"/>
              <w:rPr>
                <w:sz w:val="20"/>
                <w:szCs w:val="20"/>
                <w:color w:val="auto"/>
              </w:rPr>
            </w:pPr>
            <w:r>
              <w:rPr>
                <w:rFonts w:ascii="Arial" w:cs="Arial" w:eastAsia="Arial" w:hAnsi="Arial"/>
                <w:sz w:val="18"/>
                <w:szCs w:val="18"/>
                <w:b w:val="1"/>
                <w:bCs w:val="1"/>
                <w:color w:val="auto"/>
              </w:rPr>
              <w:t>MASSACHUSETTS PORT AUTHORITY</w:t>
            </w:r>
          </w:p>
        </w:tc>
      </w:tr>
      <w:tr>
        <w:trPr>
          <w:trHeight w:val="428"/>
        </w:trPr>
        <w:tc>
          <w:tcPr>
            <w:tcW w:w="47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4"/>
                <w:szCs w:val="24"/>
                <w:color w:val="auto"/>
              </w:rPr>
            </w:pPr>
          </w:p>
        </w:tc>
      </w:tr>
      <w:tr>
        <w:trPr>
          <w:trHeight w:val="208"/>
        </w:trPr>
        <w:tc>
          <w:tcPr>
            <w:tcW w:w="4760" w:type="dxa"/>
            <w:vAlign w:val="bottom"/>
          </w:tcPr>
          <w:p>
            <w:pPr>
              <w:spacing w:after="0"/>
              <w:rPr>
                <w:sz w:val="18"/>
                <w:szCs w:val="18"/>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Michael A. Grieco</w:t>
            </w:r>
          </w:p>
        </w:tc>
      </w:tr>
      <w:tr>
        <w:trPr>
          <w:trHeight w:val="227"/>
        </w:trPr>
        <w:tc>
          <w:tcPr>
            <w:tcW w:w="476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Assistant Secretary-Treasurer</w:t>
            </w:r>
          </w:p>
        </w:tc>
      </w:tr>
      <w:tr>
        <w:trPr>
          <w:trHeight w:val="428"/>
        </w:trPr>
        <w:tc>
          <w:tcPr>
            <w:tcW w:w="4760" w:type="dxa"/>
            <w:vAlign w:val="bottom"/>
          </w:tcPr>
          <w:p>
            <w:pPr>
              <w:spacing w:after="0"/>
              <w:rPr>
                <w:sz w:val="20"/>
                <w:szCs w:val="20"/>
                <w:color w:val="auto"/>
              </w:rPr>
            </w:pPr>
            <w:r>
              <w:rPr>
                <w:rFonts w:ascii="Arial" w:cs="Arial" w:eastAsia="Arial" w:hAnsi="Arial"/>
                <w:sz w:val="18"/>
                <w:szCs w:val="18"/>
                <w:color w:val="auto"/>
              </w:rPr>
              <w:t>TENANT:</w:t>
            </w:r>
          </w:p>
        </w:tc>
        <w:tc>
          <w:tcPr>
            <w:tcW w:w="6160" w:type="dxa"/>
            <w:vAlign w:val="bottom"/>
            <w:gridSpan w:val="2"/>
          </w:tcPr>
          <w:p>
            <w:pPr>
              <w:ind w:left="560"/>
              <w:spacing w:after="0"/>
              <w:rPr>
                <w:sz w:val="20"/>
                <w:szCs w:val="20"/>
                <w:color w:val="auto"/>
              </w:rPr>
            </w:pPr>
            <w:r>
              <w:rPr>
                <w:rFonts w:ascii="Arial" w:cs="Arial" w:eastAsia="Arial" w:hAnsi="Arial"/>
                <w:sz w:val="18"/>
                <w:szCs w:val="18"/>
                <w:b w:val="1"/>
                <w:bCs w:val="1"/>
                <w:color w:val="auto"/>
              </w:rPr>
              <w:t>OPG MP PARCEL OWNER (DE) LLC</w:t>
            </w:r>
          </w:p>
        </w:tc>
      </w:tr>
      <w:tr>
        <w:trPr>
          <w:trHeight w:val="428"/>
        </w:trPr>
        <w:tc>
          <w:tcPr>
            <w:tcW w:w="47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4"/>
                <w:szCs w:val="24"/>
                <w:color w:val="auto"/>
              </w:rPr>
            </w:pPr>
          </w:p>
        </w:tc>
      </w:tr>
      <w:tr>
        <w:trPr>
          <w:trHeight w:val="221"/>
        </w:trPr>
        <w:tc>
          <w:tcPr>
            <w:tcW w:w="476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19"/>
                <w:szCs w:val="19"/>
                <w:color w:val="auto"/>
              </w:rPr>
            </w:pPr>
          </w:p>
        </w:tc>
      </w:tr>
      <w:tr>
        <w:trPr>
          <w:trHeight w:val="221"/>
        </w:trPr>
        <w:tc>
          <w:tcPr>
            <w:tcW w:w="476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spacing w:after="0"/>
              <w:rPr>
                <w:sz w:val="19"/>
                <w:szCs w:val="19"/>
                <w:color w:val="auto"/>
              </w:rPr>
            </w:pPr>
          </w:p>
        </w:tc>
      </w:tr>
      <w:tr>
        <w:trPr>
          <w:trHeight w:val="434"/>
        </w:trPr>
        <w:tc>
          <w:tcPr>
            <w:tcW w:w="4760" w:type="dxa"/>
            <w:vAlign w:val="bottom"/>
          </w:tcPr>
          <w:p>
            <w:pPr>
              <w:spacing w:after="0"/>
              <w:rPr>
                <w:sz w:val="24"/>
                <w:szCs w:val="24"/>
                <w:color w:val="auto"/>
              </w:rPr>
            </w:pPr>
          </w:p>
        </w:tc>
        <w:tc>
          <w:tcPr>
            <w:tcW w:w="6160" w:type="dxa"/>
            <w:vAlign w:val="bottom"/>
            <w:gridSpan w:val="2"/>
          </w:tcPr>
          <w:p>
            <w:pPr>
              <w:ind w:left="520"/>
              <w:spacing w:after="0"/>
              <w:rPr>
                <w:sz w:val="20"/>
                <w:szCs w:val="20"/>
                <w:color w:val="auto"/>
              </w:rPr>
            </w:pPr>
            <w:r>
              <w:rPr>
                <w:rFonts w:ascii="Arial" w:cs="Arial" w:eastAsia="Arial" w:hAnsi="Arial"/>
                <w:sz w:val="18"/>
                <w:szCs w:val="18"/>
                <w:b w:val="1"/>
                <w:bCs w:val="1"/>
                <w:color w:val="auto"/>
              </w:rPr>
              <w:t>OPG MP PARCEL OWNER (DE) LLC</w:t>
            </w:r>
          </w:p>
        </w:tc>
      </w:tr>
      <w:tr>
        <w:trPr>
          <w:trHeight w:val="428"/>
        </w:trPr>
        <w:tc>
          <w:tcPr>
            <w:tcW w:w="47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4"/>
                <w:szCs w:val="24"/>
                <w:color w:val="auto"/>
              </w:rPr>
            </w:pPr>
          </w:p>
        </w:tc>
      </w:tr>
      <w:tr>
        <w:trPr>
          <w:trHeight w:val="221"/>
        </w:trPr>
        <w:tc>
          <w:tcPr>
            <w:tcW w:w="476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19"/>
                <w:szCs w:val="19"/>
                <w:color w:val="auto"/>
              </w:rPr>
            </w:pPr>
          </w:p>
        </w:tc>
      </w:tr>
      <w:tr>
        <w:trPr>
          <w:trHeight w:val="221"/>
        </w:trPr>
        <w:tc>
          <w:tcPr>
            <w:tcW w:w="476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spacing w:after="0"/>
              <w:rPr>
                <w:sz w:val="19"/>
                <w:szCs w:val="19"/>
                <w:color w:val="auto"/>
              </w:rPr>
            </w:pPr>
          </w:p>
        </w:tc>
      </w:tr>
      <w:tr>
        <w:trPr>
          <w:trHeight w:val="434"/>
        </w:trPr>
        <w:tc>
          <w:tcPr>
            <w:tcW w:w="4760" w:type="dxa"/>
            <w:vAlign w:val="bottom"/>
          </w:tcPr>
          <w:p>
            <w:pPr>
              <w:spacing w:after="0"/>
              <w:rPr>
                <w:sz w:val="20"/>
                <w:szCs w:val="20"/>
                <w:color w:val="auto"/>
              </w:rPr>
            </w:pPr>
            <w:r>
              <w:rPr>
                <w:rFonts w:ascii="Arial" w:cs="Arial" w:eastAsia="Arial" w:hAnsi="Arial"/>
                <w:sz w:val="18"/>
                <w:szCs w:val="18"/>
                <w:color w:val="auto"/>
              </w:rPr>
              <w:t>SUBTENANT:</w:t>
            </w:r>
          </w:p>
        </w:tc>
        <w:tc>
          <w:tcPr>
            <w:tcW w:w="6160" w:type="dxa"/>
            <w:vAlign w:val="bottom"/>
            <w:gridSpan w:val="2"/>
          </w:tcPr>
          <w:p>
            <w:pPr>
              <w:ind w:left="500"/>
              <w:spacing w:after="0"/>
              <w:rPr>
                <w:sz w:val="20"/>
                <w:szCs w:val="20"/>
                <w:color w:val="auto"/>
              </w:rPr>
            </w:pPr>
            <w:r>
              <w:rPr>
                <w:rFonts w:ascii="Arial" w:cs="Arial" w:eastAsia="Arial" w:hAnsi="Arial"/>
                <w:sz w:val="18"/>
                <w:szCs w:val="18"/>
                <w:b w:val="1"/>
                <w:bCs w:val="1"/>
                <w:color w:val="auto"/>
              </w:rPr>
              <w:t>MONTE ROSA THERAPEUTICS, INC.</w:t>
            </w:r>
          </w:p>
        </w:tc>
      </w:tr>
      <w:tr>
        <w:trPr>
          <w:trHeight w:val="428"/>
        </w:trPr>
        <w:tc>
          <w:tcPr>
            <w:tcW w:w="47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635</wp:posOffset>
            </wp:positionV>
            <wp:extent cx="304863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13335</wp:posOffset>
            </wp:positionV>
            <wp:extent cx="304863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13335</wp:posOffset>
            </wp:positionV>
            <wp:extent cx="304863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0920"/>
          </w:cols>
          <w:pgMar w:left="480" w:top="273" w:right="499" w:bottom="1440" w:gutter="0" w:footer="0" w:header="0"/>
        </w:sectPr>
      </w:pPr>
    </w:p>
    <w:bookmarkStart w:id="705" w:name="page706"/>
    <w:bookmarkEnd w:id="705"/>
    <w:tbl>
      <w:tblPr>
        <w:tblLayout w:type="fixed"/>
        <w:tblInd w:w="0" w:type="dxa"/>
        <w:tblCellMar>
          <w:top w:w="0" w:type="dxa"/>
          <w:left w:w="0" w:type="dxa"/>
          <w:bottom w:w="0" w:type="dxa"/>
          <w:right w:w="0" w:type="dxa"/>
        </w:tblCellMar>
      </w:tblPr>
      <w:tr>
        <w:trPr>
          <w:trHeight w:val="218"/>
        </w:trPr>
        <w:tc>
          <w:tcPr>
            <w:tcW w:w="3980" w:type="dxa"/>
            <w:vAlign w:val="bottom"/>
          </w:tcPr>
          <w:p>
            <w:pPr>
              <w:spacing w:after="0"/>
              <w:rPr>
                <w:sz w:val="20"/>
                <w:szCs w:val="20"/>
                <w:color w:val="auto"/>
              </w:rPr>
            </w:pPr>
            <w:r>
              <w:rPr>
                <w:rFonts w:ascii="Arial" w:cs="Arial" w:eastAsia="Arial" w:hAnsi="Arial"/>
                <w:sz w:val="18"/>
                <w:szCs w:val="18"/>
                <w:b w:val="1"/>
                <w:bCs w:val="1"/>
                <w:color w:val="auto"/>
              </w:rPr>
              <w:t>COMMONWEALTH OF MASSACHUSETTS</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COUNTY OF SUFFOLK</w:t>
            </w:r>
          </w:p>
        </w:tc>
        <w:tc>
          <w:tcPr>
            <w:tcW w:w="760" w:type="dxa"/>
            <w:vAlign w:val="bottom"/>
          </w:tcPr>
          <w:p>
            <w:pPr>
              <w:ind w:left="400"/>
              <w:spacing w:after="0"/>
              <w:rPr>
                <w:sz w:val="20"/>
                <w:szCs w:val="20"/>
                <w:color w:val="auto"/>
              </w:rPr>
            </w:pPr>
            <w:r>
              <w:rPr>
                <w:rFonts w:ascii="Arial" w:cs="Arial" w:eastAsia="Arial" w:hAnsi="Arial"/>
                <w:sz w:val="18"/>
                <w:szCs w:val="18"/>
                <w:color w:val="auto"/>
                <w:w w:val="84"/>
              </w:rPr>
              <w:t>) SS:</w:t>
            </w:r>
          </w:p>
        </w:tc>
        <w:tc>
          <w:tcPr>
            <w:tcW w:w="0" w:type="dxa"/>
            <w:vAlign w:val="bottom"/>
          </w:tcPr>
          <w:p>
            <w:pPr>
              <w:spacing w:after="0"/>
              <w:rPr>
                <w:sz w:val="1"/>
                <w:szCs w:val="1"/>
                <w:color w:val="auto"/>
              </w:rPr>
            </w:pPr>
          </w:p>
        </w:tc>
      </w:tr>
      <w:tr>
        <w:trPr>
          <w:trHeight w:val="227"/>
        </w:trPr>
        <w:tc>
          <w:tcPr>
            <w:tcW w:w="3980" w:type="dxa"/>
            <w:vAlign w:val="bottom"/>
            <w:vMerge w:val="continue"/>
          </w:tcPr>
          <w:p>
            <w:pPr>
              <w:spacing w:after="0"/>
              <w:rPr>
                <w:sz w:val="19"/>
                <w:szCs w:val="19"/>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On this _____ day of ____________, 2020, before me, the undersigned notary public, personally appeared Michael A. Grieco, as Assistant Secretary-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Treasurer of the Massachusetts Port Authority, proved to me through satisfactory evidence of identification, which was ___________________, to be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person whose name is signed on the preceding or attached document, and acknowledged to me that he signed it voluntarily for its stated purpose.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227"/>
        </w:trPr>
        <w:tc>
          <w:tcPr>
            <w:tcW w:w="39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My Commission Expires:</w:t>
            </w:r>
          </w:p>
        </w:tc>
        <w:tc>
          <w:tcPr>
            <w:tcW w:w="0" w:type="dxa"/>
            <w:vAlign w:val="bottom"/>
          </w:tcPr>
          <w:p>
            <w:pPr>
              <w:spacing w:after="0"/>
              <w:rPr>
                <w:sz w:val="1"/>
                <w:szCs w:val="1"/>
                <w:color w:val="auto"/>
              </w:rPr>
            </w:pPr>
          </w:p>
        </w:tc>
      </w:tr>
      <w:tr>
        <w:trPr>
          <w:trHeight w:val="442"/>
        </w:trPr>
        <w:tc>
          <w:tcPr>
            <w:tcW w:w="3980" w:type="dxa"/>
            <w:vAlign w:val="bottom"/>
          </w:tcPr>
          <w:p>
            <w:pPr>
              <w:spacing w:after="0"/>
              <w:rPr>
                <w:sz w:val="20"/>
                <w:szCs w:val="20"/>
                <w:color w:val="auto"/>
              </w:rPr>
            </w:pPr>
            <w:r>
              <w:rPr>
                <w:rFonts w:ascii="Arial" w:cs="Arial" w:eastAsia="Arial" w:hAnsi="Arial"/>
                <w:sz w:val="18"/>
                <w:szCs w:val="18"/>
                <w:b w:val="1"/>
                <w:bCs w:val="1"/>
                <w:color w:val="auto"/>
              </w:rPr>
              <w:t>COMMONWEALTH OF MASSACHUSETTS</w:t>
            </w:r>
          </w:p>
        </w:tc>
        <w:tc>
          <w:tcPr>
            <w:tcW w:w="2580" w:type="dxa"/>
            <w:vAlign w:val="bottom"/>
          </w:tcPr>
          <w:p>
            <w:pPr>
              <w:ind w:left="400"/>
              <w:spacing w:after="0"/>
              <w:rPr>
                <w:sz w:val="20"/>
                <w:szCs w:val="20"/>
                <w:color w:val="auto"/>
              </w:rPr>
            </w:pPr>
            <w:r>
              <w:rPr>
                <w:rFonts w:ascii="Arial" w:cs="Arial" w:eastAsia="Arial" w:hAnsi="Arial"/>
                <w:sz w:val="18"/>
                <w:szCs w:val="18"/>
                <w:color w:val="auto"/>
              </w:rPr>
              <w:t>)</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COUNTY OF SUFFOLK</w:t>
            </w: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27"/>
        </w:trPr>
        <w:tc>
          <w:tcPr>
            <w:tcW w:w="3980" w:type="dxa"/>
            <w:vAlign w:val="bottom"/>
            <w:vMerge w:val="continue"/>
          </w:tcPr>
          <w:p>
            <w:pPr>
              <w:spacing w:after="0"/>
              <w:rPr>
                <w:sz w:val="19"/>
                <w:szCs w:val="19"/>
                <w:color w:val="auto"/>
              </w:rPr>
            </w:pPr>
          </w:p>
        </w:tc>
        <w:tc>
          <w:tcPr>
            <w:tcW w:w="2580" w:type="dxa"/>
            <w:vAlign w:val="bottom"/>
          </w:tcPr>
          <w:p>
            <w:pPr>
              <w:ind w:left="400"/>
              <w:spacing w:after="0"/>
              <w:rPr>
                <w:sz w:val="20"/>
                <w:szCs w:val="20"/>
                <w:color w:val="auto"/>
              </w:rPr>
            </w:pPr>
            <w:r>
              <w:rPr>
                <w:rFonts w:ascii="Arial" w:cs="Arial" w:eastAsia="Arial" w:hAnsi="Arial"/>
                <w:sz w:val="18"/>
                <w:szCs w:val="18"/>
                <w:color w:val="auto"/>
              </w:rPr>
              <w:t>)</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On this ____ day of ____________, 2020, before me, the undersigned notary public, personally appeared _______________, as _______________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OPG MP Parcel Owner (DE) LLC, proved to me through satisfactory evidence of identification, which was _______________, to be the person whose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is signed on the preceding or attached document, and acknowledged to me that he signed it voluntarily for its stated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294005</wp:posOffset>
            </wp:positionV>
            <wp:extent cx="276860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My Commission Expires: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0920"/>
          </w:cols>
          <w:pgMar w:left="480" w:top="268" w:right="499" w:bottom="1440" w:gutter="0" w:footer="0" w:header="0"/>
        </w:sectPr>
      </w:pPr>
    </w:p>
    <w:bookmarkStart w:id="706" w:name="page707"/>
    <w:bookmarkEnd w:id="706"/>
    <w:tbl>
      <w:tblPr>
        <w:tblLayout w:type="fixed"/>
        <w:tblInd w:w="0" w:type="dxa"/>
        <w:tblCellMar>
          <w:top w:w="0" w:type="dxa"/>
          <w:left w:w="0" w:type="dxa"/>
          <w:bottom w:w="0" w:type="dxa"/>
          <w:right w:w="0" w:type="dxa"/>
        </w:tblCellMar>
      </w:tblPr>
      <w:tr>
        <w:trPr>
          <w:trHeight w:val="218"/>
        </w:trPr>
        <w:tc>
          <w:tcPr>
            <w:tcW w:w="3920" w:type="dxa"/>
            <w:vAlign w:val="bottom"/>
          </w:tcPr>
          <w:p>
            <w:pPr>
              <w:spacing w:after="0"/>
              <w:rPr>
                <w:sz w:val="20"/>
                <w:szCs w:val="20"/>
                <w:color w:val="auto"/>
              </w:rPr>
            </w:pPr>
            <w:r>
              <w:rPr>
                <w:rFonts w:ascii="Arial" w:cs="Arial" w:eastAsia="Arial" w:hAnsi="Arial"/>
                <w:sz w:val="18"/>
                <w:szCs w:val="18"/>
                <w:b w:val="1"/>
                <w:bCs w:val="1"/>
                <w:color w:val="auto"/>
              </w:rPr>
              <w:t>COMMONWEALTH OF MASSACHUSETTS</w:t>
            </w: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COUNTY OF SUFFOLK</w:t>
            </w:r>
          </w:p>
        </w:tc>
        <w:tc>
          <w:tcPr>
            <w:tcW w:w="700" w:type="dxa"/>
            <w:vAlign w:val="bottom"/>
          </w:tcPr>
          <w:p>
            <w:pPr>
              <w:ind w:left="360"/>
              <w:spacing w:after="0"/>
              <w:rPr>
                <w:sz w:val="20"/>
                <w:szCs w:val="20"/>
                <w:color w:val="auto"/>
              </w:rPr>
            </w:pPr>
            <w:r>
              <w:rPr>
                <w:rFonts w:ascii="Arial" w:cs="Arial" w:eastAsia="Arial" w:hAnsi="Arial"/>
                <w:sz w:val="18"/>
                <w:szCs w:val="18"/>
                <w:color w:val="auto"/>
                <w:w w:val="79"/>
              </w:rPr>
              <w:t>) SS:</w:t>
            </w:r>
          </w:p>
        </w:tc>
        <w:tc>
          <w:tcPr>
            <w:tcW w:w="0" w:type="dxa"/>
            <w:vAlign w:val="bottom"/>
          </w:tcPr>
          <w:p>
            <w:pPr>
              <w:spacing w:after="0"/>
              <w:rPr>
                <w:sz w:val="1"/>
                <w:szCs w:val="1"/>
                <w:color w:val="auto"/>
              </w:rPr>
            </w:pPr>
          </w:p>
        </w:tc>
      </w:tr>
      <w:tr>
        <w:trPr>
          <w:trHeight w:val="227"/>
        </w:trPr>
        <w:tc>
          <w:tcPr>
            <w:tcW w:w="3920" w:type="dxa"/>
            <w:vAlign w:val="bottom"/>
            <w:vMerge w:val="continue"/>
          </w:tcPr>
          <w:p>
            <w:pPr>
              <w:spacing w:after="0"/>
              <w:rPr>
                <w:sz w:val="19"/>
                <w:szCs w:val="19"/>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On this _____ day of ____________, 2020, before me, the undersigned notary public, personally appeared _______________, as _______________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OPG MP Parcel Owner (DE) LLC, proved to me through satisfactory evidence of identification, which was _______________, to be the person whose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is signed on the preceding or attached document, and acknowledged to me that he signed it voluntarily for its stated purpose.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5520" w:type="dxa"/>
            <w:vAlign w:val="bottom"/>
          </w:tcPr>
          <w:p>
            <w:pPr>
              <w:ind w:left="2640"/>
              <w:spacing w:after="0"/>
              <w:rPr>
                <w:sz w:val="20"/>
                <w:szCs w:val="20"/>
                <w:color w:val="auto"/>
              </w:rPr>
            </w:pPr>
            <w:r>
              <w:rPr>
                <w:rFonts w:ascii="Arial" w:cs="Arial" w:eastAsia="Arial" w:hAnsi="Arial"/>
                <w:sz w:val="18"/>
                <w:szCs w:val="18"/>
                <w:color w:val="auto"/>
                <w:w w:val="92"/>
              </w:rPr>
              <w:t>Notary Public My Commission Expires:</w:t>
            </w:r>
          </w:p>
        </w:tc>
        <w:tc>
          <w:tcPr>
            <w:tcW w:w="0" w:type="dxa"/>
            <w:vAlign w:val="bottom"/>
          </w:tcPr>
          <w:p>
            <w:pPr>
              <w:spacing w:after="0"/>
              <w:rPr>
                <w:sz w:val="1"/>
                <w:szCs w:val="1"/>
                <w:color w:val="auto"/>
              </w:rPr>
            </w:pPr>
          </w:p>
        </w:tc>
      </w:tr>
      <w:tr>
        <w:trPr>
          <w:trHeight w:val="442"/>
        </w:trPr>
        <w:tc>
          <w:tcPr>
            <w:tcW w:w="3920" w:type="dxa"/>
            <w:vAlign w:val="bottom"/>
          </w:tcPr>
          <w:p>
            <w:pPr>
              <w:spacing w:after="0"/>
              <w:rPr>
                <w:sz w:val="20"/>
                <w:szCs w:val="20"/>
                <w:color w:val="auto"/>
              </w:rPr>
            </w:pPr>
            <w:r>
              <w:rPr>
                <w:rFonts w:ascii="Arial" w:cs="Arial" w:eastAsia="Arial" w:hAnsi="Arial"/>
                <w:sz w:val="18"/>
                <w:szCs w:val="18"/>
                <w:b w:val="1"/>
                <w:bCs w:val="1"/>
                <w:color w:val="auto"/>
              </w:rPr>
              <w:t>COMMONWEALTH OF MASSACHUSETTS</w:t>
            </w:r>
          </w:p>
        </w:tc>
        <w:tc>
          <w:tcPr>
            <w:tcW w:w="55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COUNTY OF </w:t>
            </w:r>
            <w:r>
              <w:rPr>
                <w:rFonts w:ascii="Arial" w:cs="Arial" w:eastAsia="Arial" w:hAnsi="Arial"/>
                <w:sz w:val="18"/>
                <w:szCs w:val="18"/>
                <w:color w:val="auto"/>
              </w:rPr>
              <w:t>_________________</w:t>
            </w:r>
          </w:p>
        </w:tc>
        <w:tc>
          <w:tcPr>
            <w:tcW w:w="5520" w:type="dxa"/>
            <w:vAlign w:val="bottom"/>
          </w:tcPr>
          <w:p>
            <w:pPr>
              <w:ind w:left="36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27"/>
        </w:trPr>
        <w:tc>
          <w:tcPr>
            <w:tcW w:w="3920" w:type="dxa"/>
            <w:vAlign w:val="bottom"/>
            <w:vMerge w:val="continue"/>
          </w:tcPr>
          <w:p>
            <w:pPr>
              <w:spacing w:after="0"/>
              <w:rPr>
                <w:sz w:val="19"/>
                <w:szCs w:val="19"/>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On this ____ day of ____________, 2020, before me, the undersigned notary public, personally appeared _______________, as _______________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Monte Rosa Therapeutics, Inc., proved to me through satisfactory evidence of identification, which was _______________, to be the person whose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is signed on the preceding or attached document, and acknowledged to me that he signed it voluntarily for its stated purpose.</w:t>
      </w:r>
    </w:p>
    <w:p>
      <w:pPr>
        <w:spacing w:after="0" w:line="23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My Commission Expires: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0800"/>
          </w:cols>
          <w:pgMar w:left="480" w:top="269" w:right="619" w:bottom="1440" w:gutter="0" w:footer="0" w:header="0"/>
        </w:sectPr>
      </w:pPr>
    </w:p>
    <w:bookmarkStart w:id="707" w:name="page708"/>
    <w:bookmarkEnd w:id="707"/>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ectPr>
          <w:pgSz w:w="11900" w:h="16838" w:orient="portrait"/>
          <w:cols w:equalWidth="0" w:num="1">
            <w:col w:w="9019"/>
          </w:cols>
          <w:pgMar w:left="1440" w:top="272" w:right="1440"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Sublease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9019"/>
          </w:cols>
          <w:pgMar w:left="1440" w:top="272" w:right="1440" w:bottom="1440" w:gutter="0" w:footer="0" w:header="0"/>
          <w:type w:val="continuous"/>
        </w:sectPr>
      </w:pPr>
    </w:p>
    <w:bookmarkStart w:id="708" w:name="page709"/>
    <w:bookmarkEnd w:id="7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J</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BASELINE CONDITION</w:t>
      </w:r>
    </w:p>
    <w:p>
      <w:pPr>
        <w:spacing w:after="0" w:line="2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645 Summer Street</w:t>
      </w:r>
    </w:p>
    <w:p>
      <w:pPr>
        <w:spacing w:after="0" w:line="2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Boston, MA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Mechanical, Electrical, Plumbing and Fire Protection</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 Delivery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166370</wp:posOffset>
            </wp:positionV>
            <wp:extent cx="1851025" cy="112966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851025"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Prepared for: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Oxford Properties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 Summer Street, Boston MA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9019"/>
          </w:cols>
          <w:pgMar w:left="1440" w:top="269" w:right="1440" w:bottom="1440" w:gutter="0" w:footer="0" w:header="0"/>
        </w:sectPr>
      </w:pPr>
    </w:p>
    <w:bookmarkStart w:id="709" w:name="page710"/>
    <w:bookmarkEnd w:id="7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645 Summer Street—Spec Laboratory Buildout</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Oxford is delivery a laboratory spec buildout on the first floor of the building. Layout shall be for Class A generic Lab/Office tenant based on a 50% Lab / 50% Office split.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Alarm Systems</w:t>
      </w:r>
    </w:p>
    <w:p>
      <w:pPr>
        <w:spacing w:after="0" w:line="131" w:lineRule="exact"/>
        <w:rPr>
          <w:sz w:val="20"/>
          <w:szCs w:val="20"/>
          <w:color w:val="auto"/>
        </w:rPr>
      </w:pPr>
    </w:p>
    <w:p>
      <w:pPr>
        <w:ind w:left="980" w:right="220" w:hanging="545"/>
        <w:spacing w:after="0" w:line="259" w:lineRule="auto"/>
        <w:tabs>
          <w:tab w:leader="none" w:pos="9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building is provided with an addressable fire alarm system that is in compliance with state building code and NFPA 72. This system shall be extended to tenant areas for all fire alarm occupant notification and initiating devices required by code based upon the generic tenant program space in accordance with 2013 NFPA 72.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 Systems</w:t>
      </w:r>
    </w:p>
    <w:p>
      <w:pPr>
        <w:spacing w:after="0" w:line="131" w:lineRule="exact"/>
        <w:rPr>
          <w:sz w:val="20"/>
          <w:szCs w:val="20"/>
          <w:color w:val="auto"/>
        </w:rPr>
      </w:pPr>
    </w:p>
    <w:p>
      <w:pPr>
        <w:ind w:left="980" w:right="500" w:hanging="545"/>
        <w:spacing w:after="0" w:line="271" w:lineRule="auto"/>
        <w:tabs>
          <w:tab w:leader="none" w:pos="98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Building is equipped with a fully automatic fire protection system per the Massachusetts Building Code and NFPA. This system includes fire protection service, infrastructure, mains, branch lines and sprinkler heads.</w:t>
      </w:r>
    </w:p>
    <w:p>
      <w:pPr>
        <w:spacing w:after="0" w:line="80" w:lineRule="exact"/>
        <w:rPr>
          <w:rFonts w:ascii="Arial" w:cs="Arial" w:eastAsia="Arial" w:hAnsi="Arial"/>
          <w:sz w:val="18"/>
          <w:szCs w:val="18"/>
          <w:color w:val="auto"/>
        </w:rPr>
      </w:pPr>
    </w:p>
    <w:p>
      <w:pPr>
        <w:ind w:left="980" w:right="260" w:hanging="545"/>
        <w:spacing w:after="0" w:line="255" w:lineRule="auto"/>
        <w:tabs>
          <w:tab w:leader="none" w:pos="98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Automatic wet pipe sprinkler systems where toilet rooms, permanent corridors, lobbies, vestibules, reception areas, offices, and similar spaces will be present shall be designed to light hazard occupancy requirements and shall be capable of providing a minimum design density of 0.10 GPM per square foot over the hydraulically most remote 1,500 square feet. Maximum protection area per sprinkler head shall be 225 square feet. Hose stream allowance shall be 100 GPM.</w:t>
      </w:r>
    </w:p>
    <w:p>
      <w:pPr>
        <w:spacing w:after="0" w:line="96" w:lineRule="exact"/>
        <w:rPr>
          <w:rFonts w:ascii="Arial" w:cs="Arial" w:eastAsia="Arial" w:hAnsi="Arial"/>
          <w:sz w:val="18"/>
          <w:szCs w:val="18"/>
          <w:color w:val="auto"/>
        </w:rPr>
      </w:pPr>
    </w:p>
    <w:p>
      <w:pPr>
        <w:ind w:left="980" w:right="80" w:hanging="545"/>
        <w:spacing w:after="0" w:line="275" w:lineRule="auto"/>
        <w:tabs>
          <w:tab w:leader="none" w:pos="98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Automatic wet pipe sprinkler systems where electrical rooms, tel/data rooms, mechanical rooms, fire pump room, janitor’s closets, storage rooms, and similar spaces will be present shall be designed to Ordinary Hazard Group 1 occupancy requirements and shall be capable of providing a minimum design density of 0.15 GPM per square foot over the hydraulically most remote 1,500 square feet. Maximum protection area per sprinkler head shall be 130 square feet. Hose stream allowance shall be 250 GPM.</w:t>
      </w:r>
    </w:p>
    <w:p>
      <w:pPr>
        <w:spacing w:after="0" w:line="80" w:lineRule="exact"/>
        <w:rPr>
          <w:rFonts w:ascii="Arial" w:cs="Arial" w:eastAsia="Arial" w:hAnsi="Arial"/>
          <w:sz w:val="17"/>
          <w:szCs w:val="17"/>
          <w:color w:val="auto"/>
        </w:rPr>
      </w:pPr>
    </w:p>
    <w:p>
      <w:pPr>
        <w:ind w:left="980" w:right="100" w:hanging="545"/>
        <w:spacing w:after="0" w:line="281" w:lineRule="auto"/>
        <w:tabs>
          <w:tab w:leader="none" w:pos="98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Automatic wet pipe sprinkler systems in laboratory tenant spaces shall be designed to Ordinary Hazard Group 2 requirements and shall be capable of providing a minimum design density of 0.20 GPM per square foot over the hydraulically most remote 1,500 square feet. Maximum protection area per sprinkler head shall be 130 square feet. Hose allowance shall be 250 GPM.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Plumbing Systems</w:t>
      </w:r>
    </w:p>
    <w:p>
      <w:pPr>
        <w:spacing w:after="0" w:line="131" w:lineRule="exact"/>
        <w:rPr>
          <w:sz w:val="20"/>
          <w:szCs w:val="20"/>
          <w:color w:val="auto"/>
        </w:rPr>
      </w:pPr>
    </w:p>
    <w:p>
      <w:pPr>
        <w:ind w:left="980" w:hanging="545"/>
        <w:spacing w:after="0"/>
        <w:tabs>
          <w:tab w:leader="none" w:pos="9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Common toilet cores, drinking fountains, showers, and janitor closets shall be provided per building programming:</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 electric storage type water heater shall be provided to provide non-potable hot water to tenant lab sinks.</w:t>
      </w:r>
    </w:p>
    <w:p>
      <w:pPr>
        <w:spacing w:after="0" w:line="127" w:lineRule="exact"/>
        <w:rPr>
          <w:rFonts w:ascii="Arial" w:cs="Arial" w:eastAsia="Arial" w:hAnsi="Arial"/>
          <w:sz w:val="18"/>
          <w:szCs w:val="18"/>
          <w:color w:val="auto"/>
        </w:rPr>
      </w:pPr>
    </w:p>
    <w:p>
      <w:pPr>
        <w:ind w:left="980" w:right="440" w:hanging="545"/>
        <w:spacing w:after="0" w:line="271" w:lineRule="auto"/>
        <w:tabs>
          <w:tab w:leader="none" w:pos="9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existing house tepid hot water system shall be extended to the tenant areas and circulated to emergency fixtures within the tenant program space.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0920"/>
          </w:cols>
          <w:pgMar w:left="480" w:top="268" w:right="499" w:bottom="1440" w:gutter="0" w:footer="0" w:header="0"/>
        </w:sectPr>
      </w:pPr>
    </w:p>
    <w:bookmarkStart w:id="710" w:name="page711"/>
    <w:bookmarkEnd w:id="710"/>
    <w:p>
      <w:pPr>
        <w:ind w:left="980" w:right="100" w:hanging="545"/>
        <w:spacing w:after="0" w:line="253" w:lineRule="auto"/>
        <w:tabs>
          <w:tab w:leader="none" w:pos="9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Ground level pH system: Landlord is installing a central Lab waste pH adjustment system to serve the entire building. Landlord or Landlords representative will hold the lab waste discharge permit. Spec Tenant shall have their lab waste piped to the central system. At tenant tie in points, a sample trap(s) shall be provided in an accessible location that will allow the installation of a pH monitor at a later date (at tenants expense) should it be identified the tenant’s lab waste stream is the cause of frequent and substantial deviations from code discharge pH levels.</w:t>
      </w:r>
    </w:p>
    <w:p>
      <w:pPr>
        <w:spacing w:after="0" w:line="99" w:lineRule="exact"/>
        <w:rPr>
          <w:rFonts w:ascii="Arial" w:cs="Arial" w:eastAsia="Arial" w:hAnsi="Arial"/>
          <w:sz w:val="18"/>
          <w:szCs w:val="18"/>
          <w:color w:val="auto"/>
        </w:rPr>
      </w:pPr>
    </w:p>
    <w:p>
      <w:pPr>
        <w:ind w:left="980" w:hanging="545"/>
        <w:spacing w:after="0"/>
        <w:tabs>
          <w:tab w:leader="none" w:pos="980" w:val="left"/>
        </w:tabs>
        <w:numPr>
          <w:ilvl w:val="0"/>
          <w:numId w:val="607"/>
        </w:numPr>
        <w:rPr>
          <w:rFonts w:ascii="Arial" w:cs="Arial" w:eastAsia="Arial" w:hAnsi="Arial"/>
          <w:sz w:val="16"/>
          <w:szCs w:val="16"/>
          <w:color w:val="auto"/>
        </w:rPr>
      </w:pPr>
      <w:r>
        <w:rPr>
          <w:rFonts w:ascii="Arial" w:cs="Arial" w:eastAsia="Arial" w:hAnsi="Arial"/>
          <w:sz w:val="16"/>
          <w:szCs w:val="16"/>
          <w:color w:val="auto"/>
        </w:rPr>
        <w:t>A laboratory compressed air system shall provide 100 PSI, -40 degree dewpoint, clean dry air piped to wall outlets within the tenant space.</w:t>
      </w:r>
    </w:p>
    <w:p>
      <w:pPr>
        <w:spacing w:after="0" w:line="150" w:lineRule="exact"/>
        <w:rPr>
          <w:rFonts w:ascii="Arial" w:cs="Arial" w:eastAsia="Arial" w:hAnsi="Arial"/>
          <w:sz w:val="16"/>
          <w:szCs w:val="16"/>
          <w:color w:val="auto"/>
        </w:rPr>
      </w:pPr>
    </w:p>
    <w:p>
      <w:pPr>
        <w:ind w:left="980" w:hanging="545"/>
        <w:spacing w:after="0"/>
        <w:tabs>
          <w:tab w:leader="none" w:pos="9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 laboratory vacuum system shall provide 19” Hg vacuum at wall and equipment outlets within the tenant space.</w:t>
      </w:r>
    </w:p>
    <w:p>
      <w:pPr>
        <w:spacing w:after="0" w:line="127" w:lineRule="exact"/>
        <w:rPr>
          <w:rFonts w:ascii="Arial" w:cs="Arial" w:eastAsia="Arial" w:hAnsi="Arial"/>
          <w:sz w:val="18"/>
          <w:szCs w:val="18"/>
          <w:color w:val="auto"/>
        </w:rPr>
      </w:pPr>
    </w:p>
    <w:p>
      <w:pPr>
        <w:ind w:left="980" w:right="160" w:hanging="545"/>
        <w:spacing w:after="0" w:line="271" w:lineRule="auto"/>
        <w:tabs>
          <w:tab w:leader="none" w:pos="9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An ASTM Type 2 (1 MegOhm) RO/DI system shall be provided and shall be piped via a 1” circulation pipe loop to tenant outlets within their program space.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Systems</w:t>
      </w:r>
    </w:p>
    <w:p>
      <w:pPr>
        <w:spacing w:after="0" w:line="131" w:lineRule="exact"/>
        <w:rPr>
          <w:sz w:val="20"/>
          <w:szCs w:val="20"/>
          <w:color w:val="auto"/>
        </w:rPr>
      </w:pPr>
    </w:p>
    <w:p>
      <w:pPr>
        <w:ind w:left="980" w:right="60" w:hanging="545"/>
        <w:spacing w:after="0" w:line="272" w:lineRule="auto"/>
        <w:tabs>
          <w:tab w:leader="none" w:pos="98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New HVAC infrastructure has been provided for the building. Tenants are allocated 55 degree 100% OA for laboratory makeup air and office ventilation and chilled water and hot water for office heating and cooling. Laboratory areas are designed to be VAV supply and exhaust. Office areas will be provided with 4-pipe fan coil units. Landlord has provided capped supply and exhaust ductwork on the floor, as well as capped hot water and chilled water services on the floor. Extension of supply air and exhaust air and chilled and hot water services, along with VAV terminals and fan coils have been provided as part of the spec interior fitup.</w:t>
      </w:r>
    </w:p>
    <w:p>
      <w:pPr>
        <w:spacing w:after="0" w:line="82" w:lineRule="exact"/>
        <w:rPr>
          <w:rFonts w:ascii="Arial" w:cs="Arial" w:eastAsia="Arial" w:hAnsi="Arial"/>
          <w:sz w:val="17"/>
          <w:szCs w:val="17"/>
          <w:color w:val="auto"/>
        </w:rPr>
      </w:pPr>
    </w:p>
    <w:p>
      <w:pPr>
        <w:ind w:left="980" w:hanging="545"/>
        <w:spacing w:after="0" w:line="271" w:lineRule="auto"/>
        <w:tabs>
          <w:tab w:leader="none" w:pos="9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Central laboratory exhaust systems with heat recovery have been provided for laboratory ventilation requirements within the tenant spaces. Laboratory areas are designed to be VAV exhaust.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 Systems</w:t>
      </w:r>
    </w:p>
    <w:p>
      <w:pPr>
        <w:spacing w:after="0" w:line="131" w:lineRule="exact"/>
        <w:rPr>
          <w:sz w:val="20"/>
          <w:szCs w:val="20"/>
          <w:color w:val="auto"/>
        </w:rPr>
      </w:pPr>
    </w:p>
    <w:p>
      <w:pPr>
        <w:ind w:left="980" w:right="40" w:hanging="545"/>
        <w:spacing w:after="0" w:line="271" w:lineRule="auto"/>
        <w:tabs>
          <w:tab w:leader="none" w:pos="9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Tenant power for lighting and plug loads shall be derived at the main electric room and distributed via local distribution to requirements in the tenant office and lab areas.</w:t>
      </w:r>
    </w:p>
    <w:p>
      <w:pPr>
        <w:spacing w:after="0" w:line="80" w:lineRule="exact"/>
        <w:rPr>
          <w:rFonts w:ascii="Arial" w:cs="Arial" w:eastAsia="Arial" w:hAnsi="Arial"/>
          <w:sz w:val="18"/>
          <w:szCs w:val="18"/>
          <w:color w:val="auto"/>
        </w:rPr>
      </w:pPr>
    </w:p>
    <w:p>
      <w:pPr>
        <w:jc w:val="both"/>
        <w:ind w:left="980" w:right="100" w:hanging="545"/>
        <w:spacing w:after="0" w:line="307" w:lineRule="auto"/>
        <w:tabs>
          <w:tab w:leader="none" w:pos="98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Landlord shall provide an optional standby generator to support minimal house optional standby loads and an allocation of 5 watts/SF for tenant lab areas. Generator shall be gas fired and provided at the roof level within Level 2 sound attenuating enclosure. Optional standby distribution, including transfer switches, 120/208 volt panelboards and transformers shall be located in tenant electric rooms.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OF NARRATIVE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J-3</w:t>
      </w:r>
    </w:p>
    <w:p>
      <w:pPr>
        <w:sectPr>
          <w:pgSz w:w="11900" w:h="16838" w:orient="portrait"/>
          <w:cols w:equalWidth="0" w:num="1">
            <w:col w:w="10880"/>
          </w:cols>
          <w:pgMar w:left="480" w:top="273" w:right="539" w:bottom="1440" w:gutter="0" w:footer="0" w:header="0"/>
        </w:sectPr>
      </w:pPr>
    </w:p>
    <w:bookmarkStart w:id="711" w:name="page712"/>
    <w:bookmarkEnd w:id="7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Subsidiaries</w:t>
            </w:r>
          </w:p>
        </w:tc>
      </w:tr>
      <w:tr>
        <w:trPr>
          <w:trHeight w:val="371"/>
        </w:trPr>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60" w:type="dxa"/>
            <w:vAlign w:val="bottom"/>
            <w:gridSpan w:val="2"/>
          </w:tcPr>
          <w:p>
            <w:pPr>
              <w:jc w:val="center"/>
              <w:ind w:left="2760"/>
              <w:spacing w:after="0"/>
              <w:rPr>
                <w:sz w:val="20"/>
                <w:szCs w:val="20"/>
                <w:color w:val="auto"/>
              </w:rPr>
            </w:pPr>
            <w:r>
              <w:rPr>
                <w:rFonts w:ascii="Arial" w:cs="Arial" w:eastAsia="Arial" w:hAnsi="Arial"/>
                <w:sz w:val="14"/>
                <w:szCs w:val="14"/>
                <w:color w:val="auto"/>
                <w:w w:val="94"/>
              </w:rPr>
              <w:t>Jurisdiction of Incorporation</w:t>
            </w:r>
          </w:p>
        </w:tc>
      </w:tr>
      <w:tr>
        <w:trPr>
          <w:trHeight w:val="166"/>
        </w:trPr>
        <w:tc>
          <w:tcPr>
            <w:tcW w:w="1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Subsidiary</w:t>
            </w:r>
          </w:p>
        </w:tc>
        <w:tc>
          <w:tcPr>
            <w:tcW w:w="1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 Organization</w:t>
            </w:r>
          </w:p>
        </w:tc>
      </w:tr>
      <w:tr>
        <w:trPr>
          <w:trHeight w:val="193"/>
        </w:trPr>
        <w:tc>
          <w:tcPr>
            <w:tcW w:w="3380" w:type="dxa"/>
            <w:vAlign w:val="bottom"/>
            <w:gridSpan w:val="3"/>
          </w:tcPr>
          <w:p>
            <w:pPr>
              <w:jc w:val="center"/>
              <w:ind w:right="360"/>
              <w:spacing w:after="0" w:line="193" w:lineRule="exact"/>
              <w:rPr>
                <w:sz w:val="20"/>
                <w:szCs w:val="20"/>
                <w:color w:val="auto"/>
              </w:rPr>
            </w:pPr>
            <w:r>
              <w:rPr>
                <w:rFonts w:ascii="Arial" w:cs="Arial" w:eastAsia="Arial" w:hAnsi="Arial"/>
                <w:sz w:val="18"/>
                <w:szCs w:val="18"/>
                <w:color w:val="auto"/>
                <w:w w:val="90"/>
              </w:rPr>
              <w:t>Monte Rosa Therapeutics AG</w:t>
            </w:r>
          </w:p>
        </w:tc>
        <w:tc>
          <w:tcPr>
            <w:tcW w:w="2840" w:type="dxa"/>
            <w:vAlign w:val="bottom"/>
          </w:tcPr>
          <w:p>
            <w:pPr>
              <w:spacing w:after="0"/>
              <w:rPr>
                <w:sz w:val="16"/>
                <w:szCs w:val="16"/>
                <w:color w:val="auto"/>
              </w:rPr>
            </w:pPr>
          </w:p>
        </w:tc>
        <w:tc>
          <w:tcPr>
            <w:tcW w:w="1620" w:type="dxa"/>
            <w:vAlign w:val="bottom"/>
          </w:tcPr>
          <w:p>
            <w:pPr>
              <w:jc w:val="center"/>
              <w:spacing w:after="0" w:line="193" w:lineRule="exact"/>
              <w:rPr>
                <w:sz w:val="20"/>
                <w:szCs w:val="20"/>
                <w:color w:val="auto"/>
              </w:rPr>
            </w:pPr>
            <w:r>
              <w:rPr>
                <w:rFonts w:ascii="Arial" w:cs="Arial" w:eastAsia="Arial" w:hAnsi="Arial"/>
                <w:sz w:val="18"/>
                <w:szCs w:val="18"/>
                <w:color w:val="auto"/>
                <w:w w:val="92"/>
              </w:rPr>
              <w:t>Switzerland</w:t>
            </w:r>
          </w:p>
        </w:tc>
      </w:tr>
      <w:tr>
        <w:trPr>
          <w:trHeight w:val="227"/>
        </w:trPr>
        <w:tc>
          <w:tcPr>
            <w:tcW w:w="33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Monte Rosa Therapeutics Securities Corp.</w:t>
            </w:r>
          </w:p>
        </w:tc>
        <w:tc>
          <w:tcPr>
            <w:tcW w:w="28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bl>
    <w:p>
      <w:pPr>
        <w:sectPr>
          <w:pgSz w:w="11900" w:h="16838" w:orient="portrait"/>
          <w:cols w:equalWidth="0" w:num="1">
            <w:col w:w="9960"/>
          </w:cols>
          <w:pgMar w:left="1440" w:top="122" w:right="499" w:bottom="1440" w:gutter="0" w:footer="0" w:header="0"/>
        </w:sectPr>
      </w:pPr>
    </w:p>
    <w:bookmarkStart w:id="712" w:name="page713"/>
    <w:bookmarkEnd w:id="7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consent to the use in this Registration Statement on Form S-1 of our report dated April 19, 2021, relating to the financial statements of Monte Rosa Therapeutics, Inc. We also consent to the reference to us under the heading “Experts” in such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17ECA7"/>
    <w:multiLevelType w:val="hybridMultilevel"/>
    <w:lvl w:ilvl="0">
      <w:lvlJc w:val="left"/>
      <w:lvlText w:val="(%1)"/>
      <w:numFmt w:val="decimal"/>
      <w:start w:val="1"/>
    </w:lvl>
  </w:abstractNum>
  <w:abstractNum w:abstractNumId="1">
    <w:nsid w:val="53B2564F"/>
    <w:multiLevelType w:val="hybridMultilevel"/>
    <w:lvl w:ilvl="0">
      <w:lvlJc w:val="left"/>
      <w:lvlText w:val="•"/>
      <w:numFmt w:val="bullet"/>
      <w:start w:val="1"/>
    </w:lvl>
  </w:abstractNum>
  <w:abstractNum w:abstractNumId="2">
    <w:nsid w:val="75509D76"/>
    <w:multiLevelType w:val="hybridMultilevel"/>
    <w:lvl w:ilvl="0">
      <w:lvlJc w:val="left"/>
      <w:lvlText w:val="•"/>
      <w:numFmt w:val="bullet"/>
      <w:start w:val="1"/>
    </w:lvl>
  </w:abstractNum>
  <w:abstractNum w:abstractNumId="3">
    <w:nsid w:val="1AF7F0EA"/>
    <w:multiLevelType w:val="hybridMultilevel"/>
    <w:lvl w:ilvl="0">
      <w:lvlJc w:val="left"/>
      <w:lvlText w:val="•"/>
      <w:numFmt w:val="bullet"/>
      <w:start w:val="1"/>
    </w:lvl>
  </w:abstractNum>
  <w:abstractNum w:abstractNumId="4">
    <w:nsid w:val="4DA32C7E"/>
    <w:multiLevelType w:val="hybridMultilevel"/>
    <w:lvl w:ilvl="0">
      <w:lvlJc w:val="left"/>
      <w:lvlText w:val="•"/>
      <w:numFmt w:val="bullet"/>
      <w:start w:val="1"/>
    </w:lvl>
  </w:abstractNum>
  <w:abstractNum w:abstractNumId="5">
    <w:nsid w:val="6EC68664"/>
    <w:multiLevelType w:val="hybridMultilevel"/>
    <w:lvl w:ilvl="0">
      <w:lvlJc w:val="left"/>
      <w:lvlText w:val="•"/>
      <w:numFmt w:val="bullet"/>
      <w:start w:val="1"/>
    </w:lvl>
  </w:abstractNum>
  <w:abstractNum w:abstractNumId="6">
    <w:nsid w:val="E0D31FF"/>
    <w:multiLevelType w:val="hybridMultilevel"/>
    <w:lvl w:ilvl="0">
      <w:lvlJc w:val="left"/>
      <w:lvlText w:val="(%1)"/>
      <w:numFmt w:val="lowerRoman"/>
      <w:start w:val="4"/>
    </w:lvl>
  </w:abstractNum>
  <w:abstractNum w:abstractNumId="7">
    <w:nsid w:val="2FD0AD81"/>
    <w:multiLevelType w:val="hybridMultilevel"/>
    <w:lvl w:ilvl="0">
      <w:lvlJc w:val="left"/>
      <w:lvlText w:val="•"/>
      <w:numFmt w:val="bullet"/>
      <w:start w:val="1"/>
    </w:lvl>
  </w:abstractNum>
  <w:abstractNum w:abstractNumId="8">
    <w:nsid w:val="1978EBEB"/>
    <w:multiLevelType w:val="hybridMultilevel"/>
    <w:lvl w:ilvl="0">
      <w:lvlJc w:val="left"/>
      <w:lvlText w:val="(%1)"/>
      <w:numFmt w:val="lowerRoman"/>
      <w:start w:val="2"/>
    </w:lvl>
  </w:abstractNum>
  <w:abstractNum w:abstractNumId="9">
    <w:nsid w:val="52C12C61"/>
    <w:multiLevelType w:val="hybridMultilevel"/>
    <w:lvl w:ilvl="0">
      <w:lvlJc w:val="left"/>
      <w:lvlText w:val="•"/>
      <w:numFmt w:val="bullet"/>
      <w:start w:val="1"/>
    </w:lvl>
  </w:abstractNum>
  <w:abstractNum w:abstractNumId="10">
    <w:nsid w:val="4BDD53FD"/>
    <w:multiLevelType w:val="hybridMultilevel"/>
    <w:lvl w:ilvl="0">
      <w:lvlJc w:val="left"/>
      <w:lvlText w:val="(%1)"/>
      <w:numFmt w:val="decimal"/>
      <w:start w:val="1"/>
    </w:lvl>
  </w:abstractNum>
  <w:abstractNum w:abstractNumId="11">
    <w:nsid w:val="569951FE"/>
    <w:multiLevelType w:val="hybridMultilevel"/>
    <w:lvl w:ilvl="0">
      <w:lvlJc w:val="left"/>
      <w:lvlText w:val="(%1)"/>
      <w:numFmt w:val="decimal"/>
      <w:start w:val="1"/>
    </w:lvl>
  </w:abstractNum>
  <w:abstractNum w:abstractNumId="12">
    <w:nsid w:val="4C54E2C3"/>
    <w:multiLevelType w:val="hybridMultilevel"/>
    <w:lvl w:ilvl="0">
      <w:lvlJc w:val="left"/>
      <w:lvlText w:val="(%1)"/>
      <w:numFmt w:val="decimal"/>
      <w:start w:val="4"/>
    </w:lvl>
  </w:abstractNum>
  <w:abstractNum w:abstractNumId="13">
    <w:nsid w:val="788BD9B"/>
    <w:multiLevelType w:val="hybridMultilevel"/>
    <w:lvl w:ilvl="0">
      <w:lvlJc w:val="left"/>
      <w:lvlText w:val="•"/>
      <w:numFmt w:val="bullet"/>
      <w:start w:val="1"/>
    </w:lvl>
  </w:abstractNum>
  <w:abstractNum w:abstractNumId="14">
    <w:nsid w:val="47CAA567"/>
    <w:multiLevelType w:val="hybridMultilevel"/>
    <w:lvl w:ilvl="0">
      <w:lvlJc w:val="left"/>
      <w:lvlText w:val="•"/>
      <w:numFmt w:val="bullet"/>
      <w:start w:val="1"/>
    </w:lvl>
  </w:abstractNum>
  <w:abstractNum w:abstractNumId="15">
    <w:nsid w:val="48249DBF"/>
    <w:multiLevelType w:val="hybridMultilevel"/>
    <w:lvl w:ilvl="0">
      <w:lvlJc w:val="left"/>
      <w:lvlText w:val="•"/>
      <w:numFmt w:val="bullet"/>
      <w:start w:val="1"/>
    </w:lvl>
  </w:abstractNum>
  <w:abstractNum w:abstractNumId="16">
    <w:nsid w:val="1F0E5D0D"/>
    <w:multiLevelType w:val="hybridMultilevel"/>
    <w:lvl w:ilvl="0">
      <w:lvlJc w:val="left"/>
      <w:lvlText w:val="•"/>
      <w:numFmt w:val="bullet"/>
      <w:start w:val="1"/>
    </w:lvl>
  </w:abstractNum>
  <w:abstractNum w:abstractNumId="17">
    <w:nsid w:val="26BAAE9"/>
    <w:multiLevelType w:val="hybridMultilevel"/>
    <w:lvl w:ilvl="0">
      <w:lvlJc w:val="left"/>
      <w:lvlText w:val="•"/>
      <w:numFmt w:val="bullet"/>
      <w:start w:val="1"/>
    </w:lvl>
  </w:abstractNum>
  <w:abstractNum w:abstractNumId="18">
    <w:nsid w:val="2C02FE8C"/>
    <w:multiLevelType w:val="hybridMultilevel"/>
    <w:lvl w:ilvl="0">
      <w:lvlJc w:val="left"/>
      <w:lvlText w:val="•"/>
      <w:numFmt w:val="bullet"/>
      <w:start w:val="1"/>
    </w:lvl>
  </w:abstractNum>
  <w:abstractNum w:abstractNumId="19">
    <w:nsid w:val="129517E"/>
    <w:multiLevelType w:val="hybridMultilevel"/>
    <w:lvl w:ilvl="0">
      <w:lvlJc w:val="left"/>
      <w:lvlText w:val="•"/>
      <w:numFmt w:val="bullet"/>
      <w:start w:val="1"/>
    </w:lvl>
  </w:abstractNum>
  <w:abstractNum w:abstractNumId="20">
    <w:nsid w:val="763B8C4E"/>
    <w:multiLevelType w:val="hybridMultilevel"/>
    <w:lvl w:ilvl="0">
      <w:lvlJc w:val="left"/>
      <w:lvlText w:val="•"/>
      <w:numFmt w:val="bullet"/>
      <w:start w:val="1"/>
    </w:lvl>
  </w:abstractNum>
  <w:abstractNum w:abstractNumId="21">
    <w:nsid w:val="4CFB8D32"/>
    <w:multiLevelType w:val="hybridMultilevel"/>
    <w:lvl w:ilvl="0">
      <w:lvlJc w:val="left"/>
      <w:lvlText w:val="•"/>
      <w:numFmt w:val="bullet"/>
      <w:start w:val="1"/>
    </w:lvl>
  </w:abstractNum>
  <w:abstractNum w:abstractNumId="22">
    <w:nsid w:val="62A5D5BD"/>
    <w:multiLevelType w:val="hybridMultilevel"/>
    <w:lvl w:ilvl="0">
      <w:lvlJc w:val="left"/>
      <w:lvlText w:val="•"/>
      <w:numFmt w:val="bullet"/>
      <w:start w:val="1"/>
    </w:lvl>
  </w:abstractNum>
  <w:abstractNum w:abstractNumId="23">
    <w:nsid w:val="718FABF9"/>
    <w:multiLevelType w:val="hybridMultilevel"/>
    <w:lvl w:ilvl="0">
      <w:lvlJc w:val="left"/>
      <w:lvlText w:val="•"/>
      <w:numFmt w:val="bullet"/>
      <w:start w:val="1"/>
    </w:lvl>
  </w:abstractNum>
  <w:abstractNum w:abstractNumId="24">
    <w:nsid w:val="7775797C"/>
    <w:multiLevelType w:val="hybridMultilevel"/>
    <w:lvl w:ilvl="0">
      <w:lvlJc w:val="left"/>
      <w:lvlText w:val="•"/>
      <w:numFmt w:val="bullet"/>
      <w:start w:val="1"/>
    </w:lvl>
  </w:abstractNum>
  <w:abstractNum w:abstractNumId="25">
    <w:nsid w:val="1626FB8C"/>
    <w:multiLevelType w:val="hybridMultilevel"/>
    <w:lvl w:ilvl="0">
      <w:lvlJc w:val="left"/>
      <w:lvlText w:val="•"/>
      <w:numFmt w:val="bullet"/>
      <w:start w:val="1"/>
    </w:lvl>
  </w:abstractNum>
  <w:abstractNum w:abstractNumId="26">
    <w:nsid w:val="3957756A"/>
    <w:multiLevelType w:val="hybridMultilevel"/>
    <w:lvl w:ilvl="0">
      <w:lvlJc w:val="left"/>
      <w:lvlText w:val="•"/>
      <w:numFmt w:val="bullet"/>
      <w:start w:val="1"/>
    </w:lvl>
  </w:abstractNum>
  <w:abstractNum w:abstractNumId="27">
    <w:nsid w:val="3E6DA1C7"/>
    <w:multiLevelType w:val="hybridMultilevel"/>
    <w:lvl w:ilvl="0">
      <w:lvlJc w:val="left"/>
      <w:lvlText w:val="•"/>
      <w:numFmt w:val="bullet"/>
      <w:start w:val="1"/>
    </w:lvl>
  </w:abstractNum>
  <w:abstractNum w:abstractNumId="28">
    <w:nsid w:val="65CA235B"/>
    <w:multiLevelType w:val="hybridMultilevel"/>
    <w:lvl w:ilvl="0">
      <w:lvlJc w:val="left"/>
      <w:lvlText w:val="•"/>
      <w:numFmt w:val="bullet"/>
      <w:start w:val="1"/>
    </w:lvl>
  </w:abstractNum>
  <w:abstractNum w:abstractNumId="29">
    <w:nsid w:val="51CB0DA4"/>
    <w:multiLevelType w:val="hybridMultilevel"/>
    <w:lvl w:ilvl="0">
      <w:lvlJc w:val="left"/>
      <w:lvlText w:val="•"/>
      <w:numFmt w:val="bullet"/>
      <w:start w:val="1"/>
    </w:lvl>
  </w:abstractNum>
  <w:abstractNum w:abstractNumId="30">
    <w:nsid w:val="7B9B743C"/>
    <w:multiLevelType w:val="hybridMultilevel"/>
    <w:lvl w:ilvl="0">
      <w:lvlJc w:val="left"/>
      <w:lvlText w:val="•"/>
      <w:numFmt w:val="bullet"/>
      <w:start w:val="1"/>
    </w:lvl>
  </w:abstractNum>
  <w:abstractNum w:abstractNumId="31">
    <w:nsid w:val="13E21002"/>
    <w:multiLevelType w:val="hybridMultilevel"/>
    <w:lvl w:ilvl="0">
      <w:lvlJc w:val="left"/>
      <w:lvlText w:val="•"/>
      <w:numFmt w:val="bullet"/>
      <w:start w:val="1"/>
    </w:lvl>
  </w:abstractNum>
  <w:abstractNum w:abstractNumId="32">
    <w:nsid w:val="257D63F4"/>
    <w:multiLevelType w:val="hybridMultilevel"/>
    <w:lvl w:ilvl="0">
      <w:lvlJc w:val="left"/>
      <w:lvlText w:val="•"/>
      <w:numFmt w:val="bullet"/>
      <w:start w:val="1"/>
    </w:lvl>
  </w:abstractNum>
  <w:abstractNum w:abstractNumId="33">
    <w:nsid w:val="70EC11B2"/>
    <w:multiLevelType w:val="hybridMultilevel"/>
    <w:lvl w:ilvl="0">
      <w:lvlJc w:val="left"/>
      <w:lvlText w:val="•"/>
      <w:numFmt w:val="bullet"/>
      <w:start w:val="1"/>
    </w:lvl>
  </w:abstractNum>
  <w:abstractNum w:abstractNumId="34">
    <w:nsid w:val="2EDA00ED"/>
    <w:multiLevelType w:val="hybridMultilevel"/>
    <w:lvl w:ilvl="0">
      <w:lvlJc w:val="left"/>
      <w:lvlText w:val="•"/>
      <w:numFmt w:val="bullet"/>
      <w:start w:val="1"/>
    </w:lvl>
  </w:abstractNum>
  <w:abstractNum w:abstractNumId="35">
    <w:nsid w:val="73209072"/>
    <w:multiLevelType w:val="hybridMultilevel"/>
    <w:lvl w:ilvl="0">
      <w:lvlJc w:val="left"/>
      <w:lvlText w:val="•"/>
      <w:numFmt w:val="bullet"/>
      <w:start w:val="1"/>
    </w:lvl>
  </w:abstractNum>
  <w:abstractNum w:abstractNumId="36">
    <w:nsid w:val="5FB29816"/>
    <w:multiLevelType w:val="hybridMultilevel"/>
    <w:lvl w:ilvl="0">
      <w:lvlJc w:val="left"/>
      <w:lvlText w:val="•"/>
      <w:numFmt w:val="bullet"/>
      <w:start w:val="1"/>
    </w:lvl>
  </w:abstractNum>
  <w:abstractNum w:abstractNumId="37">
    <w:nsid w:val="3CE732EC"/>
    <w:multiLevelType w:val="hybridMultilevel"/>
    <w:lvl w:ilvl="0">
      <w:lvlJc w:val="left"/>
      <w:lvlText w:val="•"/>
      <w:numFmt w:val="bullet"/>
      <w:start w:val="1"/>
    </w:lvl>
  </w:abstractNum>
  <w:abstractNum w:abstractNumId="38">
    <w:nsid w:val="22F13DF3"/>
    <w:multiLevelType w:val="hybridMultilevel"/>
    <w:lvl w:ilvl="0">
      <w:lvlJc w:val="left"/>
      <w:lvlText w:val="•"/>
      <w:numFmt w:val="bullet"/>
      <w:start w:val="1"/>
    </w:lvl>
  </w:abstractNum>
  <w:abstractNum w:abstractNumId="39">
    <w:nsid w:val="792B8401"/>
    <w:multiLevelType w:val="hybridMultilevel"/>
    <w:lvl w:ilvl="0">
      <w:lvlJc w:val="left"/>
      <w:lvlText w:val="•"/>
      <w:numFmt w:val="bullet"/>
      <w:start w:val="1"/>
    </w:lvl>
  </w:abstractNum>
  <w:abstractNum w:abstractNumId="40">
    <w:nsid w:val="FA85F4D"/>
    <w:multiLevelType w:val="hybridMultilevel"/>
    <w:lvl w:ilvl="0">
      <w:lvlJc w:val="left"/>
      <w:lvlText w:val="•"/>
      <w:numFmt w:val="bullet"/>
      <w:start w:val="1"/>
    </w:lvl>
  </w:abstractNum>
  <w:abstractNum w:abstractNumId="41">
    <w:nsid w:val="6ECE91F0"/>
    <w:multiLevelType w:val="hybridMultilevel"/>
    <w:lvl w:ilvl="0">
      <w:lvlJc w:val="left"/>
      <w:lvlText w:val="•"/>
      <w:numFmt w:val="bullet"/>
      <w:start w:val="1"/>
    </w:lvl>
  </w:abstractNum>
  <w:abstractNum w:abstractNumId="42">
    <w:nsid w:val="4FC4D600"/>
    <w:multiLevelType w:val="hybridMultilevel"/>
    <w:lvl w:ilvl="0">
      <w:lvlJc w:val="left"/>
      <w:lvlText w:val="•"/>
      <w:numFmt w:val="bullet"/>
      <w:start w:val="1"/>
    </w:lvl>
  </w:abstractNum>
  <w:abstractNum w:abstractNumId="43">
    <w:nsid w:val="5BFD4210"/>
    <w:multiLevelType w:val="hybridMultilevel"/>
    <w:lvl w:ilvl="0">
      <w:lvlJc w:val="left"/>
      <w:lvlText w:val="•"/>
      <w:numFmt w:val="bullet"/>
      <w:start w:val="1"/>
    </w:lvl>
  </w:abstractNum>
  <w:abstractNum w:abstractNumId="44">
    <w:nsid w:val="76574F8B"/>
    <w:multiLevelType w:val="hybridMultilevel"/>
    <w:lvl w:ilvl="0">
      <w:lvlJc w:val="left"/>
      <w:lvlText w:val="•"/>
      <w:numFmt w:val="bullet"/>
      <w:start w:val="1"/>
    </w:lvl>
  </w:abstractNum>
  <w:abstractNum w:abstractNumId="45">
    <w:nsid w:val="178F7B67"/>
    <w:multiLevelType w:val="hybridMultilevel"/>
    <w:lvl w:ilvl="0">
      <w:lvlJc w:val="left"/>
      <w:lvlText w:val="•"/>
      <w:numFmt w:val="bullet"/>
      <w:start w:val="1"/>
    </w:lvl>
  </w:abstractNum>
  <w:abstractNum w:abstractNumId="46">
    <w:nsid w:val="2421DFCF"/>
    <w:multiLevelType w:val="hybridMultilevel"/>
    <w:lvl w:ilvl="0">
      <w:lvlJc w:val="left"/>
      <w:lvlText w:val="•"/>
      <w:numFmt w:val="bullet"/>
      <w:start w:val="1"/>
    </w:lvl>
  </w:abstractNum>
  <w:abstractNum w:abstractNumId="47">
    <w:nsid w:val="1565AC99"/>
    <w:multiLevelType w:val="hybridMultilevel"/>
    <w:lvl w:ilvl="0">
      <w:lvlJc w:val="left"/>
      <w:lvlText w:val="•"/>
      <w:numFmt w:val="bullet"/>
      <w:start w:val="1"/>
    </w:lvl>
  </w:abstractNum>
  <w:abstractNum w:abstractNumId="48">
    <w:nsid w:val="19FB2650"/>
    <w:multiLevelType w:val="hybridMultilevel"/>
    <w:lvl w:ilvl="0">
      <w:lvlJc w:val="left"/>
      <w:lvlText w:val="•"/>
      <w:numFmt w:val="bullet"/>
      <w:start w:val="1"/>
    </w:lvl>
  </w:abstractNum>
  <w:abstractNum w:abstractNumId="49">
    <w:nsid w:val="5024DE5B"/>
    <w:multiLevelType w:val="hybridMultilevel"/>
    <w:lvl w:ilvl="0">
      <w:lvlJc w:val="left"/>
      <w:lvlText w:val="•"/>
      <w:numFmt w:val="bullet"/>
      <w:start w:val="1"/>
    </w:lvl>
  </w:abstractNum>
  <w:abstractNum w:abstractNumId="50">
    <w:nsid w:val="168EFE17"/>
    <w:multiLevelType w:val="hybridMultilevel"/>
    <w:lvl w:ilvl="0">
      <w:lvlJc w:val="left"/>
      <w:lvlText w:val="•"/>
      <w:numFmt w:val="bullet"/>
      <w:start w:val="1"/>
    </w:lvl>
  </w:abstractNum>
  <w:abstractNum w:abstractNumId="51">
    <w:nsid w:val="1036B29F"/>
    <w:multiLevelType w:val="hybridMultilevel"/>
    <w:lvl w:ilvl="0">
      <w:lvlJc w:val="left"/>
      <w:lvlText w:val="•"/>
      <w:numFmt w:val="bullet"/>
      <w:start w:val="1"/>
    </w:lvl>
  </w:abstractNum>
  <w:abstractNum w:abstractNumId="52">
    <w:nsid w:val="1D206B8E"/>
    <w:multiLevelType w:val="hybridMultilevel"/>
    <w:lvl w:ilvl="0">
      <w:lvlJc w:val="left"/>
      <w:lvlText w:val="•"/>
      <w:numFmt w:val="bullet"/>
      <w:start w:val="1"/>
    </w:lvl>
  </w:abstractNum>
  <w:abstractNum w:abstractNumId="53">
    <w:nsid w:val="7934D3D4"/>
    <w:multiLevelType w:val="hybridMultilevel"/>
    <w:lvl w:ilvl="0">
      <w:lvlJc w:val="left"/>
      <w:lvlText w:val="$"/>
      <w:numFmt w:val="bullet"/>
      <w:start w:val="1"/>
    </w:lvl>
  </w:abstractNum>
  <w:abstractNum w:abstractNumId="54">
    <w:nsid w:val="1C65E98"/>
    <w:multiLevelType w:val="hybridMultilevel"/>
    <w:lvl w:ilvl="0">
      <w:lvlJc w:val="left"/>
      <w:lvlText w:val="1"/>
      <w:numFmt w:val="bullet"/>
      <w:start w:val="1"/>
    </w:lvl>
  </w:abstractNum>
  <w:abstractNum w:abstractNumId="55">
    <w:nsid w:val="1495E50A"/>
    <w:multiLevelType w:val="hybridMultilevel"/>
    <w:lvl w:ilvl="0">
      <w:lvlJc w:val="left"/>
      <w:lvlText w:val="(%1)"/>
      <w:numFmt w:val="decimal"/>
      <w:start w:val="920"/>
    </w:lvl>
  </w:abstractNum>
  <w:abstractNum w:abstractNumId="56">
    <w:nsid w:val="F5BCF61"/>
    <w:multiLevelType w:val="hybridMultilevel"/>
    <w:lvl w:ilvl="0">
      <w:lvlJc w:val="left"/>
      <w:lvlText w:val="•"/>
      <w:numFmt w:val="bullet"/>
      <w:start w:val="1"/>
    </w:lvl>
  </w:abstractNum>
  <w:abstractNum w:abstractNumId="57">
    <w:nsid w:val="3B1DD403"/>
    <w:multiLevelType w:val="hybridMultilevel"/>
    <w:lvl w:ilvl="0">
      <w:lvlJc w:val="left"/>
      <w:lvlText w:val="•"/>
      <w:numFmt w:val="bullet"/>
      <w:start w:val="1"/>
    </w:lvl>
  </w:abstractNum>
  <w:abstractNum w:abstractNumId="58">
    <w:nsid w:val="530386D1"/>
    <w:multiLevelType w:val="hybridMultilevel"/>
    <w:lvl w:ilvl="0">
      <w:lvlJc w:val="left"/>
      <w:lvlText w:val="(%1)"/>
      <w:numFmt w:val="decimal"/>
      <w:start w:val="1"/>
    </w:lvl>
  </w:abstractNum>
  <w:abstractNum w:abstractNumId="59">
    <w:nsid w:val="7525F2BC"/>
    <w:multiLevelType w:val="hybridMultilevel"/>
    <w:lvl w:ilvl="0">
      <w:lvlJc w:val="left"/>
      <w:lvlText w:val="(%1)"/>
      <w:numFmt w:val="decimal"/>
      <w:start w:val="2"/>
    </w:lvl>
  </w:abstractNum>
  <w:abstractNum w:abstractNumId="60">
    <w:nsid w:val="CE8E1A7"/>
    <w:multiLevelType w:val="hybridMultilevel"/>
    <w:lvl w:ilvl="0">
      <w:lvlJc w:val="left"/>
      <w:lvlText w:val="•"/>
      <w:numFmt w:val="bullet"/>
      <w:start w:val="1"/>
    </w:lvl>
  </w:abstractNum>
  <w:abstractNum w:abstractNumId="61">
    <w:nsid w:val="4E9EFB0D"/>
    <w:multiLevelType w:val="hybridMultilevel"/>
    <w:lvl w:ilvl="0">
      <w:lvlJc w:val="left"/>
      <w:lvlText w:val="•"/>
      <w:numFmt w:val="bullet"/>
      <w:start w:val="1"/>
    </w:lvl>
  </w:abstractNum>
  <w:abstractNum w:abstractNumId="62">
    <w:nsid w:val="90802BE"/>
    <w:multiLevelType w:val="hybridMultilevel"/>
    <w:lvl w:ilvl="0">
      <w:lvlJc w:val="left"/>
      <w:lvlText w:val="•"/>
      <w:numFmt w:val="bullet"/>
      <w:start w:val="1"/>
    </w:lvl>
  </w:abstractNum>
  <w:abstractNum w:abstractNumId="63">
    <w:nsid w:val="3266459B"/>
    <w:multiLevelType w:val="hybridMultilevel"/>
    <w:lvl w:ilvl="0">
      <w:lvlJc w:val="left"/>
      <w:lvlText w:val="•"/>
      <w:numFmt w:val="bullet"/>
      <w:start w:val="1"/>
    </w:lvl>
  </w:abstractNum>
  <w:abstractNum w:abstractNumId="64">
    <w:nsid w:val="3F8B0CBF"/>
    <w:multiLevelType w:val="hybridMultilevel"/>
    <w:lvl w:ilvl="0">
      <w:lvlJc w:val="left"/>
      <w:lvlText w:val="(%1)"/>
      <w:numFmt w:val="decimal"/>
      <w:start w:val="1"/>
    </w:lvl>
  </w:abstractNum>
  <w:abstractNum w:abstractNumId="65">
    <w:nsid w:val="37E203AB"/>
    <w:multiLevelType w:val="hybridMultilevel"/>
    <w:lvl w:ilvl="0">
      <w:lvlJc w:val="left"/>
      <w:lvlText w:val="(%1)"/>
      <w:numFmt w:val="decimal"/>
      <w:start w:val="1"/>
    </w:lvl>
  </w:abstractNum>
  <w:abstractNum w:abstractNumId="66">
    <w:nsid w:val="2586D60E"/>
    <w:multiLevelType w:val="hybridMultilevel"/>
    <w:lvl w:ilvl="0">
      <w:lvlJc w:val="left"/>
      <w:lvlText w:val="•"/>
      <w:numFmt w:val="bullet"/>
      <w:start w:val="1"/>
    </w:lvl>
  </w:abstractNum>
  <w:abstractNum w:abstractNumId="67">
    <w:nsid w:val="1F3DA4D5"/>
    <w:multiLevelType w:val="hybridMultilevel"/>
    <w:lvl w:ilvl="0">
      <w:lvlJc w:val="left"/>
      <w:lvlText w:val="•"/>
      <w:numFmt w:val="bullet"/>
      <w:start w:val="1"/>
    </w:lvl>
  </w:abstractNum>
  <w:abstractNum w:abstractNumId="68">
    <w:nsid w:val="74C93698"/>
    <w:multiLevelType w:val="hybridMultilevel"/>
    <w:lvl w:ilvl="0">
      <w:lvlJc w:val="left"/>
      <w:lvlText w:val="•"/>
      <w:numFmt w:val="bullet"/>
      <w:start w:val="1"/>
    </w:lvl>
  </w:abstractNum>
  <w:abstractNum w:abstractNumId="69">
    <w:nsid w:val="48781401"/>
    <w:multiLevelType w:val="hybridMultilevel"/>
    <w:lvl w:ilvl="0">
      <w:lvlJc w:val="left"/>
      <w:lvlText w:val="•"/>
      <w:numFmt w:val="bullet"/>
      <w:start w:val="1"/>
    </w:lvl>
  </w:abstractNum>
  <w:abstractNum w:abstractNumId="70">
    <w:nsid w:val="186928D6"/>
    <w:multiLevelType w:val="hybridMultilevel"/>
    <w:lvl w:ilvl="0">
      <w:lvlJc w:val="left"/>
      <w:lvlText w:val="•"/>
      <w:numFmt w:val="bullet"/>
      <w:start w:val="1"/>
    </w:lvl>
  </w:abstractNum>
  <w:abstractNum w:abstractNumId="71">
    <w:nsid w:val="47195E5"/>
    <w:multiLevelType w:val="hybridMultilevel"/>
    <w:lvl w:ilvl="0">
      <w:lvlJc w:val="left"/>
      <w:lvlText w:val="•"/>
      <w:numFmt w:val="bullet"/>
      <w:start w:val="1"/>
    </w:lvl>
  </w:abstractNum>
  <w:abstractNum w:abstractNumId="72">
    <w:nsid w:val="3746A5F2"/>
    <w:multiLevelType w:val="hybridMultilevel"/>
    <w:lvl w:ilvl="0">
      <w:lvlJc w:val="left"/>
      <w:lvlText w:val="(%1)"/>
      <w:numFmt w:val="lowerRoman"/>
      <w:start w:val="2"/>
    </w:lvl>
  </w:abstractNum>
  <w:abstractNum w:abstractNumId="73">
    <w:nsid w:val="682DFED6"/>
    <w:multiLevelType w:val="hybridMultilevel"/>
    <w:lvl w:ilvl="0">
      <w:lvlJc w:val="left"/>
      <w:lvlText w:val="•"/>
      <w:numFmt w:val="bullet"/>
      <w:start w:val="1"/>
    </w:lvl>
  </w:abstractNum>
  <w:abstractNum w:abstractNumId="74">
    <w:nsid w:val="606ED7F6"/>
    <w:multiLevelType w:val="hybridMultilevel"/>
    <w:lvl w:ilvl="0">
      <w:lvlJc w:val="left"/>
      <w:lvlText w:val="•"/>
      <w:numFmt w:val="bullet"/>
      <w:start w:val="1"/>
    </w:lvl>
  </w:abstractNum>
  <w:abstractNum w:abstractNumId="75">
    <w:nsid w:val="2D9DF57D"/>
    <w:multiLevelType w:val="hybridMultilevel"/>
    <w:lvl w:ilvl="0">
      <w:lvlJc w:val="left"/>
      <w:lvlText w:val="•"/>
      <w:numFmt w:val="bullet"/>
      <w:start w:val="1"/>
    </w:lvl>
  </w:abstractNum>
  <w:abstractNum w:abstractNumId="76">
    <w:nsid w:val="7FBD7A3E"/>
    <w:multiLevelType w:val="hybridMultilevel"/>
    <w:lvl w:ilvl="0">
      <w:lvlJc w:val="left"/>
      <w:lvlText w:val="•"/>
      <w:numFmt w:val="bullet"/>
      <w:start w:val="1"/>
    </w:lvl>
  </w:abstractNum>
  <w:abstractNum w:abstractNumId="77">
    <w:nsid w:val="490B7C5"/>
    <w:multiLevelType w:val="hybridMultilevel"/>
    <w:lvl w:ilvl="0">
      <w:lvlJc w:val="left"/>
      <w:lvlText w:val="(%1)"/>
      <w:numFmt w:val="lowerRoman"/>
      <w:start w:val="1"/>
    </w:lvl>
  </w:abstractNum>
  <w:abstractNum w:abstractNumId="78">
    <w:nsid w:val="4303A216"/>
    <w:multiLevelType w:val="hybridMultilevel"/>
    <w:lvl w:ilvl="0">
      <w:lvlJc w:val="left"/>
      <w:lvlText w:val="(%1)"/>
      <w:numFmt w:val="lowerRoman"/>
      <w:start w:val="2"/>
    </w:lvl>
  </w:abstractNum>
  <w:abstractNum w:abstractNumId="79">
    <w:nsid w:val="19B8A08E"/>
    <w:multiLevelType w:val="hybridMultilevel"/>
    <w:lvl w:ilvl="0">
      <w:lvlJc w:val="left"/>
      <w:lvlText w:val="(%1)"/>
      <w:numFmt w:val="lowerRoman"/>
      <w:start w:val="2"/>
    </w:lvl>
  </w:abstractNum>
  <w:abstractNum w:abstractNumId="80">
    <w:nsid w:val="54B59621"/>
    <w:multiLevelType w:val="hybridMultilevel"/>
    <w:lvl w:ilvl="0">
      <w:lvlJc w:val="left"/>
      <w:lvlText w:val="(%1)"/>
      <w:numFmt w:val="lowerRoman"/>
      <w:start w:val="1"/>
    </w:lvl>
  </w:abstractNum>
  <w:abstractNum w:abstractNumId="81">
    <w:nsid w:val="5992A02E"/>
    <w:multiLevelType w:val="hybridMultilevel"/>
    <w:lvl w:ilvl="0">
      <w:lvlJc w:val="left"/>
      <w:lvlText w:val="•"/>
      <w:numFmt w:val="bullet"/>
      <w:start w:val="1"/>
    </w:lvl>
  </w:abstractNum>
  <w:abstractNum w:abstractNumId="82">
    <w:nsid w:val="29EF532D"/>
    <w:multiLevelType w:val="hybridMultilevel"/>
    <w:lvl w:ilvl="0">
      <w:lvlJc w:val="left"/>
      <w:lvlText w:val="•"/>
      <w:numFmt w:val="bullet"/>
      <w:start w:val="1"/>
    </w:lvl>
  </w:abstractNum>
  <w:abstractNum w:abstractNumId="83">
    <w:nsid w:val="71D601AF"/>
    <w:multiLevelType w:val="hybridMultilevel"/>
    <w:lvl w:ilvl="0">
      <w:lvlJc w:val="left"/>
      <w:lvlText w:val="•"/>
      <w:numFmt w:val="bullet"/>
      <w:start w:val="1"/>
    </w:lvl>
  </w:abstractNum>
  <w:abstractNum w:abstractNumId="84">
    <w:nsid w:val="52C77402"/>
    <w:multiLevelType w:val="hybridMultilevel"/>
    <w:lvl w:ilvl="0">
      <w:lvlJc w:val="left"/>
      <w:lvlText w:val="•"/>
      <w:numFmt w:val="bullet"/>
      <w:start w:val="1"/>
    </w:lvl>
  </w:abstractNum>
  <w:abstractNum w:abstractNumId="85">
    <w:nsid w:val="2BB5B1C6"/>
    <w:multiLevelType w:val="hybridMultilevel"/>
    <w:lvl w:ilvl="0">
      <w:lvlJc w:val="left"/>
      <w:lvlText w:val="•"/>
      <w:numFmt w:val="bullet"/>
      <w:start w:val="1"/>
    </w:lvl>
  </w:abstractNum>
  <w:abstractNum w:abstractNumId="86">
    <w:nsid w:val="66BE6B9"/>
    <w:multiLevelType w:val="hybridMultilevel"/>
    <w:lvl w:ilvl="0">
      <w:lvlJc w:val="left"/>
      <w:lvlText w:val="•"/>
      <w:numFmt w:val="bullet"/>
      <w:start w:val="1"/>
    </w:lvl>
  </w:abstractNum>
  <w:abstractNum w:abstractNumId="87">
    <w:nsid w:val="62234363"/>
    <w:multiLevelType w:val="hybridMultilevel"/>
    <w:lvl w:ilvl="0">
      <w:lvlJc w:val="left"/>
      <w:lvlText w:val="•"/>
      <w:numFmt w:val="bullet"/>
      <w:start w:val="1"/>
    </w:lvl>
  </w:abstractNum>
  <w:abstractNum w:abstractNumId="88">
    <w:nsid w:val="66D385C9"/>
    <w:multiLevelType w:val="hybridMultilevel"/>
    <w:lvl w:ilvl="0">
      <w:lvlJc w:val="left"/>
      <w:lvlText w:val="(%1)"/>
      <w:numFmt w:val="lowerRoman"/>
      <w:start w:val="1"/>
    </w:lvl>
  </w:abstractNum>
  <w:abstractNum w:abstractNumId="89">
    <w:nsid w:val="596F6D8A"/>
    <w:multiLevelType w:val="hybridMultilevel"/>
    <w:lvl w:ilvl="0">
      <w:lvlJc w:val="left"/>
      <w:lvlText w:val="•"/>
      <w:numFmt w:val="bullet"/>
      <w:start w:val="1"/>
    </w:lvl>
    <w:lvl w:ilvl="1">
      <w:lvlJc w:val="left"/>
      <w:lvlText w:val="•"/>
      <w:numFmt w:val="bullet"/>
      <w:start w:val="1"/>
    </w:lvl>
  </w:abstractNum>
  <w:abstractNum w:abstractNumId="90">
    <w:nsid w:val="5749361F"/>
    <w:multiLevelType w:val="hybridMultilevel"/>
    <w:lvl w:ilvl="0">
      <w:lvlJc w:val="left"/>
      <w:lvlText w:val="(%1)"/>
      <w:numFmt w:val="lowerRoman"/>
      <w:start w:val="2"/>
    </w:lvl>
  </w:abstractNum>
  <w:abstractNum w:abstractNumId="91">
    <w:nsid w:val="73BC6770"/>
    <w:multiLevelType w:val="hybridMultilevel"/>
    <w:lvl w:ilvl="0">
      <w:lvlJc w:val="left"/>
      <w:lvlText w:val="(%1)"/>
      <w:numFmt w:val="decimal"/>
      <w:start w:val="1"/>
    </w:lvl>
  </w:abstractNum>
  <w:abstractNum w:abstractNumId="92">
    <w:nsid w:val="280E6897"/>
    <w:multiLevelType w:val="hybridMultilevel"/>
    <w:lvl w:ilvl="0">
      <w:lvlJc w:val="left"/>
      <w:lvlText w:val="•"/>
      <w:numFmt w:val="bullet"/>
      <w:start w:val="1"/>
    </w:lvl>
  </w:abstractNum>
  <w:abstractNum w:abstractNumId="93">
    <w:nsid w:val="605138DE"/>
    <w:multiLevelType w:val="hybridMultilevel"/>
    <w:lvl w:ilvl="0">
      <w:lvlJc w:val="left"/>
      <w:lvlText w:val="•"/>
      <w:numFmt w:val="bullet"/>
      <w:start w:val="1"/>
    </w:lvl>
  </w:abstractNum>
  <w:abstractNum w:abstractNumId="94">
    <w:nsid w:val="2622AD0C"/>
    <w:multiLevelType w:val="hybridMultilevel"/>
    <w:lvl w:ilvl="0">
      <w:lvlJc w:val="left"/>
      <w:lvlText w:val="•"/>
      <w:numFmt w:val="bullet"/>
      <w:start w:val="1"/>
    </w:lvl>
  </w:abstractNum>
  <w:abstractNum w:abstractNumId="95">
    <w:nsid w:val="67997556"/>
    <w:multiLevelType w:val="hybridMultilevel"/>
    <w:lvl w:ilvl="0">
      <w:lvlJc w:val="left"/>
      <w:lvlText w:val="•"/>
      <w:numFmt w:val="bullet"/>
      <w:start w:val="1"/>
    </w:lvl>
  </w:abstractNum>
  <w:abstractNum w:abstractNumId="96">
    <w:nsid w:val="18333C89"/>
    <w:multiLevelType w:val="hybridMultilevel"/>
    <w:lvl w:ilvl="0">
      <w:lvlJc w:val="left"/>
      <w:lvlText w:val="•"/>
      <w:numFmt w:val="bullet"/>
      <w:start w:val="1"/>
    </w:lvl>
  </w:abstractNum>
  <w:abstractNum w:abstractNumId="97">
    <w:nsid w:val="4BA9831A"/>
    <w:multiLevelType w:val="hybridMultilevel"/>
    <w:lvl w:ilvl="0">
      <w:lvlJc w:val="left"/>
      <w:lvlText w:val="•"/>
      <w:numFmt w:val="bullet"/>
      <w:start w:val="1"/>
    </w:lvl>
  </w:abstractNum>
  <w:abstractNum w:abstractNumId="98">
    <w:nsid w:val="6D71A2B"/>
    <w:multiLevelType w:val="hybridMultilevel"/>
    <w:lvl w:ilvl="0">
      <w:lvlJc w:val="left"/>
      <w:lvlText w:val="(%1)"/>
      <w:numFmt w:val="decimal"/>
      <w:start w:val="1"/>
    </w:lvl>
  </w:abstractNum>
  <w:abstractNum w:abstractNumId="99">
    <w:nsid w:val="CFC7321"/>
    <w:multiLevelType w:val="hybridMultilevel"/>
    <w:lvl w:ilvl="0">
      <w:lvlJc w:val="left"/>
      <w:lvlText w:val="(%1)"/>
      <w:numFmt w:val="lowerRoman"/>
      <w:start w:val="1"/>
    </w:lvl>
  </w:abstractNum>
  <w:abstractNum w:abstractNumId="100">
    <w:nsid w:val="1421971B"/>
    <w:multiLevelType w:val="hybridMultilevel"/>
    <w:lvl w:ilvl="0">
      <w:lvlJc w:val="left"/>
      <w:lvlText w:val="(%1)"/>
      <w:numFmt w:val="decimal"/>
      <w:start w:val="1"/>
    </w:lvl>
  </w:abstractNum>
  <w:abstractNum w:abstractNumId="101">
    <w:nsid w:val="1F404301"/>
    <w:multiLevelType w:val="hybridMultilevel"/>
    <w:lvl w:ilvl="0">
      <w:lvlJc w:val="left"/>
      <w:lvlText w:val="(%1)"/>
      <w:numFmt w:val="decimal"/>
      <w:start w:val="1"/>
    </w:lvl>
  </w:abstractNum>
  <w:abstractNum w:abstractNumId="102">
    <w:nsid w:val="116E0907"/>
    <w:multiLevelType w:val="hybridMultilevel"/>
    <w:lvl w:ilvl="0">
      <w:lvlJc w:val="left"/>
      <w:lvlText w:val="•"/>
      <w:numFmt w:val="bullet"/>
      <w:start w:val="1"/>
    </w:lvl>
  </w:abstractNum>
  <w:abstractNum w:abstractNumId="103">
    <w:nsid w:val="4B683D0D"/>
    <w:multiLevelType w:val="hybridMultilevel"/>
    <w:lvl w:ilvl="0">
      <w:lvlJc w:val="left"/>
      <w:lvlText w:val="(%1)"/>
      <w:numFmt w:val="decimal"/>
      <w:start w:val="1"/>
    </w:lvl>
  </w:abstractNum>
  <w:abstractNum w:abstractNumId="104">
    <w:nsid w:val="76E41D8"/>
    <w:multiLevelType w:val="hybridMultilevel"/>
    <w:lvl w:ilvl="0">
      <w:lvlJc w:val="left"/>
      <w:lvlText w:val="(%1)"/>
      <w:numFmt w:val="decimal"/>
      <w:start w:val="1"/>
    </w:lvl>
  </w:abstractNum>
  <w:abstractNum w:abstractNumId="105">
    <w:nsid w:val="71DCE0FD"/>
    <w:multiLevelType w:val="hybridMultilevel"/>
    <w:lvl w:ilvl="0">
      <w:lvlJc w:val="left"/>
      <w:lvlText w:val="(%1)"/>
      <w:numFmt w:val="decimal"/>
      <w:start w:val="1"/>
    </w:lvl>
  </w:abstractNum>
  <w:abstractNum w:abstractNumId="106">
    <w:nsid w:val="7906328B"/>
    <w:multiLevelType w:val="hybridMultilevel"/>
    <w:lvl w:ilvl="0">
      <w:lvlJc w:val="left"/>
      <w:lvlText w:val="(%1)"/>
      <w:numFmt w:val="decimal"/>
      <w:start w:val="1"/>
    </w:lvl>
  </w:abstractNum>
  <w:abstractNum w:abstractNumId="107">
    <w:nsid w:val="72BBC16"/>
    <w:multiLevelType w:val="hybridMultilevel"/>
    <w:lvl w:ilvl="0">
      <w:lvlJc w:val="left"/>
      <w:lvlText w:val="(%1)"/>
      <w:numFmt w:val="decimal"/>
      <w:start w:val="1"/>
    </w:lvl>
  </w:abstractNum>
  <w:abstractNum w:abstractNumId="108">
    <w:nsid w:val="766D98C2"/>
    <w:multiLevelType w:val="hybridMultilevel"/>
    <w:lvl w:ilvl="0">
      <w:lvlJc w:val="left"/>
      <w:lvlText w:val="%"/>
      <w:numFmt w:val="bullet"/>
      <w:start w:val="1"/>
    </w:lvl>
  </w:abstractNum>
  <w:abstractNum w:abstractNumId="109">
    <w:nsid w:val="3C09D4A1"/>
    <w:multiLevelType w:val="hybridMultilevel"/>
    <w:lvl w:ilvl="0">
      <w:lvlJc w:val="left"/>
      <w:lvlText w:val="•"/>
      <w:numFmt w:val="bullet"/>
      <w:start w:val="1"/>
    </w:lvl>
  </w:abstractNum>
  <w:abstractNum w:abstractNumId="110">
    <w:nsid w:val="20E45CA4"/>
    <w:multiLevelType w:val="hybridMultilevel"/>
    <w:lvl w:ilvl="0">
      <w:lvlJc w:val="left"/>
      <w:lvlText w:val="•"/>
      <w:numFmt w:val="bullet"/>
      <w:start w:val="1"/>
    </w:lvl>
  </w:abstractNum>
  <w:abstractNum w:abstractNumId="111">
    <w:nsid w:val="4B232EE3"/>
    <w:multiLevelType w:val="hybridMultilevel"/>
    <w:lvl w:ilvl="0">
      <w:lvlJc w:val="left"/>
      <w:lvlText w:val="*"/>
      <w:numFmt w:val="bullet"/>
      <w:start w:val="1"/>
    </w:lvl>
  </w:abstractNum>
  <w:abstractNum w:abstractNumId="112">
    <w:nsid w:val="159C74CF"/>
    <w:multiLevelType w:val="hybridMultilevel"/>
    <w:lvl w:ilvl="0">
      <w:lvlJc w:val="left"/>
      <w:lvlText w:val="(%1)"/>
      <w:numFmt w:val="decimal"/>
      <w:start w:val="1"/>
    </w:lvl>
  </w:abstractNum>
  <w:abstractNum w:abstractNumId="113">
    <w:nsid w:val="4AD3AFD2"/>
    <w:multiLevelType w:val="hybridMultilevel"/>
    <w:lvl w:ilvl="0">
      <w:lvlJc w:val="left"/>
      <w:lvlText w:val="(%1)"/>
      <w:numFmt w:val="decimal"/>
      <w:start w:val="3"/>
    </w:lvl>
    <w:lvl w:ilvl="1">
      <w:lvlJc w:val="left"/>
      <w:lvlText w:val="(%2)"/>
      <w:numFmt w:val="lowerLetter"/>
      <w:start w:val="2"/>
    </w:lvl>
  </w:abstractNum>
  <w:abstractNum w:abstractNumId="114">
    <w:nsid w:val="3CF93092"/>
    <w:multiLevelType w:val="hybridMultilevel"/>
    <w:lvl w:ilvl="0">
      <w:lvlJc w:val="left"/>
      <w:lvlText w:val="•"/>
      <w:numFmt w:val="bullet"/>
      <w:start w:val="1"/>
    </w:lvl>
  </w:abstractNum>
  <w:abstractNum w:abstractNumId="115">
    <w:nsid w:val="6863E8D2"/>
    <w:multiLevelType w:val="hybridMultilevel"/>
    <w:lvl w:ilvl="0">
      <w:lvlJc w:val="left"/>
      <w:lvlText w:val="•"/>
      <w:numFmt w:val="bullet"/>
      <w:start w:val="1"/>
    </w:lvl>
  </w:abstractNum>
  <w:abstractNum w:abstractNumId="116">
    <w:nsid w:val="76896198"/>
    <w:multiLevelType w:val="hybridMultilevel"/>
    <w:lvl w:ilvl="0">
      <w:lvlJc w:val="left"/>
      <w:lvlText w:val="(%1)"/>
      <w:numFmt w:val="lowerRoman"/>
      <w:start w:val="1"/>
    </w:lvl>
  </w:abstractNum>
  <w:abstractNum w:abstractNumId="117">
    <w:nsid w:val="4365174B"/>
    <w:multiLevelType w:val="hybridMultilevel"/>
    <w:lvl w:ilvl="0">
      <w:lvlJc w:val="left"/>
      <w:lvlText w:val="•"/>
      <w:numFmt w:val="bullet"/>
      <w:start w:val="1"/>
    </w:lvl>
  </w:abstractNum>
  <w:abstractNum w:abstractNumId="118">
    <w:nsid w:val="4A872C35"/>
    <w:multiLevelType w:val="hybridMultilevel"/>
    <w:lvl w:ilvl="0">
      <w:lvlJc w:val="left"/>
      <w:lvlText w:val="•"/>
      <w:numFmt w:val="bullet"/>
      <w:start w:val="1"/>
    </w:lvl>
  </w:abstractNum>
  <w:abstractNum w:abstractNumId="119">
    <w:nsid w:val="5D5CE761"/>
    <w:multiLevelType w:val="hybridMultilevel"/>
    <w:lvl w:ilvl="0">
      <w:lvlJc w:val="left"/>
      <w:lvlText w:val="•"/>
      <w:numFmt w:val="bullet"/>
      <w:start w:val="1"/>
    </w:lvl>
  </w:abstractNum>
  <w:abstractNum w:abstractNumId="120">
    <w:nsid w:val="1CD484D5"/>
    <w:multiLevelType w:val="hybridMultilevel"/>
    <w:lvl w:ilvl="0">
      <w:lvlJc w:val="left"/>
      <w:lvlText w:val="•"/>
      <w:numFmt w:val="bullet"/>
      <w:start w:val="1"/>
    </w:lvl>
  </w:abstractNum>
  <w:abstractNum w:abstractNumId="121">
    <w:nsid w:val="21D06255"/>
    <w:multiLevelType w:val="hybridMultilevel"/>
    <w:lvl w:ilvl="0">
      <w:lvlJc w:val="left"/>
      <w:lvlText w:val="•"/>
      <w:numFmt w:val="bullet"/>
      <w:start w:val="1"/>
    </w:lvl>
  </w:abstractNum>
  <w:abstractNum w:abstractNumId="122">
    <w:nsid w:val="51194ED1"/>
    <w:multiLevelType w:val="hybridMultilevel"/>
    <w:lvl w:ilvl="0">
      <w:lvlJc w:val="left"/>
      <w:lvlText w:val="(%1)"/>
      <w:numFmt w:val="lowerRoman"/>
      <w:start w:val="2"/>
    </w:lvl>
  </w:abstractNum>
  <w:abstractNum w:abstractNumId="123">
    <w:nsid w:val="44E2ED6C"/>
    <w:multiLevelType w:val="hybridMultilevel"/>
    <w:lvl w:ilvl="0">
      <w:lvlJc w:val="left"/>
      <w:lvlText w:val="(%1)"/>
      <w:numFmt w:val="lowerRoman"/>
      <w:start w:val="8"/>
    </w:lvl>
  </w:abstractNum>
  <w:abstractNum w:abstractNumId="124">
    <w:nsid w:val="2219B33"/>
    <w:multiLevelType w:val="hybridMultilevel"/>
    <w:lvl w:ilvl="0">
      <w:lvlJc w:val="left"/>
      <w:lvlText w:val="•"/>
      <w:numFmt w:val="bullet"/>
      <w:start w:val="1"/>
    </w:lvl>
  </w:abstractNum>
  <w:abstractNum w:abstractNumId="125">
    <w:nsid w:val="773BFBDD"/>
    <w:multiLevelType w:val="hybridMultilevel"/>
    <w:lvl w:ilvl="0">
      <w:lvlJc w:val="left"/>
      <w:lvlText w:val="•"/>
      <w:numFmt w:val="bullet"/>
      <w:start w:val="1"/>
    </w:lvl>
  </w:abstractNum>
  <w:abstractNum w:abstractNumId="126">
    <w:nsid w:val="2C7C62C2"/>
    <w:multiLevelType w:val="hybridMultilevel"/>
    <w:lvl w:ilvl="0">
      <w:lvlJc w:val="left"/>
      <w:lvlText w:val="%"/>
      <w:numFmt w:val="bullet"/>
      <w:start w:val="1"/>
    </w:lvl>
  </w:abstractNum>
  <w:abstractNum w:abstractNumId="127">
    <w:nsid w:val="1A54D7BC"/>
    <w:multiLevelType w:val="hybridMultilevel"/>
    <w:lvl w:ilvl="0">
      <w:lvlJc w:val="left"/>
      <w:lvlText w:val="(%1)"/>
      <w:numFmt w:val="lowerRoman"/>
      <w:start w:val="1"/>
    </w:lvl>
  </w:abstractNum>
  <w:abstractNum w:abstractNumId="128">
    <w:nsid w:val="42E57EF7"/>
    <w:multiLevelType w:val="hybridMultilevel"/>
    <w:lvl w:ilvl="0">
      <w:lvlJc w:val="left"/>
      <w:lvlText w:val="(%1)"/>
      <w:numFmt w:val="lowerRoman"/>
      <w:start w:val="1"/>
    </w:lvl>
  </w:abstractNum>
  <w:abstractNum w:abstractNumId="129">
    <w:nsid w:val="33537CED"/>
    <w:multiLevelType w:val="hybridMultilevel"/>
    <w:lvl w:ilvl="0">
      <w:lvlJc w:val="left"/>
      <w:lvlText w:val="(%1)"/>
      <w:numFmt w:val="lowerRoman"/>
      <w:start w:val="2"/>
    </w:lvl>
  </w:abstractNum>
  <w:abstractNum w:abstractNumId="130">
    <w:nsid w:val="27514ADE"/>
    <w:multiLevelType w:val="hybridMultilevel"/>
    <w:lvl w:ilvl="0">
      <w:lvlJc w:val="left"/>
      <w:lvlText w:val="(%1)"/>
      <w:numFmt w:val="lowerRoman"/>
      <w:start w:val="1"/>
    </w:lvl>
  </w:abstractNum>
  <w:abstractNum w:abstractNumId="131">
    <w:nsid w:val="57071613"/>
    <w:multiLevelType w:val="hybridMultilevel"/>
    <w:lvl w:ilvl="0">
      <w:lvlJc w:val="left"/>
      <w:lvlText w:val="(%1)"/>
      <w:numFmt w:val="lowerRoman"/>
      <w:start w:val="1"/>
    </w:lvl>
  </w:abstractNum>
  <w:abstractNum w:abstractNumId="132">
    <w:nsid w:val="5293BFEF"/>
    <w:multiLevelType w:val="hybridMultilevel"/>
    <w:lvl w:ilvl="0">
      <w:lvlJc w:val="left"/>
      <w:lvlText w:val="(%1)"/>
      <w:numFmt w:val="lowerRoman"/>
      <w:start w:val="1"/>
    </w:lvl>
  </w:abstractNum>
  <w:abstractNum w:abstractNumId="133">
    <w:nsid w:val="38BF53E5"/>
    <w:multiLevelType w:val="hybridMultilevel"/>
    <w:lvl w:ilvl="0">
      <w:lvlJc w:val="left"/>
      <w:lvlText w:val="\emdash "/>
      <w:numFmt w:val="bullet"/>
      <w:start w:val="1"/>
    </w:lvl>
  </w:abstractNum>
  <w:abstractNum w:abstractNumId="134">
    <w:nsid w:val="226F5320"/>
    <w:multiLevelType w:val="hybridMultilevel"/>
    <w:lvl w:ilvl="0">
      <w:lvlJc w:val="left"/>
      <w:lvlText w:val="\emdash "/>
      <w:numFmt w:val="bullet"/>
      <w:start w:val="1"/>
    </w:lvl>
  </w:abstractNum>
  <w:abstractNum w:abstractNumId="135">
    <w:nsid w:val="5A0201C7"/>
    <w:multiLevelType w:val="hybridMultilevel"/>
    <w:lvl w:ilvl="0">
      <w:lvlJc w:val="left"/>
      <w:lvlText w:val="1"/>
      <w:numFmt w:val="bullet"/>
      <w:start w:val="1"/>
    </w:lvl>
  </w:abstractNum>
  <w:abstractNum w:abstractNumId="136">
    <w:nsid w:val="2A9C34E2"/>
    <w:multiLevelType w:val="hybridMultilevel"/>
    <w:lvl w:ilvl="0">
      <w:lvlJc w:val="left"/>
      <w:lvlText w:val="(%1)"/>
      <w:numFmt w:val="decimal"/>
      <w:start w:val="1"/>
    </w:lvl>
  </w:abstractNum>
  <w:abstractNum w:abstractNumId="137">
    <w:nsid w:val="1B7585AB"/>
    <w:multiLevelType w:val="hybridMultilevel"/>
    <w:lvl w:ilvl="0">
      <w:lvlJc w:val="left"/>
      <w:lvlText w:val="(%1)"/>
      <w:numFmt w:val="lowerRoman"/>
      <w:start w:val="1"/>
    </w:lvl>
  </w:abstractNum>
  <w:abstractNum w:abstractNumId="138">
    <w:nsid w:val="612DBDDD"/>
    <w:multiLevelType w:val="hybridMultilevel"/>
    <w:lvl w:ilvl="0">
      <w:lvlJc w:val="left"/>
      <w:lvlText w:val="(%1)"/>
      <w:numFmt w:val="lowerRoman"/>
      <w:start w:val="2"/>
    </w:lvl>
  </w:abstractNum>
  <w:abstractNum w:abstractNumId="139">
    <w:nsid w:val="2109CDA4"/>
    <w:multiLevelType w:val="hybridMultilevel"/>
    <w:lvl w:ilvl="0">
      <w:lvlJc w:val="left"/>
      <w:lvlText w:val="(%1)"/>
      <w:numFmt w:val="lowerRoman"/>
      <w:start w:val="1"/>
    </w:lvl>
  </w:abstractNum>
  <w:abstractNum w:abstractNumId="140">
    <w:nsid w:val="577F5A4D"/>
    <w:multiLevelType w:val="hybridMultilevel"/>
    <w:lvl w:ilvl="0">
      <w:lvlJc w:val="left"/>
      <w:lvlText w:val="(%1)"/>
      <w:numFmt w:val="decimal"/>
      <w:start w:val="1"/>
    </w:lvl>
  </w:abstractNum>
  <w:abstractNum w:abstractNumId="141">
    <w:nsid w:val="2121A81"/>
    <w:multiLevelType w:val="hybridMultilevel"/>
    <w:lvl w:ilvl="0">
      <w:lvlJc w:val="left"/>
      <w:lvlText w:val="(%1)"/>
      <w:numFmt w:val="lowerRoman"/>
      <w:start w:val="1"/>
    </w:lvl>
  </w:abstractNum>
  <w:abstractNum w:abstractNumId="142">
    <w:nsid w:val="6C2CFC88"/>
    <w:multiLevelType w:val="hybridMultilevel"/>
    <w:lvl w:ilvl="0">
      <w:lvlJc w:val="left"/>
      <w:lvlText w:val="(%1)"/>
      <w:numFmt w:val="lowerRoman"/>
      <w:start w:val="3"/>
    </w:lvl>
  </w:abstractNum>
  <w:abstractNum w:abstractNumId="143">
    <w:nsid w:val="6D1BCF1C"/>
    <w:multiLevelType w:val="hybridMultilevel"/>
    <w:lvl w:ilvl="0">
      <w:lvlJc w:val="left"/>
      <w:lvlText w:val="*"/>
      <w:numFmt w:val="bullet"/>
      <w:start w:val="1"/>
    </w:lvl>
  </w:abstractNum>
  <w:abstractNum w:abstractNumId="144">
    <w:nsid w:val="4CE5CA53"/>
    <w:multiLevelType w:val="hybridMultilevel"/>
    <w:lvl w:ilvl="0">
      <w:lvlJc w:val="left"/>
      <w:lvlText w:val="•"/>
      <w:numFmt w:val="bullet"/>
      <w:start w:val="1"/>
    </w:lvl>
  </w:abstractNum>
  <w:abstractNum w:abstractNumId="145">
    <w:nsid w:val="29262D1A"/>
    <w:multiLevelType w:val="hybridMultilevel"/>
    <w:lvl w:ilvl="0">
      <w:lvlJc w:val="left"/>
      <w:lvlText w:val="•"/>
      <w:numFmt w:val="bullet"/>
      <w:start w:val="1"/>
    </w:lvl>
  </w:abstractNum>
  <w:abstractNum w:abstractNumId="146">
    <w:nsid w:val="557FB7EE"/>
    <w:multiLevelType w:val="hybridMultilevel"/>
    <w:lvl w:ilvl="0">
      <w:lvlJc w:val="left"/>
      <w:lvlText w:val="(%1)"/>
      <w:numFmt w:val="lowerLetter"/>
      <w:start w:val="1"/>
    </w:lvl>
  </w:abstractNum>
  <w:abstractNum w:abstractNumId="147">
    <w:nsid w:val="436F2BEB"/>
    <w:multiLevelType w:val="hybridMultilevel"/>
    <w:lvl w:ilvl="0">
      <w:lvlJc w:val="left"/>
      <w:lvlText w:val="*"/>
      <w:numFmt w:val="bullet"/>
      <w:start w:val="1"/>
    </w:lvl>
  </w:abstractNum>
  <w:abstractNum w:abstractNumId="148">
    <w:nsid w:val="6C8B4466"/>
    <w:multiLevelType w:val="hybridMultilevel"/>
    <w:lvl w:ilvl="0">
      <w:lvlJc w:val="left"/>
      <w:lvlText w:val="#"/>
      <w:numFmt w:val="bullet"/>
      <w:start w:val="1"/>
    </w:lvl>
  </w:abstractNum>
  <w:abstractNum w:abstractNumId="149">
    <w:nsid w:val="2006E424"/>
    <w:multiLevelType w:val="hybridMultilevel"/>
    <w:lvl w:ilvl="0">
      <w:lvlJc w:val="left"/>
      <w:lvlText w:val="†"/>
      <w:numFmt w:val="bullet"/>
      <w:start w:val="1"/>
    </w:lvl>
  </w:abstractNum>
  <w:abstractNum w:abstractNumId="150">
    <w:nsid w:val="20CC134C"/>
    <w:multiLevelType w:val="hybridMultilevel"/>
    <w:lvl w:ilvl="0">
      <w:lvlJc w:val="left"/>
      <w:lvlText w:val="††"/>
      <w:numFmt w:val="bullet"/>
      <w:start w:val="1"/>
    </w:lvl>
  </w:abstractNum>
  <w:abstractNum w:abstractNumId="151">
    <w:nsid w:val="95FC93B"/>
    <w:multiLevelType w:val="hybridMultilevel"/>
    <w:lvl w:ilvl="0">
      <w:lvlJc w:val="left"/>
      <w:lvlText w:val="(%1)"/>
      <w:numFmt w:val="lowerLetter"/>
      <w:start w:val="2"/>
    </w:lvl>
  </w:abstractNum>
  <w:abstractNum w:abstractNumId="152">
    <w:nsid w:val="41D74679"/>
    <w:multiLevelType w:val="hybridMultilevel"/>
    <w:lvl w:ilvl="0">
      <w:lvlJc w:val="left"/>
      <w:lvlText w:val="(%1)"/>
      <w:numFmt w:val="lowerRoman"/>
      <w:start w:val="1"/>
    </w:lvl>
  </w:abstractNum>
  <w:abstractNum w:abstractNumId="153">
    <w:nsid w:val="71E5621E"/>
    <w:multiLevelType w:val="hybridMultilevel"/>
    <w:lvl w:ilvl="0">
      <w:lvlJc w:val="left"/>
      <w:lvlText w:val="%1."/>
      <w:numFmt w:val="decimal"/>
      <w:start w:val="1"/>
    </w:lvl>
  </w:abstractNum>
  <w:abstractNum w:abstractNumId="154">
    <w:nsid w:val="4E42B6A8"/>
    <w:multiLevelType w:val="hybridMultilevel"/>
    <w:lvl w:ilvl="0">
      <w:lvlJc w:val="left"/>
      <w:lvlText w:val="%1"/>
      <w:numFmt w:val="upperLetter"/>
      <w:start w:val="1"/>
    </w:lvl>
    <w:lvl w:ilvl="1">
      <w:lvlJc w:val="left"/>
      <w:lvlText w:val="%2."/>
      <w:numFmt w:val="decimal"/>
      <w:start w:val="1"/>
    </w:lvl>
  </w:abstractNum>
  <w:abstractNum w:abstractNumId="155">
    <w:nsid w:val="43F8E1AC"/>
    <w:multiLevelType w:val="hybridMultilevel"/>
    <w:lvl w:ilvl="0">
      <w:lvlJc w:val="left"/>
      <w:lvlText w:val="%1."/>
      <w:numFmt w:val="upperLetter"/>
      <w:start w:val="2"/>
    </w:lvl>
    <w:lvl w:ilvl="1">
      <w:lvlJc w:val="left"/>
      <w:lvlText w:val="%2"/>
      <w:numFmt w:val="decimal"/>
      <w:start w:val="1"/>
    </w:lvl>
  </w:abstractNum>
  <w:abstractNum w:abstractNumId="156">
    <w:nsid w:val="69215DFB"/>
    <w:multiLevelType w:val="hybridMultilevel"/>
    <w:lvl w:ilvl="0">
      <w:lvlJc w:val="left"/>
      <w:lvlText w:val="%1."/>
      <w:numFmt w:val="decimal"/>
      <w:start w:val="1"/>
    </w:lvl>
  </w:abstractNum>
  <w:abstractNum w:abstractNumId="157">
    <w:nsid w:val="7ABF196A"/>
    <w:multiLevelType w:val="hybridMultilevel"/>
    <w:lvl w:ilvl="0">
      <w:lvlJc w:val="left"/>
      <w:lvlText w:val="%1."/>
      <w:numFmt w:val="decimal"/>
      <w:start w:val="2"/>
    </w:lvl>
  </w:abstractNum>
  <w:abstractNum w:abstractNumId="158">
    <w:nsid w:val="5E4DB96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59">
    <w:nsid w:val="2C06DCF3"/>
    <w:multiLevelType w:val="hybridMultilevel"/>
    <w:lvl w:ilvl="0">
      <w:lvlJc w:val="left"/>
      <w:lvlText w:val="(%1)"/>
      <w:numFmt w:val="lowerLetter"/>
      <w:start w:val="2"/>
    </w:lvl>
  </w:abstractNum>
  <w:abstractNum w:abstractNumId="160">
    <w:nsid w:val="2E129658"/>
    <w:multiLevelType w:val="hybridMultilevel"/>
    <w:lvl w:ilvl="0">
      <w:lvlJc w:val="left"/>
      <w:lvlText w:val="(%1)"/>
      <w:numFmt w:val="lowerLetter"/>
      <w:start w:val="1"/>
    </w:lvl>
  </w:abstractNum>
  <w:abstractNum w:abstractNumId="161">
    <w:nsid w:val="59F0446"/>
    <w:multiLevelType w:val="hybridMultilevel"/>
    <w:lvl w:ilvl="0">
      <w:lvlJc w:val="left"/>
      <w:lvlText w:val="(%1)"/>
      <w:numFmt w:val="lowerLetter"/>
      <w:start w:val="2"/>
    </w:lvl>
  </w:abstractNum>
  <w:abstractNum w:abstractNumId="162">
    <w:nsid w:val="30DF306"/>
    <w:multiLevelType w:val="hybridMultilevel"/>
    <w:lvl w:ilvl="0">
      <w:lvlJc w:val="left"/>
      <w:lvlText w:val="%1."/>
      <w:numFmt w:val="decimal"/>
      <w:start w:val="3"/>
    </w:lvl>
  </w:abstractNum>
  <w:abstractNum w:abstractNumId="163">
    <w:nsid w:val="A65647"/>
    <w:multiLevelType w:val="hybridMultilevel"/>
    <w:lvl w:ilvl="0">
      <w:lvlJc w:val="left"/>
      <w:lvlText w:val="(%1)"/>
      <w:numFmt w:val="lowerRoman"/>
      <w:start w:val="3"/>
    </w:lvl>
  </w:abstractNum>
  <w:abstractNum w:abstractNumId="164">
    <w:nsid w:val="3E5E582B"/>
    <w:multiLevelType w:val="hybridMultilevel"/>
    <w:lvl w:ilvl="0">
      <w:lvlJc w:val="left"/>
      <w:lvlText w:val="%1."/>
      <w:numFmt w:val="decimal"/>
      <w:start w:val="4"/>
    </w:lvl>
  </w:abstractNum>
  <w:abstractNum w:abstractNumId="165">
    <w:nsid w:val="257D462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6">
    <w:nsid w:val="5AA858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7">
    <w:nsid w:val="68FA8D0D"/>
    <w:multiLevelType w:val="hybridMultilevel"/>
    <w:lvl w:ilvl="0">
      <w:lvlJc w:val="left"/>
      <w:lvlText w:val="(%1)"/>
      <w:numFmt w:val="lowerRoman"/>
      <w:start w:val="5"/>
    </w:lvl>
  </w:abstractNum>
  <w:abstractNum w:abstractNumId="168">
    <w:nsid w:val="40F2CBD2"/>
    <w:multiLevelType w:val="hybridMultilevel"/>
    <w:lvl w:ilvl="0">
      <w:lvlJc w:val="left"/>
      <w:lvlText w:val="(%1)"/>
      <w:numFmt w:val="lowerRoman"/>
      <w:start w:val="10"/>
    </w:lvl>
  </w:abstractNum>
  <w:abstractNum w:abstractNumId="169">
    <w:nsid w:val="3BD615EB"/>
    <w:multiLevelType w:val="hybridMultilevel"/>
    <w:lvl w:ilvl="0">
      <w:lvlJc w:val="left"/>
      <w:lvlText w:val="(%1)"/>
      <w:numFmt w:val="lowerLetter"/>
      <w:start w:val="1"/>
    </w:lvl>
  </w:abstractNum>
  <w:abstractNum w:abstractNumId="170">
    <w:nsid w:val="A045AB2"/>
    <w:multiLevelType w:val="hybridMultilevel"/>
    <w:lvl w:ilvl="0">
      <w:lvlJc w:val="left"/>
      <w:lvlText w:val="(%1)"/>
      <w:numFmt w:val="lowerLetter"/>
      <w:start w:val="3"/>
    </w:lvl>
  </w:abstractNum>
  <w:abstractNum w:abstractNumId="171">
    <w:nsid w:val="1872261F"/>
    <w:multiLevelType w:val="hybridMultilevel"/>
    <w:lvl w:ilvl="0">
      <w:lvlJc w:val="left"/>
      <w:lvlText w:val="(%1)"/>
      <w:numFmt w:val="lowerLetter"/>
      <w:start w:val="1"/>
    </w:lvl>
  </w:abstractNum>
  <w:abstractNum w:abstractNumId="172">
    <w:nsid w:val="3DE8306C"/>
    <w:multiLevelType w:val="hybridMultilevel"/>
    <w:lvl w:ilvl="0">
      <w:lvlJc w:val="left"/>
      <w:lvlText w:val="(%1)"/>
      <w:numFmt w:val="lowerLetter"/>
      <w:start w:val="1"/>
    </w:lvl>
    <w:lvl w:ilvl="1">
      <w:lvlJc w:val="left"/>
      <w:lvlText w:val="(%2)"/>
      <w:numFmt w:val="lowerRoman"/>
      <w:start w:val="1"/>
    </w:lvl>
  </w:abstractNum>
  <w:abstractNum w:abstractNumId="173">
    <w:nsid w:val="7631573A"/>
    <w:multiLevelType w:val="hybridMultilevel"/>
    <w:lvl w:ilvl="0">
      <w:lvlJc w:val="left"/>
      <w:lvlText w:val="%1"/>
      <w:numFmt w:val="lowerLetter"/>
      <w:start w:val="1"/>
    </w:lvl>
    <w:lvl w:ilvl="1">
      <w:lvlJc w:val="left"/>
      <w:lvlText w:val="(%2)"/>
      <w:numFmt w:val="lowerRoman"/>
      <w:start w:val="2"/>
    </w:lvl>
  </w:abstractNum>
  <w:abstractNum w:abstractNumId="174">
    <w:nsid w:val="58DF53B"/>
    <w:multiLevelType w:val="hybridMultilevel"/>
    <w:lvl w:ilvl="0">
      <w:lvlJc w:val="left"/>
      <w:lvlText w:val="(%1)"/>
      <w:numFmt w:val="lowerLetter"/>
      <w:start w:val="2"/>
    </w:lvl>
    <w:lvl w:ilvl="1">
      <w:lvlJc w:val="left"/>
      <w:lvlText w:val="(%2)"/>
      <w:numFmt w:val="lowerRoman"/>
      <w:start w:val="1"/>
    </w:lvl>
  </w:abstractNum>
  <w:abstractNum w:abstractNumId="175">
    <w:nsid w:val="ACDFAC0"/>
    <w:multiLevelType w:val="hybridMultilevel"/>
    <w:lvl w:ilvl="0">
      <w:lvlJc w:val="left"/>
      <w:lvlText w:val="(%1)"/>
      <w:numFmt w:val="decimal"/>
      <w:start w:val="1"/>
    </w:lvl>
  </w:abstractNum>
  <w:abstractNum w:abstractNumId="176">
    <w:nsid w:val="1F578454"/>
    <w:multiLevelType w:val="hybridMultilevel"/>
    <w:lvl w:ilvl="0">
      <w:lvlJc w:val="left"/>
      <w:lvlText w:val="(%1)"/>
      <w:numFmt w:val="lowerLetter"/>
      <w:start w:val="2"/>
    </w:lvl>
  </w:abstractNum>
  <w:abstractNum w:abstractNumId="177">
    <w:nsid w:val="5B0DAD2A"/>
    <w:multiLevelType w:val="hybridMultilevel"/>
    <w:lvl w:ilvl="0">
      <w:lvlJc w:val="left"/>
      <w:lvlText w:val="(%1)"/>
      <w:numFmt w:val="lowerLetter"/>
      <w:start w:val="1"/>
    </w:lvl>
  </w:abstractNum>
  <w:abstractNum w:abstractNumId="178">
    <w:nsid w:val="4E3D26AB"/>
    <w:multiLevelType w:val="hybridMultilevel"/>
    <w:lvl w:ilvl="0">
      <w:lvlJc w:val="left"/>
      <w:lvlText w:val="(%1)"/>
      <w:numFmt w:val="lowerRoman"/>
      <w:start w:val="1"/>
    </w:lvl>
  </w:abstractNum>
  <w:abstractNum w:abstractNumId="179">
    <w:nsid w:val="BE2C8BA"/>
    <w:multiLevelType w:val="hybridMultilevel"/>
    <w:lvl w:ilvl="0">
      <w:lvlJc w:val="left"/>
      <w:lvlText w:val="%1."/>
      <w:numFmt w:val="decimal"/>
      <w:start w:val="5"/>
    </w:lvl>
  </w:abstractNum>
  <w:abstractNum w:abstractNumId="180">
    <w:nsid w:val="7B14914E"/>
    <w:multiLevelType w:val="hybridMultilevel"/>
    <w:lvl w:ilvl="0">
      <w:lvlJc w:val="left"/>
      <w:lvlText w:val="%1."/>
      <w:numFmt w:val="decimal"/>
      <w:start w:val="6"/>
    </w:lvl>
  </w:abstractNum>
  <w:abstractNum w:abstractNumId="181">
    <w:nsid w:val="6F0939F8"/>
    <w:multiLevelType w:val="hybridMultilevel"/>
    <w:lvl w:ilvl="0">
      <w:lvlJc w:val="left"/>
      <w:lvlText w:val="(%1)"/>
      <w:numFmt w:val="lowerRoman"/>
      <w:start w:val="4"/>
    </w:lvl>
    <w:lvl w:ilvl="1">
      <w:lvlJc w:val="left"/>
      <w:lvlText w:val="%2."/>
      <w:numFmt w:val="decimal"/>
      <w:start w:val="3"/>
    </w:lvl>
    <w:lvl w:ilvl="2">
      <w:lvlJc w:val="left"/>
      <w:lvlText w:val="*"/>
      <w:numFmt w:val="bullet"/>
      <w:start w:val="1"/>
    </w:lvl>
  </w:abstractNum>
  <w:abstractNum w:abstractNumId="182">
    <w:nsid w:val="154291F6"/>
    <w:multiLevelType w:val="hybridMultilevel"/>
    <w:lvl w:ilvl="0">
      <w:lvlJc w:val="left"/>
      <w:lvlText w:val="%1."/>
      <w:numFmt w:val="decimal"/>
      <w:start w:val="1"/>
    </w:lvl>
  </w:abstractNum>
  <w:abstractNum w:abstractNumId="183">
    <w:nsid w:val="3CEBD7C7"/>
    <w:multiLevelType w:val="hybridMultilevel"/>
    <w:lvl w:ilvl="0">
      <w:lvlJc w:val="left"/>
      <w:lvlText w:val="(%1)"/>
      <w:numFmt w:val="lowerLetter"/>
      <w:start w:val="1"/>
    </w:lvl>
  </w:abstractNum>
  <w:abstractNum w:abstractNumId="184">
    <w:nsid w:val="60EE9C16"/>
    <w:multiLevelType w:val="hybridMultilevel"/>
    <w:lvl w:ilvl="0">
      <w:lvlJc w:val="left"/>
      <w:lvlText w:val="%1."/>
      <w:numFmt w:val="decimal"/>
      <w:start w:val="1"/>
    </w:lvl>
  </w:abstractNum>
  <w:abstractNum w:abstractNumId="185">
    <w:nsid w:val="6385489E"/>
    <w:multiLevelType w:val="hybridMultilevel"/>
    <w:lvl w:ilvl="0">
      <w:lvlJc w:val="left"/>
      <w:lvlText w:val="%1."/>
      <w:numFmt w:val="decimal"/>
      <w:start w:val="1"/>
    </w:lvl>
  </w:abstractNum>
  <w:abstractNum w:abstractNumId="186">
    <w:nsid w:val="E4B973"/>
    <w:multiLevelType w:val="hybridMultilevel"/>
    <w:lvl w:ilvl="0">
      <w:lvlJc w:val="left"/>
      <w:lvlText w:val="%1."/>
      <w:numFmt w:val="decimal"/>
      <w:start w:val="4"/>
    </w:lvl>
  </w:abstractNum>
  <w:abstractNum w:abstractNumId="187">
    <w:nsid w:val="4A0FFA11"/>
    <w:multiLevelType w:val="hybridMultilevel"/>
    <w:lvl w:ilvl="0">
      <w:lvlJc w:val="left"/>
      <w:lvlText w:val="%1."/>
      <w:numFmt w:val="decimal"/>
      <w:start w:val="1"/>
    </w:lvl>
  </w:abstractNum>
  <w:abstractNum w:abstractNumId="188">
    <w:nsid w:val="5E446208"/>
    <w:multiLevelType w:val="hybridMultilevel"/>
    <w:lvl w:ilvl="0">
      <w:lvlJc w:val="left"/>
      <w:lvlText w:val="%1."/>
      <w:numFmt w:val="decimal"/>
      <w:start w:val="1"/>
    </w:lvl>
    <w:lvl w:ilvl="1">
      <w:lvlJc w:val="left"/>
      <w:lvlText w:val="(%2)"/>
      <w:numFmt w:val="lowerLetter"/>
      <w:start w:val="1"/>
    </w:lvl>
  </w:abstractNum>
  <w:abstractNum w:abstractNumId="189">
    <w:nsid w:val="5F3272DB"/>
    <w:multiLevelType w:val="hybridMultilevel"/>
    <w:lvl w:ilvl="0">
      <w:lvlJc w:val="left"/>
      <w:lvlText w:val="(%1)"/>
      <w:numFmt w:val="lowerLetter"/>
      <w:start w:val="4"/>
    </w:lvl>
  </w:abstractNum>
  <w:abstractNum w:abstractNumId="190">
    <w:nsid w:val="7616D70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9"/>
    </w:lvl>
  </w:abstractNum>
  <w:abstractNum w:abstractNumId="191">
    <w:nsid w:val="C56F86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92">
    <w:nsid w:val="64D17722"/>
    <w:multiLevelType w:val="hybridMultilevel"/>
    <w:lvl w:ilvl="0">
      <w:lvlJc w:val="left"/>
      <w:lvlText w:val="(%1)"/>
      <w:numFmt w:val="lowerLetter"/>
      <w:start w:val="2"/>
    </w:lvl>
  </w:abstractNum>
  <w:abstractNum w:abstractNumId="193">
    <w:nsid w:val="7924CA0A"/>
    <w:multiLevelType w:val="hybridMultilevel"/>
    <w:lvl w:ilvl="0">
      <w:lvlJc w:val="left"/>
      <w:lvlText w:val="(%1)"/>
      <w:numFmt w:val="lowerLetter"/>
      <w:start w:val="9"/>
    </w:lvl>
  </w:abstractNum>
  <w:abstractNum w:abstractNumId="194">
    <w:nsid w:val="CFD4EA7"/>
    <w:multiLevelType w:val="hybridMultilevel"/>
    <w:lvl w:ilvl="0">
      <w:lvlJc w:val="left"/>
      <w:lvlText w:val="%1."/>
      <w:numFmt w:val="decimal"/>
      <w:start w:val="3"/>
    </w:lvl>
    <w:lvl w:ilvl="1">
      <w:lvlJc w:val="left"/>
      <w:lvlText w:val="(%2)"/>
      <w:numFmt w:val="lowerLetter"/>
      <w:start w:val="1"/>
    </w:lvl>
  </w:abstractNum>
  <w:abstractNum w:abstractNumId="195">
    <w:nsid w:val="232FCF4D"/>
    <w:multiLevelType w:val="hybridMultilevel"/>
    <w:lvl w:ilvl="0">
      <w:lvlJc w:val="left"/>
      <w:lvlText w:val="(%1)"/>
      <w:numFmt w:val="lowerLetter"/>
      <w:start w:val="2"/>
    </w:lvl>
  </w:abstractNum>
  <w:abstractNum w:abstractNumId="196">
    <w:nsid w:val="1EA21031"/>
    <w:multiLevelType w:val="hybridMultilevel"/>
    <w:lvl w:ilvl="0">
      <w:lvlJc w:val="left"/>
      <w:lvlText w:val="(%1)"/>
      <w:numFmt w:val="lowerLetter"/>
      <w:start w:val="8"/>
    </w:lvl>
  </w:abstractNum>
  <w:abstractNum w:abstractNumId="197">
    <w:nsid w:val="67A5A6B5"/>
    <w:multiLevelType w:val="hybridMultilevel"/>
    <w:lvl w:ilvl="0">
      <w:lvlJc w:val="left"/>
      <w:lvlText w:val="(%1)"/>
      <w:numFmt w:val="lowerLetter"/>
      <w:start w:val="10"/>
    </w:lvl>
  </w:abstractNum>
  <w:abstractNum w:abstractNumId="198">
    <w:nsid w:val="C2A5C5B"/>
    <w:multiLevelType w:val="hybridMultilevel"/>
    <w:lvl w:ilvl="0">
      <w:lvlJc w:val="left"/>
      <w:lvlText w:val="(%1)"/>
      <w:numFmt w:val="lowerLetter"/>
      <w:start w:val="12"/>
    </w:lvl>
  </w:abstractNum>
  <w:abstractNum w:abstractNumId="199">
    <w:nsid w:val="5F94DC03"/>
    <w:multiLevelType w:val="hybridMultilevel"/>
    <w:lvl w:ilvl="0">
      <w:lvlJc w:val="left"/>
      <w:lvlText w:val="%1"/>
      <w:numFmt w:val="decimal"/>
      <w:start w:val="1"/>
    </w:lvl>
    <w:lvl w:ilvl="1">
      <w:lvlJc w:val="left"/>
      <w:lvlText w:val="(%2)"/>
      <w:numFmt w:val="lowerLetter"/>
      <w:start w:val="13"/>
    </w:lvl>
  </w:abstractNum>
  <w:abstractNum w:abstractNumId="200">
    <w:nsid w:val="237BBCA0"/>
    <w:multiLevelType w:val="hybridMultilevel"/>
    <w:lvl w:ilvl="0">
      <w:lvlJc w:val="left"/>
      <w:lvlText w:val="%1."/>
      <w:numFmt w:val="decimal"/>
      <w:start w:val="4"/>
    </w:lvl>
    <w:lvl w:ilvl="1">
      <w:lvlJc w:val="left"/>
      <w:lvlText w:val="(%2)"/>
      <w:numFmt w:val="lowerLetter"/>
      <w:start w:val="1"/>
    </w:lvl>
  </w:abstractNum>
  <w:abstractNum w:abstractNumId="201">
    <w:nsid w:val="162EB70D"/>
    <w:multiLevelType w:val="hybridMultilevel"/>
    <w:lvl w:ilvl="0">
      <w:lvlJc w:val="left"/>
      <w:lvlText w:val="(%1)"/>
      <w:numFmt w:val="lowerLetter"/>
      <w:start w:val="2"/>
    </w:lvl>
  </w:abstractNum>
  <w:abstractNum w:abstractNumId="202">
    <w:nsid w:val="78070222"/>
    <w:multiLevelType w:val="hybridMultilevel"/>
    <w:lvl w:ilvl="0">
      <w:lvlJc w:val="left"/>
      <w:lvlText w:val="(%1)"/>
      <w:numFmt w:val="lowerLetter"/>
      <w:start w:val="4"/>
    </w:lvl>
  </w:abstractNum>
  <w:abstractNum w:abstractNumId="203">
    <w:nsid w:val="6163ED0D"/>
    <w:multiLevelType w:val="hybridMultilevel"/>
    <w:lvl w:ilvl="0">
      <w:lvlJc w:val="left"/>
      <w:lvlText w:val="(%1)"/>
      <w:numFmt w:val="lowerLetter"/>
      <w:start w:val="5"/>
    </w:lvl>
  </w:abstractNum>
  <w:abstractNum w:abstractNumId="204">
    <w:nsid w:val="C600E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5">
    <w:nsid w:val="7D94F75D"/>
    <w:multiLevelType w:val="hybridMultilevel"/>
    <w:lvl w:ilvl="0">
      <w:lvlJc w:val="left"/>
      <w:lvlText w:val="%1"/>
      <w:numFmt w:val="lowerLetter"/>
      <w:start w:val="1"/>
    </w:lvl>
    <w:lvl w:ilvl="1">
      <w:lvlJc w:val="left"/>
      <w:lvlText w:val="(%2)"/>
      <w:numFmt w:val="lowerRoman"/>
      <w:start w:val="7"/>
    </w:lvl>
  </w:abstractNum>
  <w:abstractNum w:abstractNumId="206">
    <w:nsid w:val="6C31E7CD"/>
    <w:multiLevelType w:val="hybridMultilevel"/>
    <w:lvl w:ilvl="0">
      <w:lvlJc w:val="left"/>
      <w:lvlText w:val="(%1)"/>
      <w:numFmt w:val="lowerLetter"/>
      <w:start w:val="2"/>
    </w:lvl>
    <w:lvl w:ilvl="1">
      <w:lvlJc w:val="left"/>
      <w:lvlText w:val="(%2)"/>
      <w:numFmt w:val="lowerRoman"/>
      <w:start w:val="1"/>
    </w:lvl>
  </w:abstractNum>
  <w:abstractNum w:abstractNumId="207">
    <w:nsid w:val="2BB7929B"/>
    <w:multiLevelType w:val="hybridMultilevel"/>
    <w:lvl w:ilvl="0">
      <w:lvlJc w:val="left"/>
      <w:lvlText w:val="%1"/>
      <w:numFmt w:val="lowerLetter"/>
      <w:start w:val="1"/>
    </w:lvl>
    <w:lvl w:ilvl="1">
      <w:lvlJc w:val="left"/>
      <w:lvlText w:val="(%2)"/>
      <w:numFmt w:val="lowerRoman"/>
      <w:start w:val="3"/>
    </w:lvl>
  </w:abstractNum>
  <w:abstractNum w:abstractNumId="208">
    <w:nsid w:val="58A2A487"/>
    <w:multiLevelType w:val="hybridMultilevel"/>
    <w:lvl w:ilvl="0">
      <w:lvlJc w:val="left"/>
      <w:lvlText w:val="(%1)"/>
      <w:numFmt w:val="lowerLetter"/>
      <w:start w:val="3"/>
    </w:lvl>
    <w:lvl w:ilvl="1">
      <w:lvlJc w:val="left"/>
      <w:lvlText w:val="%2"/>
      <w:numFmt w:val="lowerRoman"/>
      <w:start w:val="1"/>
    </w:lvl>
  </w:abstractNum>
  <w:abstractNum w:abstractNumId="209">
    <w:nsid w:val="3A6F0E78"/>
    <w:multiLevelType w:val="hybridMultilevel"/>
    <w:lvl w:ilvl="0">
      <w:lvlJc w:val="left"/>
      <w:lvlText w:val="(%1)"/>
      <w:numFmt w:val="lowerLetter"/>
      <w:start w:val="5"/>
    </w:lvl>
    <w:lvl w:ilvl="1">
      <w:lvlJc w:val="left"/>
      <w:lvlText w:val="(%2)"/>
      <w:numFmt w:val="lowerRoman"/>
      <w:start w:val="1"/>
    </w:lvl>
  </w:abstractNum>
  <w:abstractNum w:abstractNumId="210">
    <w:nsid w:val="379A5B56"/>
    <w:multiLevelType w:val="hybridMultilevel"/>
    <w:lvl w:ilvl="0">
      <w:lvlJc w:val="left"/>
      <w:lvlText w:val="(%1)"/>
      <w:numFmt w:val="lowerLetter"/>
      <w:start w:val="6"/>
    </w:lvl>
    <w:lvl w:ilvl="1">
      <w:lvlJc w:val="left"/>
      <w:lvlText w:val="(%2)"/>
      <w:numFmt w:val="lowerRoman"/>
      <w:start w:val="1"/>
    </w:lvl>
  </w:abstractNum>
  <w:abstractNum w:abstractNumId="211">
    <w:nsid w:val="53B735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12">
    <w:nsid w:val="2978487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13">
    <w:nsid w:val="4CDCED4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14">
    <w:nsid w:val="10A30D9C"/>
    <w:multiLevelType w:val="hybridMultilevel"/>
    <w:lvl w:ilvl="0">
      <w:lvlJc w:val="left"/>
      <w:lvlText w:val="(%1)"/>
      <w:numFmt w:val="lowerLetter"/>
      <w:start w:val="4"/>
    </w:lvl>
  </w:abstractNum>
  <w:abstractNum w:abstractNumId="215">
    <w:nsid w:val="A66E486"/>
    <w:multiLevelType w:val="hybridMultilevel"/>
    <w:lvl w:ilvl="0">
      <w:lvlJc w:val="left"/>
      <w:lvlText w:val="(%1)"/>
      <w:numFmt w:val="lowerLetter"/>
      <w:start w:val="1"/>
    </w:lvl>
    <w:lvl w:ilvl="1">
      <w:lvlJc w:val="left"/>
      <w:lvlText w:val="(%2)"/>
      <w:numFmt w:val="decimal"/>
      <w:start w:val="1"/>
    </w:lvl>
  </w:abstractNum>
  <w:abstractNum w:abstractNumId="216">
    <w:nsid w:val="306235EA"/>
    <w:multiLevelType w:val="hybridMultilevel"/>
    <w:lvl w:ilvl="0">
      <w:lvlJc w:val="left"/>
      <w:lvlText w:val="(%1)"/>
      <w:numFmt w:val="decimal"/>
      <w:start w:val="2"/>
    </w:lvl>
    <w:lvl w:ilvl="1">
      <w:lvlJc w:val="left"/>
      <w:lvlText w:val="(%2)"/>
      <w:numFmt w:val="upperLetter"/>
      <w:start w:val="1"/>
    </w:lvl>
  </w:abstractNum>
  <w:abstractNum w:abstractNumId="217">
    <w:nsid w:val="1187C70F"/>
    <w:multiLevelType w:val="hybridMultilevel"/>
    <w:lvl w:ilvl="0">
      <w:lvlJc w:val="left"/>
      <w:lvlText w:val="(%1)"/>
      <w:numFmt w:val="upperLetter"/>
      <w:start w:val="2"/>
    </w:lvl>
  </w:abstractNum>
  <w:abstractNum w:abstractNumId="218">
    <w:nsid w:val="5476DE98"/>
    <w:multiLevelType w:val="hybridMultilevel"/>
    <w:lvl w:ilvl="0">
      <w:lvlJc w:val="left"/>
      <w:lvlText w:val="(%1)"/>
      <w:numFmt w:val="upperLetter"/>
      <w:start w:val="4"/>
    </w:lvl>
  </w:abstractNum>
  <w:abstractNum w:abstractNumId="219">
    <w:nsid w:val="EA697F2"/>
    <w:multiLevelType w:val="hybridMultilevel"/>
    <w:lvl w:ilvl="0">
      <w:lvlJc w:val="left"/>
      <w:lvlText w:val="%1"/>
      <w:numFmt w:val="lowerLetter"/>
      <w:start w:val="1"/>
    </w:lvl>
    <w:lvl w:ilvl="1">
      <w:lvlJc w:val="left"/>
      <w:lvlText w:val="(%2)"/>
      <w:numFmt w:val="decimal"/>
      <w:start w:val="3"/>
    </w:lvl>
  </w:abstractNum>
  <w:abstractNum w:abstractNumId="220">
    <w:nsid w:val="70BA39EB"/>
    <w:multiLevelType w:val="hybridMultilevel"/>
    <w:lvl w:ilvl="0">
      <w:lvlJc w:val="left"/>
      <w:lvlText w:val="(%1)"/>
      <w:numFmt w:val="lowerLetter"/>
      <w:start w:val="2"/>
    </w:lvl>
    <w:lvl w:ilvl="1">
      <w:lvlJc w:val="left"/>
      <w:lvlText w:val="(%2)"/>
      <w:numFmt w:val="decimal"/>
      <w:start w:val="1"/>
    </w:lvl>
  </w:abstractNum>
  <w:abstractNum w:abstractNumId="221">
    <w:nsid w:val="4A8DB59C"/>
    <w:multiLevelType w:val="hybridMultilevel"/>
    <w:lvl w:ilvl="0">
      <w:lvlJc w:val="left"/>
      <w:lvlText w:val="(%1)"/>
      <w:numFmt w:val="decimal"/>
      <w:start w:val="2"/>
    </w:lvl>
  </w:abstractNum>
  <w:abstractNum w:abstractNumId="222">
    <w:nsid w:val="1AFD9053"/>
    <w:multiLevelType w:val="hybridMultilevel"/>
    <w:lvl w:ilvl="0">
      <w:lvlJc w:val="left"/>
      <w:lvlText w:val="%1"/>
      <w:numFmt w:val="lowerLetter"/>
      <w:start w:val="1"/>
    </w:lvl>
    <w:lvl w:ilvl="1">
      <w:lvlJc w:val="left"/>
      <w:lvlText w:val="(%2)"/>
      <w:numFmt w:val="lowerLetter"/>
      <w:start w:val="1"/>
    </w:lvl>
  </w:abstractNum>
  <w:abstractNum w:abstractNumId="223">
    <w:nsid w:val="558BB10D"/>
    <w:multiLevelType w:val="hybridMultilevel"/>
    <w:lvl w:ilvl="0">
      <w:lvlJc w:val="left"/>
      <w:lvlText w:val="(%1)"/>
      <w:numFmt w:val="lowerLetter"/>
      <w:start w:val="35"/>
    </w:lvl>
    <w:lvl w:ilvl="1">
      <w:lvlJc w:val="left"/>
      <w:lvlText w:val="%2"/>
      <w:numFmt w:val="lowerLetter"/>
      <w:start w:val="1"/>
    </w:lvl>
  </w:abstractNum>
  <w:abstractNum w:abstractNumId="224">
    <w:nsid w:val="43B27FA7"/>
    <w:multiLevelType w:val="hybridMultilevel"/>
    <w:lvl w:ilvl="0">
      <w:lvlJc w:val="left"/>
      <w:lvlText w:val="(%1)"/>
      <w:numFmt w:val="lowerLetter"/>
      <w:start w:val="1"/>
    </w:lvl>
  </w:abstractNum>
  <w:abstractNum w:abstractNumId="225">
    <w:nsid w:val="27FADEFA"/>
    <w:multiLevelType w:val="hybridMultilevel"/>
    <w:lvl w:ilvl="0">
      <w:lvlJc w:val="left"/>
      <w:lvlText w:val="(%1)"/>
      <w:numFmt w:val="lowerLetter"/>
      <w:start w:val="1"/>
    </w:lvl>
    <w:lvl w:ilvl="1">
      <w:lvlJc w:val="left"/>
      <w:lvlText w:val="(%2)"/>
      <w:numFmt w:val="decimal"/>
      <w:start w:val="1"/>
    </w:lvl>
  </w:abstractNum>
  <w:abstractNum w:abstractNumId="226">
    <w:nsid w:val="78BB805A"/>
    <w:multiLevelType w:val="hybridMultilevel"/>
    <w:lvl w:ilvl="0">
      <w:lvlJc w:val="left"/>
      <w:lvlText w:val="(%1)"/>
      <w:numFmt w:val="decimal"/>
      <w:start w:val="4"/>
    </w:lvl>
  </w:abstractNum>
  <w:abstractNum w:abstractNumId="227">
    <w:nsid w:val="62548FD8"/>
    <w:multiLevelType w:val="hybridMultilevel"/>
    <w:lvl w:ilvl="0">
      <w:lvlJc w:val="left"/>
      <w:lvlText w:val="(%1)"/>
      <w:numFmt w:val="lowerLetter"/>
      <w:start w:val="1"/>
    </w:lvl>
  </w:abstractNum>
  <w:abstractNum w:abstractNumId="228">
    <w:nsid w:val="FA085B0"/>
    <w:multiLevelType w:val="hybridMultilevel"/>
    <w:lvl w:ilvl="0">
      <w:lvlJc w:val="left"/>
      <w:lvlText w:val="(%1)"/>
      <w:numFmt w:val="lowerLetter"/>
      <w:start w:val="2"/>
    </w:lvl>
  </w:abstractNum>
  <w:abstractNum w:abstractNumId="229">
    <w:nsid w:val="4E5DCB5"/>
    <w:multiLevelType w:val="hybridMultilevel"/>
    <w:lvl w:ilvl="0">
      <w:lvlJc w:val="left"/>
      <w:lvlText w:val="(%1)"/>
      <w:numFmt w:val="lowerLetter"/>
      <w:start w:val="1"/>
    </w:lvl>
  </w:abstractNum>
  <w:abstractNum w:abstractNumId="230">
    <w:nsid w:val="41E96BDB"/>
    <w:multiLevelType w:val="hybridMultilevel"/>
    <w:lvl w:ilvl="0">
      <w:lvlJc w:val="left"/>
      <w:lvlText w:val="(%1)"/>
      <w:numFmt w:val="lowerLetter"/>
      <w:start w:val="1"/>
    </w:lvl>
  </w:abstractNum>
  <w:abstractNum w:abstractNumId="231">
    <w:nsid w:val="331C4250"/>
    <w:multiLevelType w:val="hybridMultilevel"/>
    <w:lvl w:ilvl="0">
      <w:lvlJc w:val="left"/>
      <w:lvlText w:val="(%1)"/>
      <w:numFmt w:val="lowerRoman"/>
      <w:start w:val="1"/>
    </w:lvl>
  </w:abstractNum>
  <w:abstractNum w:abstractNumId="232">
    <w:nsid w:val="1B1493C2"/>
    <w:multiLevelType w:val="hybridMultilevel"/>
    <w:lvl w:ilvl="0">
      <w:lvlJc w:val="left"/>
      <w:lvlText w:val="(%1)"/>
      <w:numFmt w:val="lowerRoman"/>
      <w:start w:val="3"/>
    </w:lvl>
  </w:abstractNum>
  <w:abstractNum w:abstractNumId="233">
    <w:nsid w:val="39F06DFD"/>
    <w:multiLevelType w:val="hybridMultilevel"/>
    <w:lvl w:ilvl="0">
      <w:lvlJc w:val="left"/>
      <w:lvlText w:val="(%1)"/>
      <w:numFmt w:val="lowerLetter"/>
      <w:start w:val="1"/>
    </w:lvl>
  </w:abstractNum>
  <w:abstractNum w:abstractNumId="234">
    <w:nsid w:val="14802F5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35">
    <w:nsid w:val="2774A209"/>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abstractNum>
  <w:abstractNum w:abstractNumId="236">
    <w:nsid w:val="3785655A"/>
    <w:multiLevelType w:val="hybridMultilevel"/>
    <w:lvl w:ilvl="0">
      <w:lvlJc w:val="left"/>
      <w:lvlText w:val="(%1)"/>
      <w:numFmt w:val="decimal"/>
      <w:start w:val="90"/>
    </w:lvl>
  </w:abstractNum>
  <w:abstractNum w:abstractNumId="237">
    <w:nsid w:val="B2172A"/>
    <w:multiLevelType w:val="hybridMultilevel"/>
    <w:lvl w:ilvl="0">
      <w:lvlJc w:val="left"/>
      <w:lvlText w:val="(%1)"/>
      <w:numFmt w:val="lowerLetter"/>
      <w:start w:val="1"/>
    </w:lvl>
  </w:abstractNum>
  <w:abstractNum w:abstractNumId="238">
    <w:nsid w:val="532C34A5"/>
    <w:multiLevelType w:val="hybridMultilevel"/>
    <w:lvl w:ilvl="0">
      <w:lvlJc w:val="left"/>
      <w:lvlText w:val="(%1)"/>
      <w:numFmt w:val="lowerLetter"/>
      <w:start w:val="3"/>
    </w:lvl>
  </w:abstractNum>
  <w:abstractNum w:abstractNumId="239">
    <w:nsid w:val="102809E2"/>
    <w:multiLevelType w:val="hybridMultilevel"/>
    <w:lvl w:ilvl="0">
      <w:lvlJc w:val="left"/>
      <w:lvlText w:val="%1"/>
      <w:numFmt w:val="decimal"/>
      <w:start w:val="1"/>
    </w:lvl>
    <w:lvl w:ilvl="1">
      <w:lvlJc w:val="left"/>
      <w:lvlText w:val="(%2)"/>
      <w:numFmt w:val="lowerLetter"/>
      <w:start w:val="1"/>
    </w:lvl>
  </w:abstractNum>
  <w:abstractNum w:abstractNumId="240">
    <w:nsid w:val="3B2125A3"/>
    <w:multiLevelType w:val="hybridMultilevel"/>
    <w:lvl w:ilvl="0">
      <w:lvlJc w:val="left"/>
      <w:lvlText w:val="(%1)"/>
      <w:numFmt w:val="decimal"/>
      <w:start w:val="120"/>
    </w:lvl>
    <w:lvl w:ilvl="1">
      <w:lvlJc w:val="left"/>
      <w:lvlText w:val="(%2)"/>
      <w:numFmt w:val="lowerLetter"/>
      <w:start w:val="2"/>
    </w:lvl>
  </w:abstractNum>
  <w:abstractNum w:abstractNumId="241">
    <w:nsid w:val="AC68FFB"/>
    <w:multiLevelType w:val="hybridMultilevel"/>
    <w:lvl w:ilvl="0">
      <w:lvlJc w:val="left"/>
      <w:lvlText w:val="(%1)"/>
      <w:numFmt w:val="lowerLetter"/>
      <w:start w:val="5"/>
    </w:lvl>
  </w:abstractNum>
  <w:abstractNum w:abstractNumId="242">
    <w:nsid w:val="63DF3FB7"/>
    <w:multiLevelType w:val="hybridMultilevel"/>
    <w:lvl w:ilvl="0">
      <w:lvlJc w:val="left"/>
      <w:lvlText w:val="(%1)"/>
      <w:numFmt w:val="lowerLetter"/>
      <w:start w:val="1"/>
    </w:lvl>
  </w:abstractNum>
  <w:abstractNum w:abstractNumId="243">
    <w:nsid w:val="64996E13"/>
    <w:multiLevelType w:val="hybridMultilevel"/>
    <w:lvl w:ilvl="0">
      <w:lvlJc w:val="left"/>
      <w:lvlText w:val="(%1)"/>
      <w:numFmt w:val="lowerLetter"/>
      <w:start w:val="3"/>
    </w:lvl>
  </w:abstractNum>
  <w:abstractNum w:abstractNumId="244">
    <w:nsid w:val="57A37D47"/>
    <w:multiLevelType w:val="hybridMultilevel"/>
    <w:lvl w:ilvl="0">
      <w:lvlJc w:val="left"/>
      <w:lvlText w:val="(%1)"/>
      <w:numFmt w:val="lowerLetter"/>
      <w:start w:val="5"/>
    </w:lvl>
  </w:abstractNum>
  <w:abstractNum w:abstractNumId="245">
    <w:nsid w:val="74824D54"/>
    <w:multiLevelType w:val="hybridMultilevel"/>
    <w:lvl w:ilvl="0">
      <w:lvlJc w:val="left"/>
      <w:lvlText w:val="(%1)"/>
      <w:numFmt w:val="lowerLetter"/>
      <w:start w:val="1"/>
    </w:lvl>
  </w:abstractNum>
  <w:abstractNum w:abstractNumId="246">
    <w:nsid w:val="6F00529A"/>
    <w:multiLevelType w:val="hybridMultilevel"/>
    <w:lvl w:ilvl="0">
      <w:lvlJc w:val="left"/>
      <w:lvlText w:val="%1"/>
      <w:numFmt w:val="lowerLetter"/>
      <w:start w:val="1"/>
    </w:lvl>
    <w:lvl w:ilvl="1">
      <w:lvlJc w:val="left"/>
      <w:lvlText w:val="(%2)"/>
      <w:numFmt w:val="lowerLetter"/>
      <w:start w:val="1"/>
    </w:lvl>
  </w:abstractNum>
  <w:abstractNum w:abstractNumId="247">
    <w:nsid w:val="805B331"/>
    <w:multiLevelType w:val="hybridMultilevel"/>
    <w:lvl w:ilvl="0">
      <w:lvlJc w:val="left"/>
      <w:lvlText w:val="(%1)"/>
      <w:numFmt w:val="lowerLetter"/>
      <w:start w:val="61"/>
    </w:lvl>
    <w:lvl w:ilvl="1">
      <w:lvlJc w:val="left"/>
      <w:lvlText w:val="%2"/>
      <w:numFmt w:val="lowerLetter"/>
      <w:start w:val="1"/>
    </w:lvl>
  </w:abstractNum>
  <w:abstractNum w:abstractNumId="248">
    <w:nsid w:val="60A1463"/>
    <w:multiLevelType w:val="hybridMultilevel"/>
    <w:lvl w:ilvl="0">
      <w:lvlJc w:val="left"/>
      <w:lvlText w:val="(%1)"/>
      <w:numFmt w:val="lowerLetter"/>
      <w:start w:val="3"/>
    </w:lvl>
  </w:abstractNum>
  <w:abstractNum w:abstractNumId="249">
    <w:nsid w:val="43773132"/>
    <w:multiLevelType w:val="hybridMultilevel"/>
    <w:lvl w:ilvl="0">
      <w:lvlJc w:val="left"/>
      <w:lvlText w:val="%1"/>
      <w:numFmt w:val="decimal"/>
      <w:start w:val="1"/>
    </w:lvl>
    <w:lvl w:ilvl="1">
      <w:lvlJc w:val="left"/>
      <w:lvlText w:val="(%2)"/>
      <w:numFmt w:val="lowerLetter"/>
      <w:start w:val="1"/>
    </w:lvl>
  </w:abstractNum>
  <w:abstractNum w:abstractNumId="250">
    <w:nsid w:val="16AC4B23"/>
    <w:multiLevelType w:val="hybridMultilevel"/>
    <w:lvl w:ilvl="0">
      <w:lvlJc w:val="left"/>
      <w:lvlText w:val="%1."/>
      <w:numFmt w:val="decimal"/>
      <w:start w:val="3"/>
    </w:lvl>
    <w:lvl w:ilvl="1">
      <w:lvlJc w:val="left"/>
      <w:lvlText w:val="%2"/>
      <w:numFmt w:val="lowerLetter"/>
      <w:start w:val="1"/>
    </w:lvl>
  </w:abstractNum>
  <w:abstractNum w:abstractNumId="251">
    <w:nsid w:val="76C44E4E"/>
    <w:multiLevelType w:val="hybridMultilevel"/>
    <w:lvl w:ilvl="0">
      <w:lvlJc w:val="left"/>
      <w:lvlText w:val="%1"/>
      <w:numFmt w:val="lowerLetter"/>
      <w:start w:val="1"/>
    </w:lvl>
    <w:lvl w:ilvl="1">
      <w:lvlJc w:val="left"/>
      <w:lvlText w:val="(%2)"/>
      <w:numFmt w:val="lowerLetter"/>
      <w:start w:val="1"/>
    </w:lvl>
  </w:abstractNum>
  <w:abstractNum w:abstractNumId="252">
    <w:nsid w:val="E04E6CE"/>
    <w:multiLevelType w:val="hybridMultilevel"/>
    <w:lvl w:ilvl="0">
      <w:lvlJc w:val="left"/>
      <w:lvlText w:val="(%1)"/>
      <w:numFmt w:val="lowerLetter"/>
      <w:start w:val="35"/>
    </w:lvl>
    <w:lvl w:ilvl="1">
      <w:lvlJc w:val="left"/>
      <w:lvlText w:val="(%2)"/>
      <w:numFmt w:val="lowerLetter"/>
      <w:start w:val="3"/>
    </w:lvl>
  </w:abstractNum>
  <w:abstractNum w:abstractNumId="253">
    <w:nsid w:val="31A9DB76"/>
    <w:multiLevelType w:val="hybridMultilevel"/>
    <w:lvl w:ilvl="0">
      <w:lvlJc w:val="left"/>
      <w:lvlText w:val="%1."/>
      <w:numFmt w:val="decimal"/>
      <w:start w:val="4"/>
    </w:lvl>
  </w:abstractNum>
  <w:abstractNum w:abstractNumId="254">
    <w:nsid w:val="4C4FFF5B"/>
    <w:multiLevelType w:val="hybridMultilevel"/>
    <w:lvl w:ilvl="0">
      <w:lvlJc w:val="left"/>
      <w:lvlText w:val="(%1)"/>
      <w:numFmt w:val="lowerLetter"/>
      <w:start w:val="61"/>
    </w:lvl>
    <w:lvl w:ilvl="1">
      <w:lvlJc w:val="left"/>
      <w:lvlText w:val="(%2)"/>
      <w:numFmt w:val="lowerLetter"/>
      <w:start w:val="1"/>
    </w:lvl>
  </w:abstractNum>
  <w:abstractNum w:abstractNumId="255">
    <w:nsid w:val="51B76675"/>
    <w:multiLevelType w:val="hybridMultilevel"/>
    <w:lvl w:ilvl="0">
      <w:lvlJc w:val="left"/>
      <w:lvlText w:val="(%1)"/>
      <w:numFmt w:val="decimal"/>
      <w:start w:val="90"/>
    </w:lvl>
    <w:lvl w:ilvl="1">
      <w:lvlJc w:val="left"/>
      <w:lvlText w:val="(%2)"/>
      <w:numFmt w:val="lowerLetter"/>
      <w:start w:val="3"/>
    </w:lvl>
  </w:abstractNum>
  <w:abstractNum w:abstractNumId="256">
    <w:nsid w:val="59A4BA71"/>
    <w:multiLevelType w:val="hybridMultilevel"/>
    <w:lvl w:ilvl="0">
      <w:lvlJc w:val="left"/>
      <w:lvlText w:val="%1."/>
      <w:numFmt w:val="decimal"/>
      <w:start w:val="5"/>
    </w:lvl>
  </w:abstractNum>
  <w:abstractNum w:abstractNumId="257">
    <w:nsid w:val="450B7FB6"/>
    <w:multiLevelType w:val="hybridMultilevel"/>
    <w:lvl w:ilvl="0">
      <w:lvlJc w:val="left"/>
      <w:lvlText w:val="(%1)"/>
      <w:numFmt w:val="decimal"/>
      <w:start w:val="4"/>
    </w:lvl>
  </w:abstractNum>
  <w:abstractNum w:abstractNumId="258">
    <w:nsid w:val="340BF64D"/>
    <w:multiLevelType w:val="hybridMultilevel"/>
    <w:lvl w:ilvl="0">
      <w:lvlJc w:val="left"/>
      <w:lvlText w:val="(%1)"/>
      <w:numFmt w:val="lowerLetter"/>
      <w:start w:val="1"/>
    </w:lvl>
  </w:abstractNum>
  <w:abstractNum w:abstractNumId="259">
    <w:nsid w:val="69454021"/>
    <w:multiLevelType w:val="hybridMultilevel"/>
    <w:lvl w:ilvl="0">
      <w:lvlJc w:val="left"/>
      <w:lvlText w:val="(%1)"/>
      <w:numFmt w:val="lowerLetter"/>
      <w:start w:val="8"/>
    </w:lvl>
  </w:abstractNum>
  <w:abstractNum w:abstractNumId="260">
    <w:nsid w:val="49F15C6B"/>
    <w:multiLevelType w:val="hybridMultilevel"/>
    <w:lvl w:ilvl="0">
      <w:lvlJc w:val="left"/>
      <w:lvlText w:val="%1"/>
      <w:numFmt w:val="decimal"/>
      <w:start w:val="1"/>
    </w:lvl>
    <w:lvl w:ilvl="1">
      <w:lvlJc w:val="left"/>
      <w:lvlText w:val="(%2)"/>
      <w:numFmt w:val="lowerLetter"/>
      <w:start w:val="1"/>
    </w:lvl>
  </w:abstractNum>
  <w:abstractNum w:abstractNumId="261">
    <w:nsid w:val="75F56228"/>
    <w:multiLevelType w:val="hybridMultilevel"/>
    <w:lvl w:ilvl="0">
      <w:lvlJc w:val="left"/>
      <w:lvlText w:val="(%1)"/>
      <w:numFmt w:val="decimal"/>
      <w:start w:val="5"/>
    </w:lvl>
    <w:lvl w:ilvl="1">
      <w:lvlJc w:val="left"/>
      <w:lvlText w:val="%2"/>
      <w:numFmt w:val="lowerLetter"/>
      <w:start w:val="1"/>
    </w:lvl>
  </w:abstractNum>
  <w:abstractNum w:abstractNumId="262">
    <w:nsid w:val="1C618271"/>
    <w:multiLevelType w:val="hybridMultilevel"/>
    <w:lvl w:ilvl="0">
      <w:lvlJc w:val="left"/>
      <w:lvlText w:val="(%1)"/>
      <w:numFmt w:val="lowerLetter"/>
      <w:start w:val="2"/>
    </w:lvl>
  </w:abstractNum>
  <w:abstractNum w:abstractNumId="263">
    <w:nsid w:val="6505F02E"/>
    <w:multiLevelType w:val="hybridMultilevel"/>
    <w:lvl w:ilvl="0">
      <w:lvlJc w:val="left"/>
      <w:lvlText w:val="(%1)"/>
      <w:numFmt w:val="upperLetter"/>
      <w:start w:val="2"/>
    </w:lvl>
  </w:abstractNum>
  <w:abstractNum w:abstractNumId="264">
    <w:nsid w:val="2FE5D025"/>
    <w:multiLevelType w:val="hybridMultilevel"/>
    <w:lvl w:ilvl="0">
      <w:lvlJc w:val="left"/>
      <w:lvlText w:val="(%1)"/>
      <w:numFmt w:val="lowerLetter"/>
      <w:start w:val="1"/>
    </w:lvl>
    <w:lvl w:ilvl="1">
      <w:lvlJc w:val="left"/>
      <w:lvlText w:val="(%2)"/>
      <w:numFmt w:val="lowerLetter"/>
      <w:start w:val="9"/>
    </w:lvl>
  </w:abstractNum>
  <w:abstractNum w:abstractNumId="265">
    <w:nsid w:val="30E1B1CF"/>
    <w:multiLevelType w:val="hybridMultilevel"/>
    <w:lvl w:ilvl="0">
      <w:lvlJc w:val="left"/>
      <w:lvlText w:val="(%1)"/>
      <w:numFmt w:val="lowerRoman"/>
      <w:start w:val="2"/>
    </w:lvl>
  </w:abstractNum>
  <w:abstractNum w:abstractNumId="266">
    <w:nsid w:val="C7A9237"/>
    <w:multiLevelType w:val="hybridMultilevel"/>
    <w:lvl w:ilvl="0">
      <w:lvlJc w:val="left"/>
      <w:lvlText w:val="(%1)"/>
      <w:numFmt w:val="lowerLetter"/>
      <w:start w:val="3"/>
    </w:lvl>
  </w:abstractNum>
  <w:abstractNum w:abstractNumId="267">
    <w:nsid w:val="676B3580"/>
    <w:multiLevelType w:val="hybridMultilevel"/>
    <w:lvl w:ilvl="0">
      <w:lvlJc w:val="left"/>
      <w:lvlText w:val="(%1)"/>
      <w:numFmt w:val="lowerLetter"/>
      <w:start w:val="5"/>
    </w:lvl>
  </w:abstractNum>
  <w:abstractNum w:abstractNumId="268">
    <w:nsid w:val="3193C8F9"/>
    <w:multiLevelType w:val="hybridMultilevel"/>
    <w:lvl w:ilvl="0">
      <w:lvlJc w:val="left"/>
      <w:lvlText w:val="%1"/>
      <w:numFmt w:val="lowerRoman"/>
      <w:start w:val="1"/>
    </w:lvl>
    <w:lvl w:ilvl="1">
      <w:lvlJc w:val="left"/>
      <w:lvlText w:val="(%2)"/>
      <w:numFmt w:val="lowerLetter"/>
      <w:start w:val="1"/>
    </w:lvl>
  </w:abstractNum>
  <w:abstractNum w:abstractNumId="269">
    <w:nsid w:val="5FA6C6DC"/>
    <w:multiLevelType w:val="hybridMultilevel"/>
    <w:lvl w:ilvl="0">
      <w:lvlJc w:val="left"/>
      <w:lvlText w:val="(%1)"/>
      <w:numFmt w:val="lowerRoman"/>
      <w:start w:val="4"/>
    </w:lvl>
    <w:lvl w:ilvl="1">
      <w:lvlJc w:val="left"/>
      <w:lvlText w:val="%2"/>
      <w:numFmt w:val="lowerLetter"/>
      <w:start w:val="1"/>
    </w:lvl>
  </w:abstractNum>
  <w:abstractNum w:abstractNumId="270">
    <w:nsid w:val="77933F6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1">
    <w:nsid w:val="6CB4EE9C"/>
    <w:multiLevelType w:val="hybridMultilevel"/>
    <w:lvl w:ilvl="0">
      <w:lvlJc w:val="left"/>
      <w:lvlText w:val="(%1)"/>
      <w:numFmt w:val="upperLetter"/>
      <w:start w:val="2"/>
    </w:lvl>
  </w:abstractNum>
  <w:abstractNum w:abstractNumId="272">
    <w:nsid w:val="6A6D56D7"/>
    <w:multiLevelType w:val="hybridMultilevel"/>
    <w:lvl w:ilvl="0">
      <w:lvlJc w:val="left"/>
      <w:lvlText w:val="(%1)"/>
      <w:numFmt w:val="lowerLetter"/>
      <w:start w:val="1"/>
    </w:lvl>
    <w:lvl w:ilvl="1">
      <w:lvlJc w:val="left"/>
      <w:lvlText w:val="(%2)"/>
      <w:numFmt w:val="lowerLetter"/>
      <w:start w:val="9"/>
    </w:lvl>
  </w:abstractNum>
  <w:abstractNum w:abstractNumId="273">
    <w:nsid w:val="5B727F19"/>
    <w:multiLevelType w:val="hybridMultilevel"/>
    <w:lvl w:ilvl="0">
      <w:lvlJc w:val="left"/>
      <w:lvlText w:val="(%1)"/>
      <w:numFmt w:val="lowerRoman"/>
      <w:start w:val="2"/>
    </w:lvl>
    <w:lvl w:ilvl="1">
      <w:lvlJc w:val="left"/>
      <w:lvlText w:val="(%2)"/>
      <w:numFmt w:val="upperLetter"/>
      <w:start w:val="1"/>
    </w:lvl>
  </w:abstractNum>
  <w:abstractNum w:abstractNumId="274">
    <w:nsid w:val="514E5CB0"/>
    <w:multiLevelType w:val="hybridMultilevel"/>
    <w:lvl w:ilvl="0">
      <w:lvlJc w:val="left"/>
      <w:lvlText w:val="(%1)"/>
      <w:numFmt w:val="upperLetter"/>
      <w:start w:val="4"/>
    </w:lvl>
  </w:abstractNum>
  <w:abstractNum w:abstractNumId="275">
    <w:nsid w:val="4210D41E"/>
    <w:multiLevelType w:val="hybridMultilevel"/>
    <w:lvl w:ilvl="0">
      <w:lvlJc w:val="left"/>
      <w:lvlText w:val="(%1)"/>
      <w:numFmt w:val="lowerLetter"/>
      <w:start w:val="61"/>
    </w:lvl>
    <w:lvl w:ilvl="1">
      <w:lvlJc w:val="left"/>
      <w:lvlText w:val="(%2)"/>
      <w:numFmt w:val="lowerLetter"/>
      <w:start w:val="2"/>
    </w:lvl>
  </w:abstractNum>
  <w:abstractNum w:abstractNumId="276">
    <w:nsid w:val="4FF4CC6D"/>
    <w:multiLevelType w:val="hybridMultilevel"/>
    <w:lvl w:ilvl="0">
      <w:lvlJc w:val="left"/>
      <w:lvlText w:val="(%1)"/>
      <w:numFmt w:val="lowerLetter"/>
      <w:start w:val="3"/>
    </w:lvl>
  </w:abstractNum>
  <w:abstractNum w:abstractNumId="277">
    <w:nsid w:val="404EAF4A"/>
    <w:multiLevelType w:val="hybridMultilevel"/>
    <w:lvl w:ilvl="0">
      <w:lvlJc w:val="left"/>
      <w:lvlText w:val="(%1)"/>
      <w:numFmt w:val="lowerLetter"/>
      <w:start w:val="1"/>
    </w:lvl>
  </w:abstractNum>
  <w:abstractNum w:abstractNumId="278">
    <w:nsid w:val="4A16874F"/>
    <w:multiLevelType w:val="hybridMultilevel"/>
    <w:lvl w:ilvl="0">
      <w:lvlJc w:val="left"/>
      <w:lvlText w:val="(%1)"/>
      <w:numFmt w:val="lowerLetter"/>
      <w:start w:val="3"/>
    </w:lvl>
  </w:abstractNum>
  <w:abstractNum w:abstractNumId="279">
    <w:nsid w:val="55FEE0D1"/>
    <w:multiLevelType w:val="hybridMultilevel"/>
    <w:lvl w:ilvl="0">
      <w:lvlJc w:val="left"/>
      <w:lvlText w:val="(%1)"/>
      <w:numFmt w:val="lowerLetter"/>
      <w:start w:val="1"/>
    </w:lvl>
  </w:abstractNum>
  <w:abstractNum w:abstractNumId="280">
    <w:nsid w:val="3C5E07C"/>
    <w:multiLevelType w:val="hybridMultilevel"/>
    <w:lvl w:ilvl="0">
      <w:lvlJc w:val="left"/>
      <w:lvlText w:val="(%1)"/>
      <w:numFmt w:val="lowerLetter"/>
      <w:start w:val="1"/>
    </w:lvl>
    <w:lvl w:ilvl="1">
      <w:lvlJc w:val="left"/>
      <w:lvlText w:val="(%2)"/>
      <w:numFmt w:val="lowerRoman"/>
      <w:start w:val="1"/>
    </w:lvl>
  </w:abstractNum>
  <w:abstractNum w:abstractNumId="281">
    <w:nsid w:val="60C2D273"/>
    <w:multiLevelType w:val="hybridMultilevel"/>
    <w:lvl w:ilvl="0">
      <w:lvlJc w:val="left"/>
      <w:lvlText w:val="%1"/>
      <w:numFmt w:val="lowerLetter"/>
      <w:start w:val="1"/>
    </w:lvl>
    <w:lvl w:ilvl="1">
      <w:lvlJc w:val="left"/>
      <w:lvlText w:val="(%2)"/>
      <w:numFmt w:val="upperLetter"/>
      <w:start w:val="1"/>
    </w:lvl>
  </w:abstractNum>
  <w:abstractNum w:abstractNumId="282">
    <w:nsid w:val="4CC32F1F"/>
    <w:multiLevelType w:val="hybridMultilevel"/>
    <w:lvl w:ilvl="0">
      <w:lvlJc w:val="left"/>
      <w:lvlText w:val="(%1)"/>
      <w:numFmt w:val="lowerLetter"/>
      <w:start w:val="2"/>
    </w:lvl>
    <w:lvl w:ilvl="1">
      <w:lvlJc w:val="left"/>
      <w:lvlText w:val="%2"/>
      <w:numFmt w:val="upperLetter"/>
      <w:start w:val="1"/>
    </w:lvl>
  </w:abstractNum>
  <w:abstractNum w:abstractNumId="283">
    <w:nsid w:val="11CAC74A"/>
    <w:multiLevelType w:val="hybridMultilevel"/>
    <w:lvl w:ilvl="0">
      <w:lvlJc w:val="left"/>
      <w:lvlText w:val="(%1)"/>
      <w:numFmt w:val="lowerLetter"/>
      <w:start w:val="3"/>
    </w:lvl>
    <w:lvl w:ilvl="1">
      <w:lvlJc w:val="left"/>
      <w:lvlText w:val="(%2)"/>
      <w:numFmt w:val="lowerRoman"/>
      <w:start w:val="1"/>
    </w:lvl>
  </w:abstractNum>
  <w:abstractNum w:abstractNumId="284">
    <w:nsid w:val="126CADE9"/>
    <w:multiLevelType w:val="hybridMultilevel"/>
    <w:lvl w:ilvl="0">
      <w:lvlJc w:val="left"/>
      <w:lvlText w:val="%1"/>
      <w:numFmt w:val="lowerLetter"/>
      <w:start w:val="1"/>
    </w:lvl>
    <w:lvl w:ilvl="1">
      <w:lvlJc w:val="left"/>
      <w:lvlText w:val="(%2)"/>
      <w:numFmt w:val="lowerLetter"/>
      <w:start w:val="35"/>
    </w:lvl>
  </w:abstractNum>
  <w:abstractNum w:abstractNumId="285">
    <w:nsid w:val="19132E7B"/>
    <w:multiLevelType w:val="hybridMultilevel"/>
    <w:lvl w:ilvl="0">
      <w:lvlJc w:val="left"/>
      <w:lvlText w:val="(%1)"/>
      <w:numFmt w:val="lowerLetter"/>
      <w:start w:val="6"/>
    </w:lvl>
    <w:lvl w:ilvl="1">
      <w:lvlJc w:val="left"/>
      <w:lvlText w:val="%2"/>
      <w:numFmt w:val="lowerLetter"/>
      <w:start w:val="1"/>
    </w:lvl>
  </w:abstractNum>
  <w:abstractNum w:abstractNumId="286">
    <w:nsid w:val="63822DC0"/>
    <w:multiLevelType w:val="hybridMultilevel"/>
    <w:lvl w:ilvl="0">
      <w:lvlJc w:val="left"/>
      <w:lvlText w:val="(%1)"/>
      <w:numFmt w:val="lowerLetter"/>
      <w:start w:val="1"/>
    </w:lvl>
  </w:abstractNum>
  <w:abstractNum w:abstractNumId="287">
    <w:nsid w:val="6C11685A"/>
    <w:multiLevelType w:val="hybridMultilevel"/>
    <w:lvl w:ilvl="0">
      <w:lvlJc w:val="left"/>
      <w:lvlText w:val="(%1)"/>
      <w:numFmt w:val="lowerLetter"/>
      <w:start w:val="2"/>
    </w:lvl>
  </w:abstractNum>
  <w:abstractNum w:abstractNumId="288">
    <w:nsid w:val="5E1EAE31"/>
    <w:multiLevelType w:val="hybridMultilevel"/>
    <w:lvl w:ilvl="0">
      <w:lvlJc w:val="left"/>
      <w:lvlText w:val="(%1)"/>
      <w:numFmt w:val="lowerLetter"/>
      <w:start w:val="1"/>
    </w:lvl>
  </w:abstractNum>
  <w:abstractNum w:abstractNumId="289">
    <w:nsid w:val="178E240D"/>
    <w:multiLevelType w:val="hybridMultilevel"/>
    <w:lvl w:ilvl="0">
      <w:lvlJc w:val="left"/>
      <w:lvlText w:val="(%1)"/>
      <w:numFmt w:val="lowerLetter"/>
      <w:start w:val="6"/>
    </w:lvl>
  </w:abstractNum>
  <w:abstractNum w:abstractNumId="290">
    <w:nsid w:val="5556A87B"/>
    <w:multiLevelType w:val="hybridMultilevel"/>
    <w:lvl w:ilvl="0">
      <w:lvlJc w:val="left"/>
      <w:lvlText w:val="(%1)"/>
      <w:numFmt w:val="lowerLetter"/>
      <w:start w:val="7"/>
    </w:lvl>
  </w:abstractNum>
  <w:abstractNum w:abstractNumId="291">
    <w:nsid w:val="28100A9C"/>
    <w:multiLevelType w:val="hybridMultilevel"/>
    <w:lvl w:ilvl="0">
      <w:lvlJc w:val="left"/>
      <w:lvlText w:val="1"/>
      <w:numFmt w:val="bullet"/>
      <w:start w:val="1"/>
    </w:lvl>
  </w:abstractNum>
  <w:abstractNum w:abstractNumId="292">
    <w:nsid w:val="D838636"/>
    <w:multiLevelType w:val="hybridMultilevel"/>
    <w:lvl w:ilvl="0">
      <w:lvlJc w:val="left"/>
      <w:lvlText w:val="2"/>
      <w:numFmt w:val="bullet"/>
      <w:start w:val="1"/>
    </w:lvl>
  </w:abstractNum>
  <w:abstractNum w:abstractNumId="293">
    <w:nsid w:val="71B82A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4">
    <w:nsid w:val="D15FACA"/>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95">
    <w:nsid w:val="3D69565B"/>
    <w:multiLevelType w:val="hybridMultilevel"/>
    <w:lvl w:ilvl="0">
      <w:lvlJc w:val="left"/>
      <w:lvlText w:val="%1"/>
      <w:numFmt w:val="decimal"/>
      <w:start w:val="1"/>
    </w:lvl>
    <w:lvl w:ilvl="1">
      <w:lvlJc w:val="left"/>
      <w:lvlText w:val="(%2)"/>
      <w:numFmt w:val="lowerLetter"/>
      <w:start w:val="4"/>
    </w:lvl>
  </w:abstractNum>
  <w:abstractNum w:abstractNumId="296">
    <w:nsid w:val="2299DCBC"/>
    <w:multiLevelType w:val="hybridMultilevel"/>
    <w:lvl w:ilvl="0">
      <w:lvlJc w:val="left"/>
      <w:lvlText w:val="%1."/>
      <w:numFmt w:val="decimal"/>
      <w:start w:val="2"/>
    </w:lvl>
    <w:lvl w:ilvl="1">
      <w:lvlJc w:val="left"/>
      <w:lvlText w:val="(%2)"/>
      <w:numFmt w:val="lowerLetter"/>
      <w:start w:val="1"/>
    </w:lvl>
  </w:abstractNum>
  <w:abstractNum w:abstractNumId="297">
    <w:nsid w:val="19908D02"/>
    <w:multiLevelType w:val="hybridMultilevel"/>
    <w:lvl w:ilvl="0">
      <w:lvlJc w:val="left"/>
      <w:lvlText w:val="%1."/>
      <w:numFmt w:val="decimal"/>
      <w:start w:val="5"/>
    </w:lvl>
    <w:lvl w:ilvl="1">
      <w:lvlJc w:val="left"/>
      <w:lvlText w:val="(%2)"/>
      <w:numFmt w:val="lowerLetter"/>
      <w:start w:val="1"/>
    </w:lvl>
  </w:abstractNum>
  <w:abstractNum w:abstractNumId="298">
    <w:nsid w:val="24D48BDB"/>
    <w:multiLevelType w:val="hybridMultilevel"/>
    <w:lvl w:ilvl="0">
      <w:lvlJc w:val="left"/>
      <w:lvlText w:val="%1"/>
      <w:numFmt w:val="decimal"/>
      <w:start w:val="1"/>
    </w:lvl>
    <w:lvl w:ilvl="1">
      <w:lvlJc w:val="left"/>
      <w:lvlText w:val="(%2)"/>
      <w:numFmt w:val="lowerLetter"/>
      <w:start w:val="9"/>
    </w:lvl>
  </w:abstractNum>
  <w:abstractNum w:abstractNumId="299">
    <w:nsid w:val="542DA5B5"/>
    <w:multiLevelType w:val="hybridMultilevel"/>
    <w:lvl w:ilvl="0">
      <w:lvlJc w:val="left"/>
      <w:lvlText w:val="%1."/>
      <w:numFmt w:val="decimal"/>
      <w:start w:val="7"/>
    </w:lvl>
    <w:lvl w:ilvl="1">
      <w:lvlJc w:val="left"/>
      <w:lvlText w:val="(%2)"/>
      <w:numFmt w:val="lowerLetter"/>
      <w:start w:val="1"/>
    </w:lvl>
  </w:abstractNum>
  <w:abstractNum w:abstractNumId="300">
    <w:nsid w:val="793753DE"/>
    <w:multiLevelType w:val="hybridMultilevel"/>
    <w:lvl w:ilvl="0">
      <w:lvlJc w:val="left"/>
      <w:lvlText w:val="(%1)"/>
      <w:numFmt w:val="lowerRoman"/>
      <w:start w:val="3"/>
    </w:lvl>
    <w:lvl w:ilvl="1">
      <w:lvlJc w:val="left"/>
      <w:lvlText w:val="%2."/>
      <w:numFmt w:val="decimal"/>
      <w:start w:val="8"/>
    </w:lvl>
  </w:abstractNum>
  <w:abstractNum w:abstractNumId="301">
    <w:nsid w:val="1C67CB3D"/>
    <w:multiLevelType w:val="hybridMultilevel"/>
    <w:lvl w:ilvl="0">
      <w:lvlJc w:val="left"/>
      <w:lvlText w:val="☐"/>
      <w:numFmt w:val="bullet"/>
      <w:start w:val="1"/>
    </w:lvl>
  </w:abstractNum>
  <w:abstractNum w:abstractNumId="302">
    <w:nsid w:val="40E29452"/>
    <w:multiLevelType w:val="hybridMultilevel"/>
    <w:lvl w:ilvl="0">
      <w:lvlJc w:val="left"/>
      <w:lvlText w:val="(%1)"/>
      <w:numFmt w:val="lowerRoman"/>
      <w:start w:val="1"/>
    </w:lvl>
  </w:abstractNum>
  <w:abstractNum w:abstractNumId="303">
    <w:nsid w:val="63A4AAB6"/>
    <w:multiLevelType w:val="hybridMultilevel"/>
    <w:lvl w:ilvl="0">
      <w:lvlJc w:val="left"/>
      <w:lvlText w:val="(%1)"/>
      <w:numFmt w:val="lowerRoman"/>
      <w:start w:val="6"/>
    </w:lvl>
  </w:abstractNum>
  <w:abstractNum w:abstractNumId="304">
    <w:nsid w:val="77DA4A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5">
    <w:nsid w:val="1230F102"/>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306">
    <w:nsid w:val="25B57ED4"/>
    <w:multiLevelType w:val="hybridMultilevel"/>
    <w:lvl w:ilvl="0">
      <w:lvlJc w:val="left"/>
      <w:lvlText w:val="%1."/>
      <w:numFmt w:val="decimal"/>
      <w:start w:val="2"/>
    </w:lvl>
    <w:lvl w:ilvl="1">
      <w:lvlJc w:val="left"/>
      <w:lvlText w:val="(%2)"/>
      <w:numFmt w:val="lowerLetter"/>
      <w:start w:val="1"/>
    </w:lvl>
  </w:abstractNum>
  <w:abstractNum w:abstractNumId="307">
    <w:nsid w:val="47CF16C4"/>
    <w:multiLevelType w:val="hybridMultilevel"/>
    <w:lvl w:ilvl="0">
      <w:lvlJc w:val="left"/>
      <w:lvlText w:val="%1"/>
      <w:numFmt w:val="decimal"/>
      <w:start w:val="1"/>
    </w:lvl>
    <w:lvl w:ilvl="1">
      <w:lvlJc w:val="left"/>
      <w:lvlText w:val="(%2)"/>
      <w:numFmt w:val="lowerLetter"/>
      <w:start w:val="3"/>
    </w:lvl>
  </w:abstractNum>
  <w:abstractNum w:abstractNumId="308">
    <w:nsid w:val="527FA04C"/>
    <w:multiLevelType w:val="hybridMultilevel"/>
    <w:lvl w:ilvl="0">
      <w:lvlJc w:val="left"/>
      <w:lvlText w:val="%1."/>
      <w:numFmt w:val="decimal"/>
      <w:start w:val="7"/>
    </w:lvl>
    <w:lvl w:ilvl="1">
      <w:lvlJc w:val="left"/>
      <w:lvlText w:val="(%2)"/>
      <w:numFmt w:val="lowerLetter"/>
      <w:start w:val="1"/>
    </w:lvl>
  </w:abstractNum>
  <w:abstractNum w:abstractNumId="309">
    <w:nsid w:val="6FCC0624"/>
    <w:multiLevelType w:val="hybridMultilevel"/>
    <w:lvl w:ilvl="0">
      <w:lvlJc w:val="left"/>
      <w:lvlText w:val="%1"/>
      <w:numFmt w:val="decimal"/>
      <w:start w:val="1"/>
    </w:lvl>
    <w:lvl w:ilvl="1">
      <w:lvlJc w:val="left"/>
      <w:lvlText w:val="(%2)"/>
      <w:numFmt w:val="lowerLetter"/>
      <w:start w:val="2"/>
    </w:lvl>
  </w:abstractNum>
  <w:abstractNum w:abstractNumId="310">
    <w:nsid w:val="1DCDF795"/>
    <w:multiLevelType w:val="hybridMultilevel"/>
    <w:lvl w:ilvl="0">
      <w:lvlJc w:val="left"/>
      <w:lvlText w:val="%1."/>
      <w:numFmt w:val="decimal"/>
      <w:start w:val="8"/>
    </w:lvl>
    <w:lvl w:ilvl="1">
      <w:lvlJc w:val="left"/>
      <w:lvlText w:val="%2"/>
      <w:numFmt w:val="lowerLetter"/>
      <w:start w:val="1"/>
    </w:lvl>
  </w:abstractNum>
  <w:abstractNum w:abstractNumId="311">
    <w:nsid w:val="564580C8"/>
    <w:multiLevelType w:val="hybridMultilevel"/>
    <w:lvl w:ilvl="0">
      <w:lvlJc w:val="left"/>
      <w:lvlText w:val="☐"/>
      <w:numFmt w:val="bullet"/>
      <w:start w:val="1"/>
    </w:lvl>
  </w:abstractNum>
  <w:abstractNum w:abstractNumId="312">
    <w:nsid w:val="508ED897"/>
    <w:multiLevelType w:val="hybridMultilevel"/>
    <w:lvl w:ilvl="0">
      <w:lvlJc w:val="left"/>
      <w:lvlText w:val="(%1)"/>
      <w:numFmt w:val="lowerRoman"/>
      <w:start w:val="1"/>
    </w:lvl>
  </w:abstractNum>
  <w:abstractNum w:abstractNumId="313">
    <w:nsid w:val="6A9126B5"/>
    <w:multiLevelType w:val="hybridMultilevel"/>
    <w:lvl w:ilvl="0">
      <w:lvlJc w:val="left"/>
      <w:lvlText w:val="(%1)"/>
      <w:numFmt w:val="lowerRoman"/>
      <w:start w:val="6"/>
    </w:lvl>
  </w:abstractNum>
  <w:abstractNum w:abstractNumId="314">
    <w:nsid w:val="681048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5">
    <w:nsid w:val="62FB86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16">
    <w:nsid w:val="3A4553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7">
    <w:nsid w:val="4B9275D2"/>
    <w:multiLevelType w:val="hybridMultilevel"/>
    <w:lvl w:ilvl="0">
      <w:lvlJc w:val="left"/>
      <w:lvlText w:val="%1"/>
      <w:numFmt w:val="decimal"/>
      <w:start w:val="1"/>
    </w:lvl>
    <w:lvl w:ilvl="1">
      <w:lvlJc w:val="left"/>
      <w:lvlText w:val="(%2)"/>
      <w:numFmt w:val="lowerLetter"/>
      <w:start w:val="4"/>
    </w:lvl>
  </w:abstractNum>
  <w:abstractNum w:abstractNumId="318">
    <w:nsid w:val="4F0CEEDB"/>
    <w:multiLevelType w:val="hybridMultilevel"/>
    <w:lvl w:ilvl="0">
      <w:lvlJc w:val="left"/>
      <w:lvlText w:val="%1."/>
      <w:numFmt w:val="decimal"/>
      <w:start w:val="6"/>
    </w:lvl>
    <w:lvl w:ilvl="1">
      <w:lvlJc w:val="left"/>
      <w:lvlText w:val="(%2)"/>
      <w:numFmt w:val="lowerLetter"/>
      <w:start w:val="1"/>
    </w:lvl>
  </w:abstractNum>
  <w:abstractNum w:abstractNumId="319">
    <w:nsid w:val="61C30361"/>
    <w:multiLevelType w:val="hybridMultilevel"/>
    <w:lvl w:ilvl="0">
      <w:lvlJc w:val="left"/>
      <w:lvlText w:val="(%1)"/>
      <w:numFmt w:val="lowerLetter"/>
      <w:start w:val="2"/>
    </w:lvl>
  </w:abstractNum>
  <w:abstractNum w:abstractNumId="320">
    <w:nsid w:val="632099E0"/>
    <w:multiLevelType w:val="hybridMultilevel"/>
    <w:lvl w:ilvl="0">
      <w:lvlJc w:val="left"/>
      <w:lvlText w:val="%1."/>
      <w:numFmt w:val="decimal"/>
      <w:start w:val="7"/>
    </w:lvl>
  </w:abstractNum>
  <w:abstractNum w:abstractNumId="321">
    <w:nsid w:val="24639756"/>
    <w:multiLevelType w:val="hybridMultilevel"/>
    <w:lvl w:ilvl="0">
      <w:lvlJc w:val="left"/>
      <w:lvlText w:val="%1."/>
      <w:numFmt w:val="decimal"/>
      <w:start w:val="1"/>
    </w:lvl>
  </w:abstractNum>
  <w:abstractNum w:abstractNumId="322">
    <w:nsid w:val="9D30DFD"/>
    <w:multiLevelType w:val="hybridMultilevel"/>
    <w:lvl w:ilvl="0">
      <w:lvlJc w:val="left"/>
      <w:lvlText w:val="%1."/>
      <w:numFmt w:val="decimal"/>
      <w:start w:val="1"/>
    </w:lvl>
  </w:abstractNum>
  <w:abstractNum w:abstractNumId="323">
    <w:nsid w:val="70A42016"/>
    <w:multiLevelType w:val="hybridMultilevel"/>
    <w:lvl w:ilvl="0">
      <w:lvlJc w:val="left"/>
      <w:lvlText w:val="%1."/>
      <w:numFmt w:val="decimal"/>
      <w:start w:val="2"/>
    </w:lvl>
  </w:abstractNum>
  <w:abstractNum w:abstractNumId="324">
    <w:nsid w:val="161BC243"/>
    <w:multiLevelType w:val="hybridMultilevel"/>
    <w:lvl w:ilvl="0">
      <w:lvlJc w:val="left"/>
      <w:lvlText w:val="%1."/>
      <w:numFmt w:val="decimal"/>
      <w:start w:val="3"/>
    </w:lvl>
    <w:lvl w:ilvl="1">
      <w:lvlJc w:val="left"/>
      <w:lvlText w:val="(%2)"/>
      <w:numFmt w:val="lowerLetter"/>
      <w:start w:val="1"/>
    </w:lvl>
  </w:abstractNum>
  <w:abstractNum w:abstractNumId="325">
    <w:nsid w:val="16E908C8"/>
    <w:multiLevelType w:val="hybridMultilevel"/>
    <w:lvl w:ilvl="0">
      <w:lvlJc w:val="left"/>
      <w:lvlText w:val="(%1)"/>
      <w:numFmt w:val="lowerLetter"/>
      <w:start w:val="2"/>
    </w:lvl>
  </w:abstractNum>
  <w:abstractNum w:abstractNumId="326">
    <w:nsid w:val="2E0D7671"/>
    <w:multiLevelType w:val="hybridMultilevel"/>
    <w:lvl w:ilvl="0">
      <w:lvlJc w:val="left"/>
      <w:lvlText w:val="%1."/>
      <w:numFmt w:val="decimal"/>
      <w:start w:val="5"/>
    </w:lvl>
    <w:lvl w:ilvl="1">
      <w:lvlJc w:val="left"/>
      <w:lvlText w:val="(%2)"/>
      <w:numFmt w:val="lowerLetter"/>
      <w:start w:val="1"/>
    </w:lvl>
  </w:abstractNum>
  <w:abstractNum w:abstractNumId="327">
    <w:nsid w:val="38B59EFF"/>
    <w:multiLevelType w:val="hybridMultilevel"/>
    <w:lvl w:ilvl="0">
      <w:lvlJc w:val="left"/>
      <w:lvlText w:val="(%1)"/>
      <w:numFmt w:val="lowerLetter"/>
      <w:start w:val="1"/>
    </w:lvl>
  </w:abstractNum>
  <w:abstractNum w:abstractNumId="328">
    <w:nsid w:val="307995CA"/>
    <w:multiLevelType w:val="hybridMultilevel"/>
    <w:lvl w:ilvl="0">
      <w:lvlJc w:val="left"/>
      <w:lvlText w:val="(%1)"/>
      <w:numFmt w:val="lowerRoman"/>
      <w:start w:val="1"/>
    </w:lvl>
  </w:abstractNum>
  <w:abstractNum w:abstractNumId="329">
    <w:nsid w:val="52E2024D"/>
    <w:multiLevelType w:val="hybridMultilevel"/>
    <w:lvl w:ilvl="0">
      <w:lvlJc w:val="left"/>
      <w:lvlText w:val="(%1)"/>
      <w:numFmt w:val="lowerRoman"/>
      <w:start w:val="1"/>
    </w:lvl>
  </w:abstractNum>
  <w:abstractNum w:abstractNumId="330">
    <w:nsid w:val="CE344B5"/>
    <w:multiLevelType w:val="hybridMultilevel"/>
    <w:lvl w:ilvl="0">
      <w:lvlJc w:val="left"/>
      <w:lvlText w:val="(%1)"/>
      <w:numFmt w:val="lowerRoman"/>
      <w:start w:val="4"/>
    </w:lvl>
  </w:abstractNum>
  <w:abstractNum w:abstractNumId="331">
    <w:nsid w:val="29B0E9A8"/>
    <w:multiLevelType w:val="hybridMultilevel"/>
    <w:lvl w:ilvl="0">
      <w:lvlJc w:val="left"/>
      <w:lvlText w:val="(%1)"/>
      <w:numFmt w:val="lowerLetter"/>
      <w:start w:val="4"/>
    </w:lvl>
  </w:abstractNum>
  <w:abstractNum w:abstractNumId="332">
    <w:nsid w:val="6F49CD8A"/>
    <w:multiLevelType w:val="hybridMultilevel"/>
    <w:lvl w:ilvl="0">
      <w:lvlJc w:val="left"/>
      <w:lvlText w:val="(%1)"/>
      <w:numFmt w:val="lowerLetter"/>
      <w:start w:val="9"/>
    </w:lvl>
  </w:abstractNum>
  <w:abstractNum w:abstractNumId="333">
    <w:nsid w:val="4DC5D907"/>
    <w:multiLevelType w:val="hybridMultilevel"/>
    <w:lvl w:ilvl="0">
      <w:lvlJc w:val="left"/>
      <w:lvlText w:val="(%1)"/>
      <w:numFmt w:val="lowerLetter"/>
      <w:start w:val="1"/>
    </w:lvl>
  </w:abstractNum>
  <w:abstractNum w:abstractNumId="334">
    <w:nsid w:val="D55945E"/>
    <w:multiLevelType w:val="hybridMultilevel"/>
    <w:lvl w:ilvl="0">
      <w:lvlJc w:val="left"/>
      <w:lvlText w:val="%1"/>
      <w:numFmt w:val="lowerLetter"/>
      <w:start w:val="1"/>
    </w:lvl>
    <w:lvl w:ilvl="1">
      <w:lvlJc w:val="left"/>
      <w:lvlText w:val="(%2)"/>
      <w:numFmt w:val="lowerLetter"/>
      <w:start w:val="4"/>
    </w:lvl>
  </w:abstractNum>
  <w:abstractNum w:abstractNumId="335">
    <w:nsid w:val="672417E1"/>
    <w:multiLevelType w:val="hybridMultilevel"/>
    <w:lvl w:ilvl="0">
      <w:lvlJc w:val="left"/>
      <w:lvlText w:val="(%1)"/>
      <w:numFmt w:val="lowerLetter"/>
      <w:start w:val="35"/>
    </w:lvl>
    <w:lvl w:ilvl="1">
      <w:lvlJc w:val="left"/>
      <w:lvlText w:val="(%2)"/>
      <w:numFmt w:val="lowerLetter"/>
      <w:start w:val="5"/>
    </w:lvl>
  </w:abstractNum>
  <w:abstractNum w:abstractNumId="336">
    <w:nsid w:val="5FF6CA09"/>
    <w:multiLevelType w:val="hybridMultilevel"/>
    <w:lvl w:ilvl="0">
      <w:lvlJc w:val="left"/>
      <w:lvlText w:val="(%1)"/>
      <w:numFmt w:val="lowerRoman"/>
      <w:start w:val="2"/>
    </w:lvl>
  </w:abstractNum>
  <w:abstractNum w:abstractNumId="337">
    <w:nsid w:val="330B1333"/>
    <w:multiLevelType w:val="hybridMultilevel"/>
    <w:lvl w:ilvl="0">
      <w:lvlJc w:val="left"/>
      <w:lvlText w:val="(%1)"/>
      <w:numFmt w:val="lowerLetter"/>
      <w:start w:val="1"/>
    </w:lvl>
  </w:abstractNum>
  <w:abstractNum w:abstractNumId="338">
    <w:nsid w:val="2EF32EA6"/>
    <w:multiLevelType w:val="hybridMultilevel"/>
    <w:lvl w:ilvl="0">
      <w:lvlJc w:val="left"/>
      <w:lvlText w:val="%1"/>
      <w:numFmt w:val="upperLetter"/>
      <w:start w:val="1"/>
    </w:lvl>
    <w:lvl w:ilvl="1">
      <w:lvlJc w:val="left"/>
      <w:lvlText w:val="(%2)"/>
      <w:numFmt w:val="lowerLetter"/>
      <w:start w:val="2"/>
    </w:lvl>
  </w:abstractNum>
  <w:abstractNum w:abstractNumId="339">
    <w:nsid w:val="32766A55"/>
    <w:multiLevelType w:val="hybridMultilevel"/>
    <w:lvl w:ilvl="0">
      <w:lvlJc w:val="left"/>
      <w:lvlText w:val="(%1)"/>
      <w:numFmt w:val="upperLetter"/>
      <w:start w:val="2"/>
    </w:lvl>
    <w:lvl w:ilvl="1">
      <w:lvlJc w:val="left"/>
      <w:lvlText w:val="(%2)"/>
      <w:numFmt w:val="lowerLetter"/>
      <w:start w:val="3"/>
    </w:lvl>
  </w:abstractNum>
  <w:abstractNum w:abstractNumId="340">
    <w:nsid w:val="22D71957"/>
    <w:multiLevelType w:val="hybridMultilevel"/>
    <w:lvl w:ilvl="0">
      <w:lvlJc w:val="left"/>
      <w:lvlText w:val="(%1)"/>
      <w:numFmt w:val="lowerLetter"/>
      <w:start w:val="1"/>
    </w:lvl>
  </w:abstractNum>
  <w:abstractNum w:abstractNumId="341">
    <w:nsid w:val="4CC1263B"/>
    <w:multiLevelType w:val="hybridMultilevel"/>
    <w:lvl w:ilvl="0">
      <w:lvlJc w:val="left"/>
      <w:lvlText w:val="(%1)"/>
      <w:numFmt w:val="lowerLetter"/>
      <w:start w:val="3"/>
    </w:lvl>
  </w:abstractNum>
  <w:abstractNum w:abstractNumId="342">
    <w:nsid w:val="8BBEB1D"/>
    <w:multiLevelType w:val="hybridMultilevel"/>
    <w:lvl w:ilvl="0">
      <w:lvlJc w:val="left"/>
      <w:lvlText w:val="(%1)"/>
      <w:numFmt w:val="lowerLetter"/>
      <w:start w:val="1"/>
    </w:lvl>
  </w:abstractNum>
  <w:abstractNum w:abstractNumId="343">
    <w:nsid w:val="7365F1EE"/>
    <w:multiLevelType w:val="hybridMultilevel"/>
    <w:lvl w:ilvl="0">
      <w:lvlJc w:val="left"/>
      <w:lvlText w:val="(%1)"/>
      <w:numFmt w:val="lowerLetter"/>
      <w:start w:val="1"/>
    </w:lvl>
  </w:abstractNum>
  <w:abstractNum w:abstractNumId="344">
    <w:nsid w:val="37524CF0"/>
    <w:multiLevelType w:val="hybridMultilevel"/>
    <w:lvl w:ilvl="0">
      <w:lvlJc w:val="left"/>
      <w:lvlText w:val="(%1)"/>
      <w:numFmt w:val="lowerLetter"/>
      <w:start w:val="5"/>
    </w:lvl>
  </w:abstractNum>
  <w:abstractNum w:abstractNumId="345">
    <w:nsid w:val="70CC332F"/>
    <w:multiLevelType w:val="hybridMultilevel"/>
    <w:lvl w:ilvl="0">
      <w:lvlJc w:val="left"/>
      <w:lvlText w:val="%1"/>
      <w:numFmt w:val="lowerLetter"/>
      <w:start w:val="1"/>
    </w:lvl>
    <w:lvl w:ilvl="1">
      <w:lvlJc w:val="left"/>
      <w:lvlText w:val="(%2)"/>
      <w:numFmt w:val="lowerLetter"/>
      <w:start w:val="1"/>
    </w:lvl>
  </w:abstractNum>
  <w:abstractNum w:abstractNumId="346">
    <w:nsid w:val="5661786E"/>
    <w:multiLevelType w:val="hybridMultilevel"/>
    <w:lvl w:ilvl="0">
      <w:lvlJc w:val="left"/>
      <w:lvlText w:val="(%1)"/>
      <w:numFmt w:val="lowerLetter"/>
      <w:start w:val="35"/>
    </w:lvl>
    <w:lvl w:ilvl="1">
      <w:lvlJc w:val="left"/>
      <w:lvlText w:val="%2"/>
      <w:numFmt w:val="lowerLetter"/>
      <w:start w:val="1"/>
    </w:lvl>
  </w:abstractNum>
  <w:abstractNum w:abstractNumId="347">
    <w:nsid w:val="3AF6A220"/>
    <w:multiLevelType w:val="hybridMultilevel"/>
    <w:lvl w:ilvl="0">
      <w:lvlJc w:val="left"/>
      <w:lvlText w:val="(%1)"/>
      <w:numFmt w:val="lowerLetter"/>
      <w:start w:val="3"/>
    </w:lvl>
  </w:abstractNum>
  <w:abstractNum w:abstractNumId="348">
    <w:nsid w:val="3C5EA902"/>
    <w:multiLevelType w:val="hybridMultilevel"/>
    <w:lvl w:ilvl="0">
      <w:lvlJc w:val="left"/>
      <w:lvlText w:val="(%1)"/>
      <w:numFmt w:val="lowerLetter"/>
      <w:start w:val="3"/>
    </w:lvl>
  </w:abstractNum>
  <w:abstractNum w:abstractNumId="349">
    <w:nsid w:val="256E6749"/>
    <w:multiLevelType w:val="hybridMultilevel"/>
    <w:lvl w:ilvl="0">
      <w:lvlJc w:val="left"/>
      <w:lvlText w:val="(%1)"/>
      <w:numFmt w:val="lowerLetter"/>
      <w:start w:val="1"/>
    </w:lvl>
  </w:abstractNum>
  <w:abstractNum w:abstractNumId="350">
    <w:nsid w:val="1CB9A581"/>
    <w:multiLevelType w:val="hybridMultilevel"/>
    <w:lvl w:ilvl="0">
      <w:lvlJc w:val="left"/>
      <w:lvlText w:val="(%1)"/>
      <w:numFmt w:val="lowerLetter"/>
      <w:start w:val="2"/>
    </w:lvl>
  </w:abstractNum>
  <w:abstractNum w:abstractNumId="351">
    <w:nsid w:val="1F7F42E2"/>
    <w:multiLevelType w:val="hybridMultilevel"/>
    <w:lvl w:ilvl="0">
      <w:lvlJc w:val="left"/>
      <w:lvlText w:val="(%1)"/>
      <w:numFmt w:val="lowerLetter"/>
      <w:start w:val="35"/>
    </w:lvl>
    <w:lvl w:ilvl="1">
      <w:lvlJc w:val="left"/>
      <w:lvlText w:val="(%2)"/>
      <w:numFmt w:val="lowerLetter"/>
      <w:start w:val="1"/>
    </w:lvl>
  </w:abstractNum>
  <w:abstractNum w:abstractNumId="352">
    <w:nsid w:val="49D1FEA0"/>
    <w:multiLevelType w:val="hybridMultilevel"/>
    <w:lvl w:ilvl="0">
      <w:lvlJc w:val="left"/>
      <w:lvlText w:val="(%1)"/>
      <w:numFmt w:val="lowerLetter"/>
      <w:start w:val="1"/>
    </w:lvl>
  </w:abstractNum>
  <w:abstractNum w:abstractNumId="353">
    <w:nsid w:val="268CB37F"/>
    <w:multiLevelType w:val="hybridMultilevel"/>
    <w:lvl w:ilvl="0">
      <w:lvlJc w:val="left"/>
      <w:lvlText w:val="(%1)"/>
      <w:numFmt w:val="lowerRoman"/>
      <w:start w:val="1"/>
    </w:lvl>
  </w:abstractNum>
  <w:abstractNum w:abstractNumId="354">
    <w:nsid w:val="102362F8"/>
    <w:multiLevelType w:val="hybridMultilevel"/>
    <w:lvl w:ilvl="0">
      <w:lvlJc w:val="left"/>
      <w:lvlText w:val="(%1)"/>
      <w:numFmt w:val="lowerRoman"/>
      <w:start w:val="4"/>
    </w:lvl>
  </w:abstractNum>
  <w:abstractNum w:abstractNumId="355">
    <w:nsid w:val="5FEDC0E3"/>
    <w:multiLevelType w:val="hybridMultilevel"/>
    <w:lvl w:ilvl="0">
      <w:lvlJc w:val="left"/>
      <w:lvlText w:val="(%1)"/>
      <w:numFmt w:val="lowerRoman"/>
      <w:start w:val="1"/>
    </w:lvl>
  </w:abstractNum>
  <w:abstractNum w:abstractNumId="356">
    <w:nsid w:val="3D75BC47"/>
    <w:multiLevelType w:val="hybridMultilevel"/>
    <w:lvl w:ilvl="0">
      <w:lvlJc w:val="left"/>
      <w:lvlText w:val="(%1)"/>
      <w:numFmt w:val="lowerRoman"/>
      <w:start w:val="3"/>
    </w:lvl>
  </w:abstractNum>
  <w:abstractNum w:abstractNumId="357">
    <w:nsid w:val="3E30D969"/>
    <w:multiLevelType w:val="hybridMultilevel"/>
    <w:lvl w:ilvl="0">
      <w:lvlJc w:val="left"/>
      <w:lvlText w:val="(%1)"/>
      <w:numFmt w:val="lowerLetter"/>
      <w:start w:val="4"/>
    </w:lvl>
  </w:abstractNum>
  <w:abstractNum w:abstractNumId="358">
    <w:nsid w:val="18A35FE3"/>
    <w:multiLevelType w:val="hybridMultilevel"/>
    <w:lvl w:ilvl="0">
      <w:lvlJc w:val="left"/>
      <w:lvlText w:val="(%1)"/>
      <w:numFmt w:val="lowerLetter"/>
      <w:start w:val="8"/>
    </w:lvl>
  </w:abstractNum>
  <w:abstractNum w:abstractNumId="359">
    <w:nsid w:val="6DEF5211"/>
    <w:multiLevelType w:val="hybridMultilevel"/>
    <w:lvl w:ilvl="0">
      <w:lvlJc w:val="left"/>
      <w:lvlText w:val="(%1)"/>
      <w:numFmt w:val="lowerLetter"/>
      <w:start w:val="1"/>
    </w:lvl>
  </w:abstractNum>
  <w:abstractNum w:abstractNumId="360">
    <w:nsid w:val="1112DBB6"/>
    <w:multiLevelType w:val="hybridMultilevel"/>
    <w:lvl w:ilvl="0">
      <w:lvlJc w:val="left"/>
      <w:lvlText w:val="%1"/>
      <w:numFmt w:val="lowerLetter"/>
      <w:start w:val="1"/>
    </w:lvl>
    <w:lvl w:ilvl="1">
      <w:lvlJc w:val="left"/>
      <w:lvlText w:val="(%2)"/>
      <w:numFmt w:val="lowerLetter"/>
      <w:start w:val="2"/>
    </w:lvl>
  </w:abstractNum>
  <w:abstractNum w:abstractNumId="361">
    <w:nsid w:val="2586A498"/>
    <w:multiLevelType w:val="hybridMultilevel"/>
    <w:lvl w:ilvl="0">
      <w:lvlJc w:val="left"/>
      <w:lvlText w:val="(%1)"/>
      <w:numFmt w:val="lowerLetter"/>
      <w:start w:val="35"/>
    </w:lvl>
    <w:lvl w:ilvl="1">
      <w:lvlJc w:val="left"/>
      <w:lvlText w:val="(%2)"/>
      <w:numFmt w:val="lowerLetter"/>
      <w:start w:val="4"/>
    </w:lvl>
  </w:abstractNum>
  <w:abstractNum w:abstractNumId="362">
    <w:nsid w:val="17A03BB9"/>
    <w:multiLevelType w:val="hybridMultilevel"/>
    <w:lvl w:ilvl="0">
      <w:lvlJc w:val="left"/>
      <w:lvlText w:val="(%1)"/>
      <w:numFmt w:val="lowerRoman"/>
      <w:start w:val="2"/>
    </w:lvl>
  </w:abstractNum>
  <w:abstractNum w:abstractNumId="363">
    <w:nsid w:val="5CA941"/>
    <w:multiLevelType w:val="hybridMultilevel"/>
    <w:lvl w:ilvl="0">
      <w:lvlJc w:val="left"/>
      <w:lvlText w:val="(%1)"/>
      <w:numFmt w:val="lowerLetter"/>
      <w:start w:val="1"/>
    </w:lvl>
  </w:abstractNum>
  <w:abstractNum w:abstractNumId="364">
    <w:nsid w:val="734C7D9F"/>
    <w:multiLevelType w:val="hybridMultilevel"/>
    <w:lvl w:ilvl="0">
      <w:lvlJc w:val="left"/>
      <w:lvlText w:val="%1"/>
      <w:numFmt w:val="upperLetter"/>
      <w:start w:val="1"/>
    </w:lvl>
    <w:lvl w:ilvl="1">
      <w:lvlJc w:val="left"/>
      <w:lvlText w:val="(%2)"/>
      <w:numFmt w:val="lowerLetter"/>
      <w:start w:val="2"/>
    </w:lvl>
  </w:abstractNum>
  <w:abstractNum w:abstractNumId="365">
    <w:nsid w:val="24F5D018"/>
    <w:multiLevelType w:val="hybridMultilevel"/>
    <w:lvl w:ilvl="0">
      <w:lvlJc w:val="left"/>
      <w:lvlText w:val="(%1)"/>
      <w:numFmt w:val="upperLetter"/>
      <w:start w:val="2"/>
    </w:lvl>
    <w:lvl w:ilvl="1">
      <w:lvlJc w:val="left"/>
      <w:lvlText w:val="(%2)"/>
      <w:numFmt w:val="lowerLetter"/>
      <w:start w:val="3"/>
    </w:lvl>
  </w:abstractNum>
  <w:abstractNum w:abstractNumId="366">
    <w:nsid w:val="6780C122"/>
    <w:multiLevelType w:val="hybridMultilevel"/>
    <w:lvl w:ilvl="0">
      <w:lvlJc w:val="left"/>
      <w:lvlText w:val="%1"/>
      <w:numFmt w:val="lowerLetter"/>
      <w:start w:val="1"/>
    </w:lvl>
    <w:lvl w:ilvl="1">
      <w:lvlJc w:val="left"/>
      <w:lvlText w:val="(%2)"/>
      <w:numFmt w:val="lowerLetter"/>
      <w:start w:val="1"/>
    </w:lvl>
  </w:abstractNum>
  <w:abstractNum w:abstractNumId="367">
    <w:nsid w:val="534347A8"/>
    <w:multiLevelType w:val="hybridMultilevel"/>
    <w:lvl w:ilvl="0">
      <w:lvlJc w:val="left"/>
      <w:lvlText w:val="(%1)"/>
      <w:numFmt w:val="lowerLetter"/>
      <w:start w:val="9"/>
    </w:lvl>
    <w:lvl w:ilvl="1">
      <w:lvlJc w:val="left"/>
      <w:lvlText w:val="%2"/>
      <w:numFmt w:val="lowerLetter"/>
      <w:start w:val="1"/>
    </w:lvl>
  </w:abstractNum>
  <w:abstractNum w:abstractNumId="368">
    <w:nsid w:val="5800E34B"/>
    <w:multiLevelType w:val="hybridMultilevel"/>
    <w:lvl w:ilvl="0">
      <w:lvlJc w:val="left"/>
      <w:lvlText w:val="(%1)"/>
      <w:numFmt w:val="lowerLetter"/>
      <w:start w:val="3"/>
    </w:lvl>
  </w:abstractNum>
  <w:abstractNum w:abstractNumId="369">
    <w:nsid w:val="1673EFC8"/>
    <w:multiLevelType w:val="hybridMultilevel"/>
    <w:lvl w:ilvl="0">
      <w:lvlJc w:val="left"/>
      <w:lvlText w:val="(%1)"/>
      <w:numFmt w:val="lowerLetter"/>
      <w:start w:val="1"/>
    </w:lvl>
  </w:abstractNum>
  <w:abstractNum w:abstractNumId="370">
    <w:nsid w:val="5B9B1FD"/>
    <w:multiLevelType w:val="hybridMultilevel"/>
    <w:lvl w:ilvl="0">
      <w:lvlJc w:val="left"/>
      <w:lvlText w:val="(%1)"/>
      <w:numFmt w:val="lowerLetter"/>
      <w:start w:val="1"/>
    </w:lvl>
  </w:abstractNum>
  <w:abstractNum w:abstractNumId="371">
    <w:nsid w:val="7AD7FCA2"/>
    <w:multiLevelType w:val="hybridMultilevel"/>
    <w:lvl w:ilvl="0">
      <w:lvlJc w:val="left"/>
      <w:lvlText w:val="(%1)"/>
      <w:numFmt w:val="lowerLetter"/>
      <w:start w:val="5"/>
    </w:lvl>
  </w:abstractNum>
  <w:abstractNum w:abstractNumId="372">
    <w:nsid w:val="63351604"/>
    <w:multiLevelType w:val="hybridMultilevel"/>
    <w:lvl w:ilvl="0">
      <w:lvlJc w:val="left"/>
      <w:lvlText w:val="%1"/>
      <w:numFmt w:val="lowerLetter"/>
      <w:start w:val="1"/>
    </w:lvl>
    <w:lvl w:ilvl="1">
      <w:lvlJc w:val="left"/>
      <w:lvlText w:val="(%2)"/>
      <w:numFmt w:val="lowerLetter"/>
      <w:start w:val="1"/>
    </w:lvl>
  </w:abstractNum>
  <w:abstractNum w:abstractNumId="373">
    <w:nsid w:val="E759D1A"/>
    <w:multiLevelType w:val="hybridMultilevel"/>
    <w:lvl w:ilvl="0">
      <w:lvlJc w:val="left"/>
      <w:lvlText w:val="(%1)"/>
      <w:numFmt w:val="lowerLetter"/>
      <w:start w:val="35"/>
    </w:lvl>
    <w:lvl w:ilvl="1">
      <w:lvlJc w:val="left"/>
      <w:lvlText w:val="%2"/>
      <w:numFmt w:val="lowerLetter"/>
      <w:start w:val="1"/>
    </w:lvl>
  </w:abstractNum>
  <w:abstractNum w:abstractNumId="374">
    <w:nsid w:val="6E3DEE90"/>
    <w:multiLevelType w:val="hybridMultilevel"/>
    <w:lvl w:ilvl="0">
      <w:lvlJc w:val="left"/>
      <w:lvlText w:val="(%1)"/>
      <w:numFmt w:val="lowerLetter"/>
      <w:start w:val="3"/>
    </w:lvl>
  </w:abstractNum>
  <w:abstractNum w:abstractNumId="375">
    <w:nsid w:val="1A8762F4"/>
    <w:multiLevelType w:val="hybridMultilevel"/>
    <w:lvl w:ilvl="0">
      <w:lvlJc w:val="left"/>
      <w:lvlText w:val="(%1)"/>
      <w:numFmt w:val="lowerLetter"/>
      <w:start w:val="3"/>
    </w:lvl>
  </w:abstractNum>
  <w:abstractNum w:abstractNumId="376">
    <w:nsid w:val="7F41D049"/>
    <w:multiLevelType w:val="hybridMultilevel"/>
    <w:lvl w:ilvl="0">
      <w:lvlJc w:val="left"/>
      <w:lvlText w:val="(%1)"/>
      <w:numFmt w:val="lowerLetter"/>
      <w:start w:val="1"/>
    </w:lvl>
  </w:abstractNum>
  <w:abstractNum w:abstractNumId="377">
    <w:nsid w:val="449F66FE"/>
    <w:multiLevelType w:val="hybridMultilevel"/>
    <w:lvl w:ilvl="0">
      <w:lvlJc w:val="left"/>
      <w:lvlText w:val="(%1)"/>
      <w:numFmt w:val="lowerLetter"/>
      <w:start w:val="35"/>
    </w:lvl>
    <w:lvl w:ilvl="1">
      <w:lvlJc w:val="left"/>
      <w:lvlText w:val="(%2)"/>
      <w:numFmt w:val="lowerLetter"/>
      <w:start w:val="1"/>
    </w:lvl>
  </w:abstractNum>
  <w:abstractNum w:abstractNumId="378">
    <w:nsid w:val="557E0515"/>
    <w:multiLevelType w:val="hybridMultilevel"/>
    <w:lvl w:ilvl="0">
      <w:lvlJc w:val="left"/>
      <w:lvlText w:val="(%1)"/>
      <w:numFmt w:val="lowerLetter"/>
      <w:start w:val="1"/>
    </w:lvl>
  </w:abstractNum>
  <w:abstractNum w:abstractNumId="379">
    <w:nsid w:val="3BA0794B"/>
    <w:multiLevelType w:val="hybridMultilevel"/>
    <w:lvl w:ilvl="0">
      <w:lvlJc w:val="left"/>
      <w:lvlText w:val="(%1)"/>
      <w:numFmt w:val="lowerLetter"/>
      <w:start w:val="1"/>
    </w:lvl>
  </w:abstractNum>
  <w:abstractNum w:abstractNumId="380">
    <w:nsid w:val="6A0DCE48"/>
    <w:multiLevelType w:val="hybridMultilevel"/>
    <w:lvl w:ilvl="0">
      <w:lvlJc w:val="left"/>
      <w:lvlText w:val="(%1)"/>
      <w:numFmt w:val="lowerLetter"/>
      <w:start w:val="2"/>
    </w:lvl>
  </w:abstractNum>
  <w:abstractNum w:abstractNumId="381">
    <w:nsid w:val="7237AA96"/>
    <w:multiLevelType w:val="hybridMultilevel"/>
    <w:lvl w:ilvl="0">
      <w:lvlJc w:val="left"/>
      <w:lvlText w:val="(%1)"/>
      <w:numFmt w:val="lowerLetter"/>
      <w:start w:val="1"/>
    </w:lvl>
  </w:abstractNum>
  <w:abstractNum w:abstractNumId="382">
    <w:nsid w:val="5B1FBC2D"/>
    <w:multiLevelType w:val="hybridMultilevel"/>
    <w:lvl w:ilvl="0">
      <w:lvlJc w:val="left"/>
      <w:lvlText w:val="(%1)"/>
      <w:numFmt w:val="lowerLetter"/>
      <w:start w:val="4"/>
    </w:lvl>
  </w:abstractNum>
  <w:abstractNum w:abstractNumId="383">
    <w:nsid w:val="33DFCCE8"/>
    <w:multiLevelType w:val="hybridMultilevel"/>
    <w:lvl w:ilvl="0">
      <w:lvlJc w:val="left"/>
      <w:lvlText w:val="(%1)"/>
      <w:numFmt w:val="lowerLetter"/>
      <w:start w:val="1"/>
    </w:lvl>
  </w:abstractNum>
  <w:abstractNum w:abstractNumId="384">
    <w:nsid w:val="18C45E15"/>
    <w:multiLevelType w:val="hybridMultilevel"/>
    <w:lvl w:ilvl="0">
      <w:lvlJc w:val="left"/>
      <w:lvlText w:val="(%1)"/>
      <w:numFmt w:val="lowerLetter"/>
      <w:start w:val="1"/>
    </w:lvl>
  </w:abstractNum>
  <w:abstractNum w:abstractNumId="385">
    <w:nsid w:val="6B431F25"/>
    <w:multiLevelType w:val="hybridMultilevel"/>
    <w:lvl w:ilvl="0">
      <w:lvlJc w:val="left"/>
      <w:lvlText w:val="(%1)"/>
      <w:numFmt w:val="lowerLetter"/>
      <w:start w:val="1"/>
    </w:lvl>
  </w:abstractNum>
  <w:abstractNum w:abstractNumId="386">
    <w:nsid w:val="13CD8DCB"/>
    <w:multiLevelType w:val="hybridMultilevel"/>
    <w:lvl w:ilvl="0">
      <w:lvlJc w:val="left"/>
      <w:lvlText w:val="(%1)"/>
      <w:numFmt w:val="lowerLetter"/>
      <w:start w:val="5"/>
    </w:lvl>
  </w:abstractNum>
  <w:abstractNum w:abstractNumId="387">
    <w:nsid w:val="563A1A5C"/>
    <w:multiLevelType w:val="hybridMultilevel"/>
    <w:lvl w:ilvl="0">
      <w:lvlJc w:val="left"/>
      <w:lvlText w:val="(%1)"/>
      <w:numFmt w:val="lowerLetter"/>
      <w:start w:val="1"/>
    </w:lvl>
  </w:abstractNum>
  <w:abstractNum w:abstractNumId="388">
    <w:nsid w:val="2973F88F"/>
    <w:multiLevelType w:val="hybridMultilevel"/>
    <w:lvl w:ilvl="0">
      <w:lvlJc w:val="left"/>
      <w:lvlText w:val="(%1)"/>
      <w:numFmt w:val="lowerLetter"/>
      <w:start w:val="1"/>
    </w:lvl>
  </w:abstractNum>
  <w:abstractNum w:abstractNumId="389">
    <w:nsid w:val="2C70EDAE"/>
    <w:multiLevelType w:val="hybridMultilevel"/>
    <w:lvl w:ilvl="0">
      <w:lvlJc w:val="left"/>
      <w:lvlText w:val="%1"/>
      <w:numFmt w:val="lowerLetter"/>
      <w:start w:val="1"/>
    </w:lvl>
    <w:lvl w:ilvl="1">
      <w:lvlJc w:val="left"/>
      <w:lvlText w:val="(%2)"/>
      <w:numFmt w:val="lowerLetter"/>
      <w:start w:val="2"/>
    </w:lvl>
  </w:abstractNum>
  <w:abstractNum w:abstractNumId="390">
    <w:nsid w:val="44296C6D"/>
    <w:multiLevelType w:val="hybridMultilevel"/>
    <w:lvl w:ilvl="0">
      <w:lvlJc w:val="left"/>
      <w:lvlText w:val="(%1)"/>
      <w:numFmt w:val="lowerLetter"/>
      <w:start w:val="9"/>
    </w:lvl>
    <w:lvl w:ilvl="1">
      <w:lvlJc w:val="left"/>
      <w:lvlText w:val="(%2)"/>
      <w:numFmt w:val="lowerLetter"/>
      <w:start w:val="3"/>
    </w:lvl>
  </w:abstractNum>
  <w:abstractNum w:abstractNumId="391">
    <w:nsid w:val="3A86D445"/>
    <w:multiLevelType w:val="hybridMultilevel"/>
    <w:lvl w:ilvl="0">
      <w:lvlJc w:val="left"/>
      <w:lvlText w:val="(%1)"/>
      <w:numFmt w:val="lowerLetter"/>
      <w:start w:val="1"/>
    </w:lvl>
  </w:abstractNum>
  <w:abstractNum w:abstractNumId="392">
    <w:nsid w:val="51F79246"/>
    <w:multiLevelType w:val="hybridMultilevel"/>
    <w:lvl w:ilvl="0">
      <w:lvlJc w:val="left"/>
      <w:lvlText w:val="(%1)"/>
      <w:numFmt w:val="lowerLetter"/>
      <w:start w:val="2"/>
    </w:lvl>
  </w:abstractNum>
  <w:abstractNum w:abstractNumId="393">
    <w:nsid w:val="5BC9A827"/>
    <w:multiLevelType w:val="hybridMultilevel"/>
    <w:lvl w:ilvl="0">
      <w:lvlJc w:val="left"/>
      <w:lvlText w:val="(%1)"/>
      <w:numFmt w:val="lowerLetter"/>
      <w:start w:val="1"/>
    </w:lvl>
  </w:abstractNum>
  <w:abstractNum w:abstractNumId="394">
    <w:nsid w:val="3AE37D86"/>
    <w:multiLevelType w:val="hybridMultilevel"/>
    <w:lvl w:ilvl="0">
      <w:lvlJc w:val="left"/>
      <w:lvlText w:val="(%1)"/>
      <w:numFmt w:val="lowerLetter"/>
      <w:start w:val="4"/>
    </w:lvl>
  </w:abstractNum>
  <w:abstractNum w:abstractNumId="395">
    <w:nsid w:val="45440FE5"/>
    <w:multiLevelType w:val="hybridMultilevel"/>
    <w:lvl w:ilvl="0">
      <w:lvlJc w:val="left"/>
      <w:lvlText w:val="(%1)"/>
      <w:numFmt w:val="lowerLetter"/>
      <w:start w:val="2"/>
    </w:lvl>
  </w:abstractNum>
  <w:abstractNum w:abstractNumId="396">
    <w:nsid w:val="BF783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97">
    <w:nsid w:val="22643EA9"/>
    <w:multiLevelType w:val="hybridMultilevel"/>
    <w:lvl w:ilvl="0">
      <w:lvlJc w:val="left"/>
      <w:lvlText w:val="%1."/>
      <w:numFmt w:val="decimal"/>
      <w:start w:val="4"/>
    </w:lvl>
  </w:abstractNum>
  <w:abstractNum w:abstractNumId="398">
    <w:nsid w:val="1887578D"/>
    <w:multiLevelType w:val="hybridMultilevel"/>
    <w:lvl w:ilvl="0">
      <w:lvlJc w:val="left"/>
      <w:lvlText w:val="%1."/>
      <w:numFmt w:val="decimal"/>
      <w:start w:val="5"/>
    </w:lvl>
  </w:abstractNum>
  <w:abstractNum w:abstractNumId="399">
    <w:nsid w:val="58C05B8A"/>
    <w:multiLevelType w:val="hybridMultilevel"/>
    <w:lvl w:ilvl="0">
      <w:lvlJc w:val="left"/>
      <w:lvlText w:val="(%1)"/>
      <w:numFmt w:val="decimal"/>
      <w:start w:val="5"/>
    </w:lvl>
  </w:abstractNum>
  <w:abstractNum w:abstractNumId="400">
    <w:nsid w:val="38D82E71"/>
    <w:multiLevelType w:val="hybridMultilevel"/>
    <w:lvl w:ilvl="0">
      <w:lvlJc w:val="left"/>
      <w:lvlText w:val="(%1)"/>
      <w:numFmt w:val="lowerLetter"/>
      <w:start w:val="2"/>
    </w:lvl>
  </w:abstractNum>
  <w:abstractNum w:abstractNumId="401">
    <w:nsid w:val="1E41098A"/>
    <w:multiLevelType w:val="hybridMultilevel"/>
    <w:lvl w:ilvl="0">
      <w:lvlJc w:val="left"/>
      <w:lvlText w:val="%1."/>
      <w:numFmt w:val="upperLetter"/>
      <w:start w:val="9"/>
    </w:lvl>
  </w:abstractNum>
  <w:abstractNum w:abstractNumId="402">
    <w:nsid w:val="5398582C"/>
    <w:multiLevelType w:val="hybridMultilevel"/>
    <w:lvl w:ilvl="0">
      <w:lvlJc w:val="left"/>
      <w:lvlText w:val="%1."/>
      <w:numFmt w:val="upperLetter"/>
      <w:start w:val="35"/>
    </w:lvl>
  </w:abstractNum>
  <w:abstractNum w:abstractNumId="403">
    <w:nsid w:val="1C0D4475"/>
    <w:multiLevelType w:val="hybridMultilevel"/>
    <w:lvl w:ilvl="0">
      <w:lvlJc w:val="left"/>
      <w:lvlText w:val="%1."/>
      <w:numFmt w:val="upperLetter"/>
      <w:start w:val="1"/>
    </w:lvl>
  </w:abstractNum>
  <w:abstractNum w:abstractNumId="404">
    <w:nsid w:val="2CB6A6A4"/>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405">
    <w:nsid w:val="41D646BC"/>
    <w:multiLevelType w:val="hybridMultilevel"/>
    <w:lvl w:ilvl="0">
      <w:lvlJc w:val="left"/>
      <w:lvlText w:val="(%1)"/>
      <w:numFmt w:val="decimal"/>
      <w:start w:val="1"/>
    </w:lvl>
  </w:abstractNum>
  <w:abstractNum w:abstractNumId="406">
    <w:nsid w:val="3694A76A"/>
    <w:multiLevelType w:val="hybridMultilevel"/>
    <w:lvl w:ilvl="0">
      <w:lvlJc w:val="left"/>
      <w:lvlText w:val="(%1)"/>
      <w:numFmt w:val="upperLetter"/>
      <w:start w:val="1"/>
    </w:lvl>
  </w:abstractNum>
  <w:abstractNum w:abstractNumId="407">
    <w:nsid w:val="2BF876EE"/>
    <w:multiLevelType w:val="hybridMultilevel"/>
    <w:lvl w:ilvl="0">
      <w:lvlJc w:val="left"/>
      <w:lvlText w:val="%1."/>
      <w:numFmt w:val="decimal"/>
      <w:start w:val="1"/>
    </w:lvl>
  </w:abstractNum>
  <w:abstractNum w:abstractNumId="408">
    <w:nsid w:val="675ADBA"/>
    <w:multiLevelType w:val="hybridMultilevel"/>
    <w:lvl w:ilvl="0">
      <w:lvlJc w:val="left"/>
      <w:lvlText w:val="%1"/>
      <w:numFmt w:val="decimal"/>
      <w:start w:val="1"/>
    </w:lvl>
    <w:lvl w:ilvl="1">
      <w:lvlJc w:val="left"/>
      <w:lvlText w:val="(%2)"/>
      <w:numFmt w:val="lowerLetter"/>
      <w:start w:val="1"/>
    </w:lvl>
  </w:abstractNum>
  <w:abstractNum w:abstractNumId="409">
    <w:nsid w:val="C12AC7F"/>
    <w:multiLevelType w:val="hybridMultilevel"/>
    <w:lvl w:ilvl="0">
      <w:lvlJc w:val="left"/>
      <w:lvlText w:val="%1."/>
      <w:numFmt w:val="decimal"/>
      <w:start w:val="2"/>
    </w:lvl>
    <w:lvl w:ilvl="1">
      <w:lvlJc w:val="left"/>
      <w:lvlText w:val="%2"/>
      <w:numFmt w:val="lowerLetter"/>
      <w:start w:val="1"/>
    </w:lvl>
  </w:abstractNum>
  <w:abstractNum w:abstractNumId="410">
    <w:nsid w:val="6798F039"/>
    <w:multiLevelType w:val="hybridMultilevel"/>
    <w:lvl w:ilvl="0">
      <w:lvlJc w:val="left"/>
      <w:lvlText w:val="(%1)"/>
      <w:numFmt w:val="lowerLetter"/>
      <w:start w:val="1"/>
    </w:lvl>
  </w:abstractNum>
  <w:abstractNum w:abstractNumId="411">
    <w:nsid w:val="70837C02"/>
    <w:multiLevelType w:val="hybridMultilevel"/>
    <w:lvl w:ilvl="0">
      <w:lvlJc w:val="left"/>
      <w:lvlText w:val="(%1)"/>
      <w:numFmt w:val="lowerLetter"/>
      <w:start w:val="4"/>
    </w:lvl>
  </w:abstractNum>
  <w:abstractNum w:abstractNumId="412">
    <w:nsid w:val="7E4A5715"/>
    <w:multiLevelType w:val="hybridMultilevel"/>
    <w:lvl w:ilvl="0">
      <w:lvlJc w:val="left"/>
      <w:lvlText w:val="(%1)"/>
      <w:numFmt w:val="lowerLetter"/>
      <w:start w:val="1"/>
    </w:lvl>
  </w:abstractNum>
  <w:abstractNum w:abstractNumId="413">
    <w:nsid w:val="42B8AC67"/>
    <w:multiLevelType w:val="hybridMultilevel"/>
    <w:lvl w:ilvl="0">
      <w:lvlJc w:val="left"/>
      <w:lvlText w:val="%1."/>
      <w:numFmt w:val="decimal"/>
      <w:start w:val="3"/>
    </w:lvl>
  </w:abstractNum>
  <w:abstractNum w:abstractNumId="414">
    <w:nsid w:val="246348EA"/>
    <w:multiLevelType w:val="hybridMultilevel"/>
    <w:lvl w:ilvl="0">
      <w:lvlJc w:val="left"/>
      <w:lvlText w:val="%1."/>
      <w:numFmt w:val="decimal"/>
      <w:start w:val="4"/>
    </w:lvl>
    <w:lvl w:ilvl="1">
      <w:lvlJc w:val="left"/>
      <w:lvlText w:val="(%2)"/>
      <w:numFmt w:val="lowerLetter"/>
      <w:start w:val="1"/>
    </w:lvl>
  </w:abstractNum>
  <w:abstractNum w:abstractNumId="415">
    <w:nsid w:val="170EB52B"/>
    <w:multiLevelType w:val="hybridMultilevel"/>
    <w:lvl w:ilvl="0">
      <w:lvlJc w:val="left"/>
      <w:lvlText w:val="%1."/>
      <w:numFmt w:val="decimal"/>
      <w:start w:val="5"/>
    </w:lvl>
  </w:abstractNum>
  <w:abstractNum w:abstractNumId="416">
    <w:nsid w:val="2DFBCB8C"/>
    <w:multiLevelType w:val="hybridMultilevel"/>
    <w:lvl w:ilvl="0">
      <w:lvlJc w:val="left"/>
      <w:lvlText w:val="(%1)"/>
      <w:numFmt w:val="lowerLetter"/>
      <w:start w:val="1"/>
    </w:lvl>
  </w:abstractNum>
  <w:abstractNum w:abstractNumId="417">
    <w:nsid w:val="3830D6B6"/>
    <w:multiLevelType w:val="hybridMultilevel"/>
    <w:lvl w:ilvl="0">
      <w:lvlJc w:val="left"/>
      <w:lvlText w:val="(%1)"/>
      <w:numFmt w:val="lowerLetter"/>
      <w:start w:val="1"/>
    </w:lvl>
  </w:abstractNum>
  <w:abstractNum w:abstractNumId="418">
    <w:nsid w:val="6D48CF87"/>
    <w:multiLevelType w:val="hybridMultilevel"/>
    <w:lvl w:ilvl="0">
      <w:lvlJc w:val="left"/>
      <w:lvlText w:val="%1."/>
      <w:numFmt w:val="decimal"/>
      <w:start w:val="6"/>
    </w:lvl>
    <w:lvl w:ilvl="1">
      <w:lvlJc w:val="left"/>
      <w:lvlText w:val="(%2)"/>
      <w:numFmt w:val="lowerLetter"/>
      <w:start w:val="1"/>
    </w:lvl>
  </w:abstractNum>
  <w:abstractNum w:abstractNumId="419">
    <w:nsid w:val="576FC41B"/>
    <w:multiLevelType w:val="hybridMultilevel"/>
    <w:lvl w:ilvl="0">
      <w:lvlJc w:val="left"/>
      <w:lvlText w:val="(%1)"/>
      <w:numFmt w:val="lowerLetter"/>
      <w:start w:val="3"/>
    </w:lvl>
  </w:abstractNum>
  <w:abstractNum w:abstractNumId="420">
    <w:nsid w:val="64A1C464"/>
    <w:multiLevelType w:val="hybridMultilevel"/>
    <w:lvl w:ilvl="0">
      <w:lvlJc w:val="left"/>
      <w:lvlText w:val="(%1)"/>
      <w:numFmt w:val="lowerLetter"/>
      <w:start w:val="1"/>
    </w:lvl>
  </w:abstractNum>
  <w:abstractNum w:abstractNumId="421">
    <w:nsid w:val="31723BF5"/>
    <w:multiLevelType w:val="hybridMultilevel"/>
    <w:lvl w:ilvl="0">
      <w:lvlJc w:val="left"/>
      <w:lvlText w:val="%1."/>
      <w:numFmt w:val="decimal"/>
      <w:start w:val="7"/>
    </w:lvl>
  </w:abstractNum>
  <w:abstractNum w:abstractNumId="422">
    <w:nsid w:val="11F69861"/>
    <w:multiLevelType w:val="hybridMultilevel"/>
    <w:lvl w:ilvl="0">
      <w:lvlJc w:val="left"/>
      <w:lvlText w:val="(%1)"/>
      <w:numFmt w:val="lowerLetter"/>
      <w:start w:val="1"/>
    </w:lvl>
  </w:abstractNum>
  <w:abstractNum w:abstractNumId="423">
    <w:nsid w:val="369956AB"/>
    <w:multiLevelType w:val="hybridMultilevel"/>
    <w:lvl w:ilvl="0">
      <w:lvlJc w:val="left"/>
      <w:lvlText w:val="%1."/>
      <w:numFmt w:val="decimal"/>
      <w:start w:val="8"/>
    </w:lvl>
  </w:abstractNum>
  <w:abstractNum w:abstractNumId="424">
    <w:nsid w:val="D3BE41C"/>
    <w:multiLevelType w:val="hybridMultilevel"/>
    <w:lvl w:ilvl="0">
      <w:lvlJc w:val="left"/>
      <w:lvlText w:val="%1."/>
      <w:numFmt w:val="decimal"/>
      <w:start w:val="9"/>
    </w:lvl>
  </w:abstractNum>
  <w:abstractNum w:abstractNumId="425">
    <w:nsid w:val="4CDA15E7"/>
    <w:multiLevelType w:val="hybridMultilevel"/>
    <w:lvl w:ilvl="0">
      <w:lvlJc w:val="left"/>
      <w:lvlText w:val="%1."/>
      <w:numFmt w:val="decimal"/>
      <w:start w:val="10"/>
    </w:lvl>
  </w:abstractNum>
  <w:abstractNum w:abstractNumId="426">
    <w:nsid w:val="7BDD6690"/>
    <w:multiLevelType w:val="hybridMultilevel"/>
    <w:lvl w:ilvl="0">
      <w:lvlJc w:val="left"/>
      <w:lvlText w:val="%1."/>
      <w:numFmt w:val="decimal"/>
      <w:start w:val="11"/>
    </w:lvl>
  </w:abstractNum>
  <w:abstractNum w:abstractNumId="427">
    <w:nsid w:val="DFB5C5B"/>
    <w:multiLevelType w:val="hybridMultilevel"/>
    <w:lvl w:ilvl="0">
      <w:lvlJc w:val="left"/>
      <w:lvlText w:val="%1."/>
      <w:numFmt w:val="decimal"/>
      <w:start w:val="12"/>
    </w:lvl>
  </w:abstractNum>
  <w:abstractNum w:abstractNumId="428">
    <w:nsid w:val="6F3E5490"/>
    <w:multiLevelType w:val="hybridMultilevel"/>
    <w:lvl w:ilvl="0">
      <w:lvlJc w:val="left"/>
      <w:lvlText w:val="%1."/>
      <w:numFmt w:val="decimal"/>
      <w:start w:val="13"/>
    </w:lvl>
  </w:abstractNum>
  <w:abstractNum w:abstractNumId="429">
    <w:nsid w:val="1464BE1E"/>
    <w:multiLevelType w:val="hybridMultilevel"/>
    <w:lvl w:ilvl="0">
      <w:lvlJc w:val="left"/>
      <w:lvlText w:val="%1."/>
      <w:numFmt w:val="decimal"/>
      <w:start w:val="14"/>
    </w:lvl>
  </w:abstractNum>
  <w:abstractNum w:abstractNumId="430">
    <w:nsid w:val="66BBB7E5"/>
    <w:multiLevelType w:val="hybridMultilevel"/>
    <w:lvl w:ilvl="0">
      <w:lvlJc w:val="left"/>
      <w:lvlText w:val="(%1)"/>
      <w:numFmt w:val="lowerLetter"/>
      <w:start w:val="1"/>
    </w:lvl>
  </w:abstractNum>
  <w:abstractNum w:abstractNumId="431">
    <w:nsid w:val="28168302"/>
    <w:multiLevelType w:val="hybridMultilevel"/>
    <w:lvl w:ilvl="0">
      <w:lvlJc w:val="left"/>
      <w:lvlText w:val="%1."/>
      <w:numFmt w:val="decimal"/>
      <w:start w:val="15"/>
    </w:lvl>
  </w:abstractNum>
  <w:abstractNum w:abstractNumId="432">
    <w:nsid w:val="32A5C7A8"/>
    <w:multiLevelType w:val="hybridMultilevel"/>
    <w:lvl w:ilvl="0">
      <w:lvlJc w:val="left"/>
      <w:lvlText w:val="(%1)"/>
      <w:numFmt w:val="lowerLetter"/>
      <w:start w:val="1"/>
    </w:lvl>
  </w:abstractNum>
  <w:abstractNum w:abstractNumId="433">
    <w:nsid w:val="3A541011"/>
    <w:multiLevelType w:val="hybridMultilevel"/>
    <w:lvl w:ilvl="0">
      <w:lvlJc w:val="left"/>
      <w:lvlText w:val="(%1)"/>
      <w:numFmt w:val="lowerLetter"/>
      <w:start w:val="2"/>
    </w:lvl>
  </w:abstractNum>
  <w:abstractNum w:abstractNumId="434">
    <w:nsid w:val="4423C777"/>
    <w:multiLevelType w:val="hybridMultilevel"/>
    <w:lvl w:ilvl="0">
      <w:lvlJc w:val="left"/>
      <w:lvlText w:val="%1."/>
      <w:numFmt w:val="decimal"/>
      <w:start w:val="16"/>
    </w:lvl>
  </w:abstractNum>
  <w:abstractNum w:abstractNumId="435">
    <w:nsid w:val="5F5C6E4D"/>
    <w:multiLevelType w:val="hybridMultilevel"/>
    <w:lvl w:ilvl="0">
      <w:lvlJc w:val="left"/>
      <w:lvlText w:val="%1."/>
      <w:numFmt w:val="decimal"/>
      <w:start w:val="17"/>
    </w:lvl>
  </w:abstractNum>
  <w:abstractNum w:abstractNumId="436">
    <w:nsid w:val="7C2A56CD"/>
    <w:multiLevelType w:val="hybridMultilevel"/>
    <w:lvl w:ilvl="0">
      <w:lvlJc w:val="left"/>
      <w:lvlText w:val="%1."/>
      <w:numFmt w:val="decimal"/>
      <w:start w:val="18"/>
    </w:lvl>
  </w:abstractNum>
  <w:abstractNum w:abstractNumId="437">
    <w:nsid w:val="7AB86EE1"/>
    <w:multiLevelType w:val="hybridMultilevel"/>
    <w:lvl w:ilvl="0">
      <w:lvlJc w:val="left"/>
      <w:lvlText w:val="%1"/>
      <w:numFmt w:val="decimal"/>
      <w:start w:val="1"/>
    </w:lvl>
    <w:lvl w:ilvl="1">
      <w:lvlJc w:val="left"/>
      <w:lvlText w:val="(%2)"/>
      <w:numFmt w:val="lowerLetter"/>
      <w:start w:val="1"/>
    </w:lvl>
  </w:abstractNum>
  <w:abstractNum w:abstractNumId="438">
    <w:nsid w:val="B54E53B"/>
    <w:multiLevelType w:val="hybridMultilevel"/>
    <w:lvl w:ilvl="0">
      <w:lvlJc w:val="left"/>
      <w:lvlText w:val="%1."/>
      <w:numFmt w:val="decimal"/>
      <w:start w:val="19"/>
    </w:lvl>
    <w:lvl w:ilvl="1">
      <w:lvlJc w:val="left"/>
      <w:lvlText w:val="%2"/>
      <w:numFmt w:val="lowerLetter"/>
      <w:start w:val="1"/>
    </w:lvl>
  </w:abstractNum>
  <w:abstractNum w:abstractNumId="439">
    <w:nsid w:val="2A00487"/>
    <w:multiLevelType w:val="hybridMultilevel"/>
    <w:lvl w:ilvl="0">
      <w:lvlJc w:val="left"/>
      <w:lvlText w:val="%1."/>
      <w:numFmt w:val="decimal"/>
      <w:start w:val="20"/>
    </w:lvl>
  </w:abstractNum>
  <w:abstractNum w:abstractNumId="440">
    <w:nsid w:val="6CB1B60"/>
    <w:multiLevelType w:val="hybridMultilevel"/>
    <w:lvl w:ilvl="0">
      <w:lvlJc w:val="left"/>
      <w:lvlText w:val="%1."/>
      <w:numFmt w:val="decimal"/>
      <w:start w:val="21"/>
    </w:lvl>
  </w:abstractNum>
  <w:abstractNum w:abstractNumId="441">
    <w:nsid w:val="72EDD574"/>
    <w:multiLevelType w:val="hybridMultilevel"/>
    <w:lvl w:ilvl="0">
      <w:lvlJc w:val="left"/>
      <w:lvlText w:val="(%1)"/>
      <w:numFmt w:val="lowerLetter"/>
      <w:start w:val="1"/>
    </w:lvl>
  </w:abstractNum>
  <w:abstractNum w:abstractNumId="442">
    <w:nsid w:val="7323808A"/>
    <w:multiLevelType w:val="hybridMultilevel"/>
    <w:lvl w:ilvl="0">
      <w:lvlJc w:val="left"/>
      <w:lvlText w:val="%1."/>
      <w:numFmt w:val="decimal"/>
      <w:start w:val="22"/>
    </w:lvl>
  </w:abstractNum>
  <w:abstractNum w:abstractNumId="443">
    <w:nsid w:val="5157276"/>
    <w:multiLevelType w:val="hybridMultilevel"/>
    <w:lvl w:ilvl="0">
      <w:lvlJc w:val="left"/>
      <w:lvlText w:val="%1."/>
      <w:numFmt w:val="decimal"/>
      <w:start w:val="23"/>
    </w:lvl>
  </w:abstractNum>
  <w:abstractNum w:abstractNumId="444">
    <w:nsid w:val="35A681DB"/>
    <w:multiLevelType w:val="hybridMultilevel"/>
    <w:lvl w:ilvl="0">
      <w:lvlJc w:val="left"/>
      <w:lvlText w:val="%1."/>
      <w:numFmt w:val="decimal"/>
      <w:start w:val="24"/>
    </w:lvl>
  </w:abstractNum>
  <w:abstractNum w:abstractNumId="445">
    <w:nsid w:val="1786C974"/>
    <w:multiLevelType w:val="hybridMultilevel"/>
    <w:lvl w:ilvl="0">
      <w:lvlJc w:val="left"/>
      <w:lvlText w:val="%1."/>
      <w:numFmt w:val="decimal"/>
      <w:start w:val="25"/>
    </w:lvl>
  </w:abstractNum>
  <w:abstractNum w:abstractNumId="446">
    <w:nsid w:val="1C2427A1"/>
    <w:multiLevelType w:val="hybridMultilevel"/>
    <w:lvl w:ilvl="0">
      <w:lvlJc w:val="left"/>
      <w:lvlText w:val="%1."/>
      <w:numFmt w:val="decimal"/>
      <w:start w:val="26"/>
    </w:lvl>
  </w:abstractNum>
  <w:abstractNum w:abstractNumId="447">
    <w:nsid w:val="63A24D68"/>
    <w:multiLevelType w:val="hybridMultilevel"/>
    <w:lvl w:ilvl="0">
      <w:lvlJc w:val="left"/>
      <w:lvlText w:val="%1."/>
      <w:numFmt w:val="decimal"/>
      <w:start w:val="27"/>
    </w:lvl>
  </w:abstractNum>
  <w:abstractNum w:abstractNumId="448">
    <w:nsid w:val="4FB7A02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449">
    <w:nsid w:val="96CF728"/>
    <w:multiLevelType w:val="hybridMultilevel"/>
    <w:lvl w:ilvl="0">
      <w:lvlJc w:val="left"/>
      <w:lvlText w:val="(%1)"/>
      <w:numFmt w:val="decimal"/>
      <w:start w:val="1"/>
    </w:lvl>
  </w:abstractNum>
  <w:abstractNum w:abstractNumId="450">
    <w:nsid w:val="3B121183"/>
    <w:multiLevelType w:val="hybridMultilevel"/>
    <w:lvl w:ilvl="0">
      <w:lvlJc w:val="left"/>
      <w:lvlText w:val="(%1)"/>
      <w:numFmt w:val="upperLetter"/>
      <w:start w:val="1"/>
    </w:lvl>
  </w:abstractNum>
  <w:abstractNum w:abstractNumId="451">
    <w:nsid w:val="3459648F"/>
    <w:multiLevelType w:val="hybridMultilevel"/>
    <w:lvl w:ilvl="0">
      <w:lvlJc w:val="left"/>
      <w:lvlText w:val="%1."/>
      <w:numFmt w:val="decimal"/>
      <w:start w:val="1"/>
    </w:lvl>
  </w:abstractNum>
  <w:abstractNum w:abstractNumId="452">
    <w:nsid w:val="3ADF331D"/>
    <w:multiLevelType w:val="hybridMultilevel"/>
    <w:lvl w:ilvl="0">
      <w:lvlJc w:val="left"/>
      <w:lvlText w:val="[***]"/>
      <w:numFmt w:val="bullet"/>
      <w:start w:val="1"/>
    </w:lvl>
  </w:abstractNum>
  <w:abstractNum w:abstractNumId="453">
    <w:nsid w:val="4D08A9E4"/>
    <w:multiLevelType w:val="hybridMultilevel"/>
    <w:lvl w:ilvl="0">
      <w:lvlJc w:val="left"/>
      <w:lvlText w:val="(%1)"/>
      <w:numFmt w:val="lowerLetter"/>
      <w:start w:val="1"/>
    </w:lvl>
  </w:abstractNum>
  <w:abstractNum w:abstractNumId="454">
    <w:nsid w:val="6AF2BB3A"/>
    <w:multiLevelType w:val="hybridMultilevel"/>
    <w:lvl w:ilvl="0">
      <w:lvlJc w:val="left"/>
      <w:lvlText w:val="(%1)"/>
      <w:numFmt w:val="lowerLetter"/>
      <w:start w:val="3"/>
    </w:lvl>
  </w:abstractNum>
  <w:abstractNum w:abstractNumId="455">
    <w:nsid w:val="481B1739"/>
    <w:multiLevelType w:val="hybridMultilevel"/>
    <w:lvl w:ilvl="0">
      <w:lvlJc w:val="left"/>
      <w:lvlText w:val="(%1)"/>
      <w:numFmt w:val="lowerRoman"/>
      <w:start w:val="2"/>
    </w:lvl>
  </w:abstractNum>
  <w:abstractNum w:abstractNumId="456">
    <w:nsid w:val="19E2BFCC"/>
    <w:multiLevelType w:val="hybridMultilevel"/>
    <w:lvl w:ilvl="0">
      <w:lvlJc w:val="left"/>
      <w:lvlText w:val="(%1)"/>
      <w:numFmt w:val="lowerLetter"/>
      <w:start w:val="1"/>
    </w:lvl>
  </w:abstractNum>
  <w:abstractNum w:abstractNumId="457">
    <w:nsid w:val="66D021CA"/>
    <w:multiLevelType w:val="hybridMultilevel"/>
    <w:lvl w:ilvl="0">
      <w:lvlJc w:val="left"/>
      <w:lvlText w:val="%1"/>
      <w:numFmt w:val="decimal"/>
      <w:start w:val="1"/>
    </w:lvl>
    <w:lvl w:ilvl="1">
      <w:lvlJc w:val="left"/>
      <w:lvlText w:val="(%2)"/>
      <w:numFmt w:val="lowerLetter"/>
      <w:start w:val="6"/>
    </w:lvl>
  </w:abstractNum>
  <w:abstractNum w:abstractNumId="458">
    <w:nsid w:val="56167394"/>
    <w:multiLevelType w:val="hybridMultilevel"/>
    <w:lvl w:ilvl="0">
      <w:lvlJc w:val="left"/>
      <w:lvlText w:val="%1."/>
      <w:numFmt w:val="decimal"/>
      <w:start w:val="2"/>
    </w:lvl>
    <w:lvl w:ilvl="1">
      <w:lvlJc w:val="left"/>
      <w:lvlText w:val="%2"/>
      <w:numFmt w:val="lowerLetter"/>
      <w:start w:val="1"/>
    </w:lvl>
  </w:abstractNum>
  <w:abstractNum w:abstractNumId="459">
    <w:nsid w:val="921145C"/>
    <w:multiLevelType w:val="hybridMultilevel"/>
    <w:lvl w:ilvl="0">
      <w:lvlJc w:val="left"/>
      <w:lvlText w:val="(%1)"/>
      <w:numFmt w:val="lowerLetter"/>
      <w:start w:val="1"/>
    </w:lvl>
  </w:abstractNum>
  <w:abstractNum w:abstractNumId="460">
    <w:nsid w:val="7B34DFE8"/>
    <w:multiLevelType w:val="hybridMultilevel"/>
    <w:lvl w:ilvl="0">
      <w:lvlJc w:val="left"/>
      <w:lvlText w:val="(%1)"/>
      <w:numFmt w:val="lowerLetter"/>
      <w:start w:val="13"/>
    </w:lvl>
  </w:abstractNum>
  <w:abstractNum w:abstractNumId="461">
    <w:nsid w:val="3CD22B79"/>
    <w:multiLevelType w:val="hybridMultilevel"/>
    <w:lvl w:ilvl="0">
      <w:lvlJc w:val="left"/>
      <w:lvlText w:val="(%1)"/>
      <w:numFmt w:val="lowerLetter"/>
      <w:start w:val="1"/>
    </w:lvl>
  </w:abstractNum>
  <w:abstractNum w:abstractNumId="462">
    <w:nsid w:val="3137975E"/>
    <w:multiLevelType w:val="hybridMultilevel"/>
    <w:lvl w:ilvl="0">
      <w:lvlJc w:val="left"/>
      <w:lvlText w:val="(%1)"/>
      <w:numFmt w:val="lowerLetter"/>
      <w:start w:val="2"/>
    </w:lvl>
  </w:abstractNum>
  <w:abstractNum w:abstractNumId="463">
    <w:nsid w:val="2DDAA791"/>
    <w:multiLevelType w:val="hybridMultilevel"/>
    <w:lvl w:ilvl="0">
      <w:lvlJc w:val="left"/>
      <w:lvlText w:val="%1"/>
      <w:numFmt w:val="decimal"/>
      <w:start w:val="1"/>
    </w:lvl>
    <w:lvl w:ilvl="1">
      <w:lvlJc w:val="left"/>
      <w:lvlText w:val="(%2)"/>
      <w:numFmt w:val="lowerLetter"/>
      <w:start w:val="10"/>
    </w:lvl>
  </w:abstractNum>
  <w:abstractNum w:abstractNumId="464">
    <w:nsid w:val="77263B8A"/>
    <w:multiLevelType w:val="hybridMultilevel"/>
    <w:lvl w:ilvl="0">
      <w:lvlJc w:val="left"/>
      <w:lvlText w:val="%1."/>
      <w:numFmt w:val="decimal"/>
      <w:start w:val="3"/>
    </w:lvl>
    <w:lvl w:ilvl="1">
      <w:lvlJc w:val="left"/>
      <w:lvlText w:val="%2"/>
      <w:numFmt w:val="lowerLetter"/>
      <w:start w:val="1"/>
    </w:lvl>
  </w:abstractNum>
  <w:abstractNum w:abstractNumId="465">
    <w:nsid w:val="755B5ED6"/>
    <w:multiLevelType w:val="hybridMultilevel"/>
    <w:lvl w:ilvl="0">
      <w:lvlJc w:val="left"/>
      <w:lvlText w:val="%1."/>
      <w:numFmt w:val="decimal"/>
      <w:start w:val="4"/>
    </w:lvl>
  </w:abstractNum>
  <w:abstractNum w:abstractNumId="466">
    <w:nsid w:val="D3715DE"/>
    <w:multiLevelType w:val="hybridMultilevel"/>
    <w:lvl w:ilvl="0">
      <w:lvlJc w:val="left"/>
      <w:lvlText w:val="%1."/>
      <w:numFmt w:val="decimal"/>
      <w:start w:val="5"/>
    </w:lvl>
  </w:abstractNum>
  <w:abstractNum w:abstractNumId="467">
    <w:nsid w:val="7350925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68">
    <w:nsid w:val="7013CDB7"/>
    <w:multiLevelType w:val="hybridMultilevel"/>
    <w:lvl w:ilvl="0">
      <w:lvlJc w:val="left"/>
      <w:lvlText w:val="(%1)"/>
      <w:numFmt w:val="lowerLetter"/>
      <w:start w:val="1"/>
    </w:lvl>
    <w:lvl w:ilvl="1">
      <w:lvlJc w:val="left"/>
      <w:lvlText w:val="(%2)"/>
      <w:numFmt w:val="lowerLetter"/>
      <w:start w:val="9"/>
    </w:lvl>
  </w:abstractNum>
  <w:abstractNum w:abstractNumId="469">
    <w:nsid w:val="188BFB19"/>
    <w:multiLevelType w:val="hybridMultilevel"/>
    <w:lvl w:ilvl="0">
      <w:lvlJc w:val="left"/>
      <w:lvlText w:val="%1"/>
      <w:numFmt w:val="decimal"/>
      <w:start w:val="1"/>
    </w:lvl>
    <w:lvl w:ilvl="1">
      <w:lvlJc w:val="left"/>
      <w:lvlText w:val="(%2)"/>
      <w:numFmt w:val="lowerRoman"/>
      <w:start w:val="2"/>
    </w:lvl>
  </w:abstractNum>
  <w:abstractNum w:abstractNumId="470">
    <w:nsid w:val="75F096DF"/>
    <w:multiLevelType w:val="hybridMultilevel"/>
    <w:lvl w:ilvl="0">
      <w:lvlJc w:val="left"/>
      <w:lvlText w:val="(%1)"/>
      <w:numFmt w:val="decimal"/>
      <w:start w:val="1"/>
    </w:lvl>
    <w:lvl w:ilvl="1">
      <w:lvlJc w:val="left"/>
      <w:lvlText w:val="%2"/>
      <w:numFmt w:val="lowerRoman"/>
      <w:start w:val="1"/>
    </w:lvl>
  </w:abstractNum>
  <w:abstractNum w:abstractNumId="471">
    <w:nsid w:val="76DEE918"/>
    <w:multiLevelType w:val="hybridMultilevel"/>
    <w:lvl w:ilvl="0">
      <w:lvlJc w:val="left"/>
      <w:lvlText w:val="(%1)"/>
      <w:numFmt w:val="decimal"/>
      <w:start w:val="1"/>
    </w:lvl>
  </w:abstractNum>
  <w:abstractNum w:abstractNumId="472">
    <w:nsid w:val="B79D08D"/>
    <w:multiLevelType w:val="hybridMultilevel"/>
    <w:lvl w:ilvl="0">
      <w:lvlJc w:val="left"/>
      <w:lvlText w:val="(%1)"/>
      <w:numFmt w:val="lowerLetter"/>
      <w:start w:val="2"/>
    </w:lvl>
    <w:lvl w:ilvl="1">
      <w:lvlJc w:val="left"/>
      <w:lvlText w:val="(%2)"/>
      <w:numFmt w:val="lowerRoman"/>
      <w:start w:val="1"/>
    </w:lvl>
  </w:abstractNum>
  <w:abstractNum w:abstractNumId="473">
    <w:nsid w:val="69141769"/>
    <w:multiLevelType w:val="hybridMultilevel"/>
    <w:lvl w:ilvl="0">
      <w:lvlJc w:val="left"/>
      <w:lvlText w:val="(%1)"/>
      <w:numFmt w:val="lowerLetter"/>
      <w:start w:val="3"/>
    </w:lvl>
    <w:lvl w:ilvl="1">
      <w:lvlJc w:val="left"/>
      <w:lvlText w:val="(%2)"/>
      <w:numFmt w:val="lowerRoman"/>
      <w:start w:val="1"/>
    </w:lvl>
  </w:abstractNum>
  <w:abstractNum w:abstractNumId="474">
    <w:nsid w:val="7BF45B8E"/>
    <w:multiLevelType w:val="hybridMultilevel"/>
    <w:lvl w:ilvl="0">
      <w:lvlJc w:val="left"/>
      <w:lvlText w:val="(%1)"/>
      <w:numFmt w:val="lowerRoman"/>
      <w:start w:val="3"/>
    </w:lvl>
  </w:abstractNum>
  <w:abstractNum w:abstractNumId="475">
    <w:nsid w:val="41205269"/>
    <w:multiLevelType w:val="hybridMultilevel"/>
    <w:lvl w:ilvl="0">
      <w:lvlJc w:val="left"/>
      <w:lvlText w:val="(%1)"/>
      <w:numFmt w:val="lowerRoman"/>
      <w:start w:val="5"/>
    </w:lvl>
  </w:abstractNum>
  <w:abstractNum w:abstractNumId="476">
    <w:nsid w:val="9AE0DD"/>
    <w:multiLevelType w:val="hybridMultilevel"/>
    <w:lvl w:ilvl="0">
      <w:lvlJc w:val="left"/>
      <w:lvlText w:val="%1."/>
      <w:numFmt w:val="decimal"/>
      <w:start w:val="6"/>
    </w:lvl>
  </w:abstractNum>
  <w:abstractNum w:abstractNumId="477">
    <w:nsid w:val="1818832F"/>
    <w:multiLevelType w:val="hybridMultilevel"/>
    <w:lvl w:ilvl="0">
      <w:lvlJc w:val="left"/>
      <w:lvlText w:val="%1."/>
      <w:numFmt w:val="decimal"/>
      <w:start w:val="7"/>
    </w:lvl>
  </w:abstractNum>
  <w:abstractNum w:abstractNumId="478">
    <w:nsid w:val="24C29FD1"/>
    <w:multiLevelType w:val="hybridMultilevel"/>
    <w:lvl w:ilvl="0">
      <w:lvlJc w:val="left"/>
      <w:lvlText w:val="%1"/>
      <w:numFmt w:val="lowerLetter"/>
      <w:start w:val="1"/>
    </w:lvl>
    <w:lvl w:ilvl="1">
      <w:lvlJc w:val="left"/>
      <w:lvlText w:val="(%2)"/>
      <w:numFmt w:val="lowerLetter"/>
      <w:start w:val="1"/>
    </w:lvl>
  </w:abstractNum>
  <w:abstractNum w:abstractNumId="479">
    <w:nsid w:val="50528108"/>
    <w:multiLevelType w:val="hybridMultilevel"/>
    <w:lvl w:ilvl="0">
      <w:lvlJc w:val="left"/>
      <w:lvlText w:val="(%1)"/>
      <w:numFmt w:val="lowerLetter"/>
      <w:start w:val="9"/>
    </w:lvl>
    <w:lvl w:ilvl="1">
      <w:lvlJc w:val="left"/>
      <w:lvlText w:val="(%2)"/>
      <w:numFmt w:val="lowerLetter"/>
      <w:start w:val="2"/>
    </w:lvl>
  </w:abstractNum>
  <w:abstractNum w:abstractNumId="480">
    <w:nsid w:val="21857A57"/>
    <w:multiLevelType w:val="hybridMultilevel"/>
    <w:lvl w:ilvl="0">
      <w:lvlJc w:val="left"/>
      <w:lvlText w:val="(%1)"/>
      <w:numFmt w:val="lowerLetter"/>
      <w:start w:val="35"/>
    </w:lvl>
    <w:lvl w:ilvl="1">
      <w:lvlJc w:val="left"/>
      <w:lvlText w:val="%2"/>
      <w:numFmt w:val="lowerLetter"/>
      <w:start w:val="1"/>
    </w:lvl>
  </w:abstractNum>
  <w:abstractNum w:abstractNumId="481">
    <w:nsid w:val="5FD4B154"/>
    <w:multiLevelType w:val="hybridMultilevel"/>
    <w:lvl w:ilvl="0">
      <w:lvlJc w:val="left"/>
      <w:lvlText w:val="%1."/>
      <w:numFmt w:val="decimal"/>
      <w:start w:val="8"/>
    </w:lvl>
    <w:lvl w:ilvl="1">
      <w:lvlJc w:val="left"/>
      <w:lvlText w:val="(%2)"/>
      <w:numFmt w:val="lowerLetter"/>
      <w:start w:val="1"/>
    </w:lvl>
  </w:abstractNum>
  <w:abstractNum w:abstractNumId="482">
    <w:nsid w:val="4ABE597"/>
    <w:multiLevelType w:val="hybridMultilevel"/>
    <w:lvl w:ilvl="0">
      <w:lvlJc w:val="left"/>
      <w:lvlText w:val="%1."/>
      <w:numFmt w:val="decimal"/>
      <w:start w:val="9"/>
    </w:lvl>
    <w:lvl w:ilvl="1">
      <w:lvlJc w:val="left"/>
      <w:lvlText w:val="(%2)"/>
      <w:numFmt w:val="lowerLetter"/>
      <w:start w:val="1"/>
    </w:lvl>
  </w:abstractNum>
  <w:abstractNum w:abstractNumId="483">
    <w:nsid w:val="5C64AD75"/>
    <w:multiLevelType w:val="hybridMultilevel"/>
    <w:lvl w:ilvl="0">
      <w:lvlJc w:val="left"/>
      <w:lvlText w:val="(%1)"/>
      <w:numFmt w:val="lowerLetter"/>
      <w:start w:val="1"/>
    </w:lvl>
  </w:abstractNum>
  <w:abstractNum w:abstractNumId="484">
    <w:nsid w:val="2CDD5B39"/>
    <w:multiLevelType w:val="hybridMultilevel"/>
    <w:lvl w:ilvl="0">
      <w:lvlJc w:val="left"/>
      <w:lvlText w:val="(%1)"/>
      <w:numFmt w:val="lowerLetter"/>
      <w:start w:val="3"/>
    </w:lvl>
  </w:abstractNum>
  <w:abstractNum w:abstractNumId="485">
    <w:nsid w:val="6F9EA0D1"/>
    <w:multiLevelType w:val="hybridMultilevel"/>
    <w:lvl w:ilvl="0">
      <w:lvlJc w:val="left"/>
      <w:lvlText w:val="%1."/>
      <w:numFmt w:val="decimal"/>
      <w:start w:val="10"/>
    </w:lvl>
  </w:abstractNum>
  <w:abstractNum w:abstractNumId="486">
    <w:nsid w:val="247FC4AE"/>
    <w:multiLevelType w:val="hybridMultilevel"/>
    <w:lvl w:ilvl="0">
      <w:lvlJc w:val="left"/>
      <w:lvlText w:val="(%1)"/>
      <w:numFmt w:val="lowerLetter"/>
      <w:start w:val="1"/>
    </w:lvl>
  </w:abstractNum>
  <w:abstractNum w:abstractNumId="487">
    <w:nsid w:val="46C01B05"/>
    <w:multiLevelType w:val="hybridMultilevel"/>
    <w:lvl w:ilvl="0">
      <w:lvlJc w:val="left"/>
      <w:lvlText w:val="%1."/>
      <w:numFmt w:val="decimal"/>
      <w:start w:val="11"/>
    </w:lvl>
    <w:lvl w:ilvl="1">
      <w:lvlJc w:val="left"/>
      <w:lvlText w:val="(%2)"/>
      <w:numFmt w:val="lowerLetter"/>
      <w:start w:val="1"/>
    </w:lvl>
  </w:abstractNum>
  <w:abstractNum w:abstractNumId="488">
    <w:nsid w:val="566EC29B"/>
    <w:multiLevelType w:val="hybridMultilevel"/>
    <w:lvl w:ilvl="0">
      <w:lvlJc w:val="left"/>
      <w:lvlText w:val="(%1)"/>
      <w:numFmt w:val="lowerLetter"/>
      <w:start w:val="2"/>
    </w:lvl>
  </w:abstractNum>
  <w:abstractNum w:abstractNumId="489">
    <w:nsid w:val="7A963843"/>
    <w:multiLevelType w:val="hybridMultilevel"/>
    <w:lvl w:ilvl="0">
      <w:lvlJc w:val="left"/>
      <w:lvlText w:val="%1."/>
      <w:numFmt w:val="decimal"/>
      <w:start w:val="12"/>
    </w:lvl>
  </w:abstractNum>
  <w:abstractNum w:abstractNumId="490">
    <w:nsid w:val="4FE12F61"/>
    <w:multiLevelType w:val="hybridMultilevel"/>
    <w:lvl w:ilvl="0">
      <w:lvlJc w:val="left"/>
      <w:lvlText w:val="(%1)"/>
      <w:numFmt w:val="lowerLetter"/>
      <w:start w:val="1"/>
    </w:lvl>
    <w:lvl w:ilvl="1">
      <w:lvlJc w:val="left"/>
      <w:lvlText w:val="(%2)"/>
      <w:numFmt w:val="lowerRoman"/>
      <w:start w:val="1"/>
    </w:lvl>
  </w:abstractNum>
  <w:abstractNum w:abstractNumId="491">
    <w:nsid w:val="51A3A284"/>
    <w:multiLevelType w:val="hybridMultilevel"/>
    <w:lvl w:ilvl="0">
      <w:lvlJc w:val="left"/>
      <w:lvlText w:val="(%1)"/>
      <w:numFmt w:val="lowerLetter"/>
      <w:start w:val="1"/>
    </w:lvl>
  </w:abstractNum>
  <w:abstractNum w:abstractNumId="492">
    <w:nsid w:val="376863BC"/>
    <w:multiLevelType w:val="hybridMultilevel"/>
    <w:lvl w:ilvl="0">
      <w:lvlJc w:val="left"/>
      <w:lvlText w:val="%1."/>
      <w:numFmt w:val="decimal"/>
      <w:start w:val="13"/>
    </w:lvl>
    <w:lvl w:ilvl="1">
      <w:lvlJc w:val="left"/>
      <w:lvlText w:val="(%2)"/>
      <w:numFmt w:val="lowerLetter"/>
      <w:start w:val="1"/>
    </w:lvl>
  </w:abstractNum>
  <w:abstractNum w:abstractNumId="493">
    <w:nsid w:val="118C6C0"/>
    <w:multiLevelType w:val="hybridMultilevel"/>
    <w:lvl w:ilvl="0">
      <w:lvlJc w:val="left"/>
      <w:lvlText w:val="%1"/>
      <w:numFmt w:val="decimal"/>
      <w:start w:val="1"/>
    </w:lvl>
    <w:lvl w:ilvl="1">
      <w:lvlJc w:val="left"/>
      <w:lvlText w:val="(%2)"/>
      <w:numFmt w:val="lowerLetter"/>
      <w:start w:val="1"/>
    </w:lvl>
  </w:abstractNum>
  <w:abstractNum w:abstractNumId="494">
    <w:nsid w:val="7F7E4A15"/>
    <w:multiLevelType w:val="hybridMultilevel"/>
    <w:lvl w:ilvl="0">
      <w:lvlJc w:val="left"/>
      <w:lvlText w:val="%1."/>
      <w:numFmt w:val="decimal"/>
      <w:start w:val="14"/>
    </w:lvl>
    <w:lvl w:ilvl="1">
      <w:lvlJc w:val="left"/>
      <w:lvlText w:val="%2"/>
      <w:numFmt w:val="lowerLetter"/>
      <w:start w:val="1"/>
    </w:lvl>
  </w:abstractNum>
  <w:abstractNum w:abstractNumId="495">
    <w:nsid w:val="2E8E9F47"/>
    <w:multiLevelType w:val="hybridMultilevel"/>
    <w:lvl w:ilvl="0">
      <w:lvlJc w:val="left"/>
      <w:lvlText w:val="(%1)"/>
      <w:numFmt w:val="lowerLetter"/>
      <w:start w:val="1"/>
    </w:lvl>
  </w:abstractNum>
  <w:abstractNum w:abstractNumId="496">
    <w:nsid w:val="76742596"/>
    <w:multiLevelType w:val="hybridMultilevel"/>
    <w:lvl w:ilvl="0">
      <w:lvlJc w:val="left"/>
      <w:lvlText w:val="%1."/>
      <w:numFmt w:val="decimal"/>
      <w:start w:val="15"/>
    </w:lvl>
  </w:abstractNum>
  <w:abstractNum w:abstractNumId="497">
    <w:nsid w:val="CB55FF3"/>
    <w:multiLevelType w:val="hybridMultilevel"/>
    <w:lvl w:ilvl="0">
      <w:lvlJc w:val="left"/>
      <w:lvlText w:val="%1."/>
      <w:numFmt w:val="decimal"/>
      <w:start w:val="16"/>
    </w:lvl>
  </w:abstractNum>
  <w:abstractNum w:abstractNumId="498">
    <w:nsid w:val="21DF319E"/>
    <w:multiLevelType w:val="hybridMultilevel"/>
    <w:lvl w:ilvl="0">
      <w:lvlJc w:val="left"/>
      <w:lvlText w:val="%1."/>
      <w:numFmt w:val="decimal"/>
      <w:start w:val="17"/>
    </w:lvl>
  </w:abstractNum>
  <w:abstractNum w:abstractNumId="499">
    <w:nsid w:val="6687F34D"/>
    <w:multiLevelType w:val="hybridMultilevel"/>
    <w:lvl w:ilvl="0">
      <w:lvlJc w:val="left"/>
      <w:lvlText w:val="(%1)"/>
      <w:numFmt w:val="lowerLetter"/>
      <w:start w:val="1"/>
    </w:lvl>
  </w:abstractNum>
  <w:abstractNum w:abstractNumId="500">
    <w:nsid w:val="25415B0C"/>
    <w:multiLevelType w:val="hybridMultilevel"/>
    <w:lvl w:ilvl="0">
      <w:lvlJc w:val="left"/>
      <w:lvlText w:val="(%1)"/>
      <w:numFmt w:val="lowerLetter"/>
      <w:start w:val="4"/>
    </w:lvl>
  </w:abstractNum>
  <w:abstractNum w:abstractNumId="501">
    <w:nsid w:val="17CFC87D"/>
    <w:multiLevelType w:val="hybridMultilevel"/>
    <w:lvl w:ilvl="0">
      <w:lvlJc w:val="left"/>
      <w:lvlText w:val="(%1)"/>
      <w:numFmt w:val="lowerLetter"/>
      <w:start w:val="1"/>
    </w:lvl>
  </w:abstractNum>
  <w:abstractNum w:abstractNumId="502">
    <w:nsid w:val="5D66DC65"/>
    <w:multiLevelType w:val="hybridMultilevel"/>
    <w:lvl w:ilvl="0">
      <w:lvlJc w:val="left"/>
      <w:lvlText w:val="%1."/>
      <w:numFmt w:val="decimal"/>
      <w:start w:val="18"/>
    </w:lvl>
  </w:abstractNum>
  <w:abstractNum w:abstractNumId="503">
    <w:nsid w:val="30BB2B99"/>
    <w:multiLevelType w:val="hybridMultilevel"/>
    <w:lvl w:ilvl="0">
      <w:lvlJc w:val="left"/>
      <w:lvlText w:val="%1."/>
      <w:numFmt w:val="decimal"/>
      <w:start w:val="19"/>
    </w:lvl>
  </w:abstractNum>
  <w:abstractNum w:abstractNumId="504">
    <w:nsid w:val="E3DFE6"/>
    <w:multiLevelType w:val="hybridMultilevel"/>
    <w:lvl w:ilvl="0">
      <w:lvlJc w:val="left"/>
      <w:lvlText w:val="(%1)"/>
      <w:numFmt w:val="lowerLetter"/>
      <w:start w:val="1"/>
    </w:lvl>
  </w:abstractNum>
  <w:abstractNum w:abstractNumId="505">
    <w:nsid w:val="595B37F3"/>
    <w:multiLevelType w:val="hybridMultilevel"/>
    <w:lvl w:ilvl="0">
      <w:lvlJc w:val="left"/>
      <w:lvlText w:val="%1"/>
      <w:numFmt w:val="decimal"/>
      <w:start w:val="1"/>
    </w:lvl>
    <w:lvl w:ilvl="1">
      <w:lvlJc w:val="left"/>
      <w:lvlText w:val="(%2)"/>
      <w:numFmt w:val="lowerLetter"/>
      <w:start w:val="5"/>
    </w:lvl>
  </w:abstractNum>
  <w:abstractNum w:abstractNumId="506">
    <w:nsid w:val="71DB7E02"/>
    <w:multiLevelType w:val="hybridMultilevel"/>
    <w:lvl w:ilvl="0">
      <w:lvlJc w:val="left"/>
      <w:lvlText w:val="%1."/>
      <w:numFmt w:val="decimal"/>
      <w:start w:val="20"/>
    </w:lvl>
    <w:lvl w:ilvl="1">
      <w:lvlJc w:val="left"/>
      <w:lvlText w:val="(%2)"/>
      <w:numFmt w:val="lowerLetter"/>
      <w:start w:val="1"/>
    </w:lvl>
  </w:abstractNum>
  <w:abstractNum w:abstractNumId="507">
    <w:nsid w:val="17EC0C4"/>
    <w:multiLevelType w:val="hybridMultilevel"/>
    <w:lvl w:ilvl="0">
      <w:lvlJc w:val="left"/>
      <w:lvlText w:val="%1."/>
      <w:numFmt w:val="decimal"/>
      <w:start w:val="21"/>
    </w:lvl>
  </w:abstractNum>
  <w:abstractNum w:abstractNumId="508">
    <w:nsid w:val="7173BB22"/>
    <w:multiLevelType w:val="hybridMultilevel"/>
    <w:lvl w:ilvl="0">
      <w:lvlJc w:val="left"/>
      <w:lvlText w:val="(%1)"/>
      <w:numFmt w:val="lowerLetter"/>
      <w:start w:val="1"/>
    </w:lvl>
  </w:abstractNum>
  <w:abstractNum w:abstractNumId="509">
    <w:nsid w:val="169E1DD3"/>
    <w:multiLevelType w:val="hybridMultilevel"/>
    <w:lvl w:ilvl="0">
      <w:lvlJc w:val="left"/>
      <w:lvlText w:val="%1."/>
      <w:numFmt w:val="decimal"/>
      <w:start w:val="22"/>
    </w:lvl>
  </w:abstractNum>
  <w:abstractNum w:abstractNumId="510">
    <w:nsid w:val="51D141CC"/>
    <w:multiLevelType w:val="hybridMultilevel"/>
    <w:lvl w:ilvl="0">
      <w:lvlJc w:val="left"/>
      <w:lvlText w:val="(%1)"/>
      <w:numFmt w:val="lowerLetter"/>
      <w:start w:val="1"/>
    </w:lvl>
  </w:abstractNum>
  <w:abstractNum w:abstractNumId="511">
    <w:nsid w:val="12F9357A"/>
    <w:multiLevelType w:val="hybridMultilevel"/>
    <w:lvl w:ilvl="0">
      <w:lvlJc w:val="left"/>
      <w:lvlText w:val="(%1)"/>
      <w:numFmt w:val="lowerLetter"/>
      <w:start w:val="2"/>
    </w:lvl>
  </w:abstractNum>
  <w:abstractNum w:abstractNumId="512">
    <w:nsid w:val="7672CF28"/>
    <w:multiLevelType w:val="hybridMultilevel"/>
    <w:lvl w:ilvl="0">
      <w:lvlJc w:val="left"/>
      <w:lvlText w:val="%1."/>
      <w:numFmt w:val="decimal"/>
      <w:start w:val="23"/>
    </w:lvl>
  </w:abstractNum>
  <w:abstractNum w:abstractNumId="513">
    <w:nsid w:val="567D2763"/>
    <w:multiLevelType w:val="hybridMultilevel"/>
    <w:lvl w:ilvl="0">
      <w:lvlJc w:val="left"/>
      <w:lvlText w:val="%1."/>
      <w:numFmt w:val="decimal"/>
      <w:start w:val="24"/>
    </w:lvl>
  </w:abstractNum>
  <w:abstractNum w:abstractNumId="514">
    <w:nsid w:val="6F5DE2EF"/>
    <w:multiLevelType w:val="hybridMultilevel"/>
    <w:lvl w:ilvl="0">
      <w:lvlJc w:val="left"/>
      <w:lvlText w:val="%1."/>
      <w:numFmt w:val="decimal"/>
      <w:start w:val="25"/>
    </w:lvl>
  </w:abstractNum>
  <w:abstractNum w:abstractNumId="515">
    <w:nsid w:val="23502A61"/>
    <w:multiLevelType w:val="hybridMultilevel"/>
    <w:lvl w:ilvl="0">
      <w:lvlJc w:val="left"/>
      <w:lvlText w:val="%1"/>
      <w:numFmt w:val="decimal"/>
      <w:start w:val="1"/>
    </w:lvl>
    <w:lvl w:ilvl="1">
      <w:lvlJc w:val="left"/>
      <w:lvlText w:val="(%2)"/>
      <w:numFmt w:val="lowerLetter"/>
      <w:start w:val="1"/>
    </w:lvl>
  </w:abstractNum>
  <w:abstractNum w:abstractNumId="516">
    <w:nsid w:val="461BC834"/>
    <w:multiLevelType w:val="hybridMultilevel"/>
    <w:lvl w:ilvl="0">
      <w:lvlJc w:val="left"/>
      <w:lvlText w:val="%1."/>
      <w:numFmt w:val="decimal"/>
      <w:start w:val="26"/>
    </w:lvl>
    <w:lvl w:ilvl="1">
      <w:lvlJc w:val="left"/>
      <w:lvlText w:val="%2"/>
      <w:numFmt w:val="lowerLetter"/>
      <w:start w:val="1"/>
    </w:lvl>
  </w:abstractNum>
  <w:abstractNum w:abstractNumId="517">
    <w:nsid w:val="13DDA79D"/>
    <w:multiLevelType w:val="hybridMultilevel"/>
    <w:lvl w:ilvl="0">
      <w:lvlJc w:val="left"/>
      <w:lvlText w:val="%1."/>
      <w:numFmt w:val="decimal"/>
      <w:start w:val="27"/>
    </w:lvl>
  </w:abstractNum>
  <w:abstractNum w:abstractNumId="518">
    <w:nsid w:val="6A104566"/>
    <w:multiLevelType w:val="hybridMultilevel"/>
    <w:lvl w:ilvl="0">
      <w:lvlJc w:val="left"/>
      <w:lvlText w:val="%1."/>
      <w:numFmt w:val="decimal"/>
      <w:start w:val="28"/>
    </w:lvl>
  </w:abstractNum>
  <w:abstractNum w:abstractNumId="519">
    <w:nsid w:val="1C8A8ACF"/>
    <w:multiLevelType w:val="hybridMultilevel"/>
    <w:lvl w:ilvl="0">
      <w:lvlJc w:val="left"/>
      <w:lvlText w:val="(%1)"/>
      <w:numFmt w:val="lowerLetter"/>
      <w:start w:val="1"/>
    </w:lvl>
  </w:abstractNum>
  <w:abstractNum w:abstractNumId="520">
    <w:nsid w:val="E73DFE0"/>
    <w:multiLevelType w:val="hybridMultilevel"/>
    <w:lvl w:ilvl="0">
      <w:lvlJc w:val="left"/>
      <w:lvlText w:val="%1."/>
      <w:numFmt w:val="decimal"/>
      <w:start w:val="29"/>
    </w:lvl>
  </w:abstractNum>
  <w:abstractNum w:abstractNumId="521">
    <w:nsid w:val="39F174C7"/>
    <w:multiLevelType w:val="hybridMultilevel"/>
    <w:lvl w:ilvl="0">
      <w:lvlJc w:val="left"/>
      <w:lvlText w:val="%1."/>
      <w:numFmt w:val="decimal"/>
      <w:start w:val="30"/>
    </w:lvl>
  </w:abstractNum>
  <w:abstractNum w:abstractNumId="522">
    <w:nsid w:val="6E2E2D53"/>
    <w:multiLevelType w:val="hybridMultilevel"/>
    <w:lvl w:ilvl="0">
      <w:lvlJc w:val="left"/>
      <w:lvlText w:val="%1."/>
      <w:numFmt w:val="decimal"/>
      <w:start w:val="31"/>
    </w:lvl>
  </w:abstractNum>
  <w:abstractNum w:abstractNumId="523">
    <w:nsid w:val="45DC439D"/>
    <w:multiLevelType w:val="hybridMultilevel"/>
    <w:lvl w:ilvl="0">
      <w:lvlJc w:val="left"/>
      <w:lvlText w:val="%1."/>
      <w:numFmt w:val="decimal"/>
      <w:start w:val="32"/>
    </w:lvl>
  </w:abstractNum>
  <w:abstractNum w:abstractNumId="524">
    <w:nsid w:val="3B0A3B87"/>
    <w:multiLevelType w:val="hybridMultilevel"/>
    <w:lvl w:ilvl="0">
      <w:lvlJc w:val="left"/>
      <w:lvlText w:val="%1."/>
      <w:numFmt w:val="decimal"/>
      <w:start w:val="33"/>
    </w:lvl>
  </w:abstractNum>
  <w:abstractNum w:abstractNumId="525">
    <w:nsid w:val="6DAC7768"/>
    <w:multiLevelType w:val="hybridMultilevel"/>
    <w:lvl w:ilvl="0">
      <w:lvlJc w:val="left"/>
      <w:lvlText w:val="%1."/>
      <w:numFmt w:val="decimal"/>
      <w:start w:val="34"/>
    </w:lvl>
  </w:abstractNum>
  <w:abstractNum w:abstractNumId="526">
    <w:nsid w:val="746AE2E4"/>
    <w:multiLevelType w:val="hybridMultilevel"/>
    <w:lvl w:ilvl="0">
      <w:lvlJc w:val="left"/>
      <w:lvlText w:val="%1."/>
      <w:numFmt w:val="decimal"/>
      <w:start w:val="1"/>
    </w:lvl>
  </w:abstractNum>
  <w:abstractNum w:abstractNumId="527">
    <w:nsid w:val="317E611D"/>
    <w:multiLevelType w:val="hybridMultilevel"/>
    <w:lvl w:ilvl="0">
      <w:lvlJc w:val="left"/>
      <w:lvlText w:val="%1."/>
      <w:numFmt w:val="decimal"/>
      <w:start w:val="4"/>
    </w:lvl>
  </w:abstractNum>
  <w:abstractNum w:abstractNumId="528">
    <w:nsid w:val="7A61D75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29">
    <w:nsid w:val="164A1482"/>
    <w:multiLevelType w:val="hybridMultilevel"/>
    <w:lvl w:ilvl="0">
      <w:lvlJc w:val="left"/>
      <w:lvlText w:val="•"/>
      <w:numFmt w:val="bullet"/>
      <w:start w:val="1"/>
    </w:lvl>
  </w:abstractNum>
  <w:abstractNum w:abstractNumId="530">
    <w:nsid w:val="1806546B"/>
    <w:multiLevelType w:val="hybridMultilevel"/>
    <w:lvl w:ilvl="0">
      <w:lvlJc w:val="left"/>
      <w:lvlText w:val="%1)"/>
      <w:numFmt w:val="lowerLetter"/>
      <w:start w:val="2"/>
    </w:lvl>
    <w:lvl w:ilvl="1">
      <w:lvlJc w:val="left"/>
      <w:lvlText w:val="•"/>
      <w:numFmt w:val="bullet"/>
      <w:start w:val="1"/>
    </w:lvl>
  </w:abstractNum>
  <w:abstractNum w:abstractNumId="531">
    <w:nsid w:val="1FA33267"/>
    <w:multiLevelType w:val="hybridMultilevel"/>
    <w:lvl w:ilvl="0">
      <w:lvlJc w:val="left"/>
      <w:lvlText w:val="%1)"/>
      <w:numFmt w:val="lowerLetter"/>
      <w:start w:val="5"/>
    </w:lvl>
  </w:abstractNum>
  <w:abstractNum w:abstractNumId="532">
    <w:nsid w:val="2E19DD00"/>
    <w:multiLevelType w:val="hybridMultilevel"/>
    <w:lvl w:ilvl="0">
      <w:lvlJc w:val="left"/>
      <w:lvlText w:val="%1."/>
      <w:numFmt w:val="decimal"/>
      <w:start w:val="1"/>
    </w:lvl>
  </w:abstractNum>
  <w:abstractNum w:abstractNumId="533">
    <w:nsid w:val="756D30D0"/>
    <w:multiLevelType w:val="hybridMultilevel"/>
    <w:lvl w:ilvl="0">
      <w:lvlJc w:val="left"/>
      <w:lvlText w:val="%1."/>
      <w:numFmt w:val="decimal"/>
      <w:start w:val="1"/>
    </w:lvl>
  </w:abstractNum>
  <w:abstractNum w:abstractNumId="534">
    <w:nsid w:val="505E5E01"/>
    <w:multiLevelType w:val="hybridMultilevel"/>
    <w:lvl w:ilvl="0">
      <w:lvlJc w:val="left"/>
      <w:lvlText w:val="%1."/>
      <w:numFmt w:val="decimal"/>
      <w:start w:val="3"/>
    </w:lvl>
  </w:abstractNum>
  <w:abstractNum w:abstractNumId="535">
    <w:nsid w:val="2EFDBCE6"/>
    <w:multiLevelType w:val="hybridMultilevel"/>
    <w:lvl w:ilvl="0">
      <w:lvlJc w:val="left"/>
      <w:lvlText w:val="%1."/>
      <w:numFmt w:val="decimal"/>
      <w:start w:val="1"/>
    </w:lvl>
  </w:abstractNum>
  <w:abstractNum w:abstractNumId="536">
    <w:nsid w:val="4EC868C4"/>
    <w:multiLevelType w:val="hybridMultilevel"/>
    <w:lvl w:ilvl="0">
      <w:lvlJc w:val="left"/>
      <w:lvlText w:val="(%1)"/>
      <w:numFmt w:val="lowerLetter"/>
      <w:start w:val="1"/>
    </w:lvl>
  </w:abstractNum>
  <w:abstractNum w:abstractNumId="537">
    <w:nsid w:val="4239DC03"/>
    <w:multiLevelType w:val="hybridMultilevel"/>
    <w:lvl w:ilvl="0">
      <w:lvlJc w:val="left"/>
      <w:lvlText w:val="(%1)"/>
      <w:numFmt w:val="lowerLetter"/>
      <w:start w:val="5"/>
    </w:lvl>
  </w:abstractNum>
  <w:abstractNum w:abstractNumId="538">
    <w:nsid w:val="307C7DAA"/>
    <w:multiLevelType w:val="hybridMultilevel"/>
    <w:lvl w:ilvl="0">
      <w:lvlJc w:val="left"/>
      <w:lvlText w:val="(%1)"/>
      <w:numFmt w:val="lowerLetter"/>
      <w:start w:val="4"/>
    </w:lvl>
  </w:abstractNum>
  <w:abstractNum w:abstractNumId="539">
    <w:nsid w:val="403C23E6"/>
    <w:multiLevelType w:val="hybridMultilevel"/>
    <w:lvl w:ilvl="0">
      <w:lvlJc w:val="left"/>
      <w:lvlText w:val="(%1)"/>
      <w:numFmt w:val="lowerLetter"/>
      <w:start w:val="2"/>
    </w:lvl>
  </w:abstractNum>
  <w:abstractNum w:abstractNumId="540">
    <w:nsid w:val="58D7F9D7"/>
    <w:multiLevelType w:val="hybridMultilevel"/>
    <w:lvl w:ilvl="0">
      <w:lvlJc w:val="left"/>
      <w:lvlText w:val="(%1)"/>
      <w:numFmt w:val="lowerLetter"/>
      <w:start w:val="1"/>
    </w:lvl>
  </w:abstractNum>
  <w:abstractNum w:abstractNumId="541">
    <w:nsid w:val="24DBF76"/>
    <w:multiLevelType w:val="hybridMultilevel"/>
    <w:lvl w:ilvl="0">
      <w:lvlJc w:val="left"/>
      <w:lvlText w:val="(%1)"/>
      <w:numFmt w:val="lowerLetter"/>
      <w:start w:val="1"/>
    </w:lvl>
  </w:abstractNum>
  <w:abstractNum w:abstractNumId="542">
    <w:nsid w:val="53355960"/>
    <w:multiLevelType w:val="hybridMultilevel"/>
    <w:lvl w:ilvl="0">
      <w:lvlJc w:val="left"/>
      <w:lvlText w:val="(%1)"/>
      <w:numFmt w:val="lowerLetter"/>
      <w:start w:val="3"/>
    </w:lvl>
  </w:abstractNum>
  <w:abstractNum w:abstractNumId="543">
    <w:nsid w:val="4F4AC8FF"/>
    <w:multiLevelType w:val="hybridMultilevel"/>
    <w:lvl w:ilvl="0">
      <w:lvlJc w:val="left"/>
      <w:lvlText w:val="(%1)"/>
      <w:numFmt w:val="decimal"/>
      <w:start w:val="2"/>
    </w:lvl>
  </w:abstractNum>
  <w:abstractNum w:abstractNumId="544">
    <w:nsid w:val="58CAE6D9"/>
    <w:multiLevelType w:val="hybridMultilevel"/>
    <w:lvl w:ilvl="0">
      <w:lvlJc w:val="left"/>
      <w:lvlText w:val="(%1)"/>
      <w:numFmt w:val="lowerLetter"/>
      <w:start w:val="1"/>
    </w:lvl>
  </w:abstractNum>
  <w:abstractNum w:abstractNumId="545">
    <w:nsid w:val="42933C4F"/>
    <w:multiLevelType w:val="hybridMultilevel"/>
    <w:lvl w:ilvl="0">
      <w:lvlJc w:val="left"/>
      <w:lvlText w:val="(%1)"/>
      <w:numFmt w:val="lowerLetter"/>
      <w:start w:val="2"/>
    </w:lvl>
    <w:lvl w:ilvl="1">
      <w:lvlJc w:val="left"/>
      <w:lvlText w:val="(%2)"/>
      <w:numFmt w:val="lowerRoman"/>
      <w:start w:val="1"/>
    </w:lvl>
  </w:abstractNum>
  <w:abstractNum w:abstractNumId="546">
    <w:nsid w:val="729AF360"/>
    <w:multiLevelType w:val="hybridMultilevel"/>
    <w:lvl w:ilvl="0">
      <w:lvlJc w:val="left"/>
      <w:lvlText w:val="(%1)"/>
      <w:numFmt w:val="lowerRoman"/>
      <w:start w:val="3"/>
    </w:lvl>
  </w:abstractNum>
  <w:abstractNum w:abstractNumId="547">
    <w:nsid w:val="1EE6AF0D"/>
    <w:multiLevelType w:val="hybridMultilevel"/>
    <w:lvl w:ilvl="0">
      <w:lvlJc w:val="left"/>
      <w:lvlText w:val="(%1)"/>
      <w:numFmt w:val="lowerLetter"/>
      <w:start w:val="7"/>
    </w:lvl>
  </w:abstractNum>
  <w:abstractNum w:abstractNumId="548">
    <w:nsid w:val="5670E3ED"/>
    <w:multiLevelType w:val="hybridMultilevel"/>
    <w:lvl w:ilvl="0">
      <w:lvlJc w:val="left"/>
      <w:lvlText w:val="(%1)"/>
      <w:numFmt w:val="decimal"/>
      <w:start w:val="15"/>
    </w:lvl>
  </w:abstractNum>
  <w:abstractNum w:abstractNumId="549">
    <w:nsid w:val="5CAB38C6"/>
    <w:multiLevelType w:val="hybridMultilevel"/>
    <w:lvl w:ilvl="0">
      <w:lvlJc w:val="left"/>
      <w:lvlText w:val="(%1)"/>
      <w:numFmt w:val="decimal"/>
      <w:start w:val="22"/>
    </w:lvl>
  </w:abstractNum>
  <w:abstractNum w:abstractNumId="550">
    <w:nsid w:val="3B7139DD"/>
    <w:multiLevelType w:val="hybridMultilevel"/>
    <w:lvl w:ilvl="0">
      <w:lvlJc w:val="left"/>
      <w:lvlText w:val="(%1)"/>
      <w:numFmt w:val="lowerRoman"/>
      <w:start w:val="3"/>
    </w:lvl>
  </w:abstractNum>
  <w:abstractNum w:abstractNumId="551">
    <w:nsid w:val="64E4C3CD"/>
    <w:multiLevelType w:val="hybridMultilevel"/>
    <w:lvl w:ilvl="0">
      <w:lvlJc w:val="left"/>
      <w:lvlText w:val="(%1)"/>
      <w:numFmt w:val="lowerLetter"/>
      <w:start w:val="1"/>
    </w:lvl>
  </w:abstractNum>
  <w:abstractNum w:abstractNumId="552">
    <w:nsid w:val="169CAD8D"/>
    <w:multiLevelType w:val="hybridMultilevel"/>
    <w:lvl w:ilvl="0">
      <w:lvlJc w:val="left"/>
      <w:lvlText w:val="(%1)"/>
      <w:numFmt w:val="lowerRoman"/>
      <w:start w:val="1"/>
    </w:lvl>
  </w:abstractNum>
  <w:abstractNum w:abstractNumId="553">
    <w:nsid w:val="299F6730"/>
    <w:multiLevelType w:val="hybridMultilevel"/>
    <w:lvl w:ilvl="0">
      <w:lvlJc w:val="left"/>
      <w:lvlText w:val="%1."/>
      <w:numFmt w:val="decimal"/>
      <w:start w:val="1"/>
    </w:lvl>
  </w:abstractNum>
  <w:abstractNum w:abstractNumId="554">
    <w:nsid w:val="2AC1076A"/>
    <w:multiLevelType w:val="hybridMultilevel"/>
    <w:lvl w:ilvl="0">
      <w:lvlJc w:val="left"/>
      <w:lvlText w:val="%1."/>
      <w:numFmt w:val="decimal"/>
      <w:start w:val="1"/>
    </w:lvl>
  </w:abstractNum>
  <w:abstractNum w:abstractNumId="555">
    <w:nsid w:val="51A6E915"/>
    <w:multiLevelType w:val="hybridMultilevel"/>
    <w:lvl w:ilvl="0">
      <w:lvlJc w:val="left"/>
      <w:lvlText w:val="%1."/>
      <w:numFmt w:val="decimal"/>
      <w:start w:val="6"/>
    </w:lvl>
  </w:abstractNum>
  <w:abstractNum w:abstractNumId="556">
    <w:nsid w:val="174BDE99"/>
    <w:multiLevelType w:val="hybridMultilevel"/>
    <w:lvl w:ilvl="0">
      <w:lvlJc w:val="left"/>
      <w:lvlText w:val="%1."/>
      <w:numFmt w:val="decimal"/>
      <w:start w:val="13"/>
    </w:lvl>
  </w:abstractNum>
  <w:abstractNum w:abstractNumId="557">
    <w:nsid w:val="1F2BEA4E"/>
    <w:multiLevelType w:val="hybridMultilevel"/>
    <w:lvl w:ilvl="0">
      <w:lvlJc w:val="left"/>
      <w:lvlText w:val="%1."/>
      <w:numFmt w:val="decimal"/>
      <w:start w:val="20"/>
    </w:lvl>
  </w:abstractNum>
  <w:abstractNum w:abstractNumId="558">
    <w:nsid w:val="3254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9">
    <w:nsid w:val="11ADB5F4"/>
    <w:multiLevelType w:val="hybridMultilevel"/>
    <w:lvl w:ilvl="0">
      <w:lvlJc w:val="left"/>
      <w:lvlText w:val="%1"/>
      <w:numFmt w:val="lowerLetter"/>
      <w:start w:val="1"/>
    </w:lvl>
    <w:lvl w:ilvl="1">
      <w:lvlJc w:val="left"/>
      <w:lvlText w:val="%2."/>
      <w:numFmt w:val="lowerRoman"/>
      <w:start w:val="5"/>
    </w:lvl>
  </w:abstractNum>
  <w:abstractNum w:abstractNumId="560">
    <w:nsid w:val="3575FED1"/>
    <w:multiLevelType w:val="hybridMultilevel"/>
    <w:lvl w:ilvl="0">
      <w:lvlJc w:val="left"/>
      <w:lvlText w:val="%1."/>
      <w:numFmt w:val="lowerLetter"/>
      <w:start w:val="2"/>
    </w:lvl>
    <w:lvl w:ilvl="1">
      <w:lvlJc w:val="left"/>
      <w:lvlText w:val="%2"/>
      <w:numFmt w:val="lowerRoman"/>
      <w:start w:val="1"/>
    </w:lvl>
  </w:abstractNum>
  <w:abstractNum w:abstractNumId="561">
    <w:nsid w:val="1B2B9E9D"/>
    <w:multiLevelType w:val="hybridMultilevel"/>
    <w:lvl w:ilvl="0">
      <w:lvlJc w:val="left"/>
      <w:lvlText w:val="%1."/>
      <w:numFmt w:val="decimal"/>
      <w:start w:val="2"/>
    </w:lvl>
  </w:abstractNum>
  <w:abstractNum w:abstractNumId="562">
    <w:nsid w:val="3150E85C"/>
    <w:multiLevelType w:val="hybridMultilevel"/>
    <w:lvl w:ilvl="0">
      <w:lvlJc w:val="left"/>
      <w:lvlText w:val="%1"/>
      <w:numFmt w:val="decimal"/>
      <w:start w:val="1"/>
    </w:lvl>
    <w:lvl w:ilvl="1">
      <w:lvlJc w:val="left"/>
      <w:lvlText w:val="(%2)"/>
      <w:numFmt w:val="lowerLetter"/>
      <w:start w:val="1"/>
    </w:lvl>
  </w:abstractNum>
  <w:abstractNum w:abstractNumId="563">
    <w:nsid w:val="638FDBD1"/>
    <w:multiLevelType w:val="hybridMultilevel"/>
    <w:lvl w:ilvl="0">
      <w:lvlJc w:val="left"/>
      <w:lvlText w:val="(%1)"/>
      <w:numFmt w:val="decimal"/>
      <w:start w:val="15"/>
    </w:lvl>
    <w:lvl w:ilvl="1">
      <w:lvlJc w:val="left"/>
      <w:lvlText w:val="(%2)"/>
      <w:numFmt w:val="lowerLetter"/>
      <w:start w:val="2"/>
    </w:lvl>
  </w:abstractNum>
  <w:abstractNum w:abstractNumId="564">
    <w:nsid w:val="1098CF6E"/>
    <w:multiLevelType w:val="hybridMultilevel"/>
    <w:lvl w:ilvl="0">
      <w:lvlJc w:val="left"/>
      <w:lvlText w:val="(%1)"/>
      <w:numFmt w:val="decimal"/>
      <w:start w:val="10"/>
    </w:lvl>
    <w:lvl w:ilvl="1">
      <w:lvlJc w:val="left"/>
      <w:lvlText w:val="%2"/>
      <w:numFmt w:val="lowerLetter"/>
      <w:start w:val="1"/>
    </w:lvl>
  </w:abstractNum>
  <w:abstractNum w:abstractNumId="565">
    <w:nsid w:val="1AF465D"/>
    <w:multiLevelType w:val="hybridMultilevel"/>
    <w:lvl w:ilvl="0">
      <w:lvlJc w:val="left"/>
      <w:lvlText w:val="%1"/>
      <w:numFmt w:val="decimal"/>
      <w:start w:val="1"/>
    </w:lvl>
    <w:lvl w:ilvl="1">
      <w:lvlJc w:val="left"/>
      <w:lvlText w:val="(%2)"/>
      <w:numFmt w:val="lowerLetter"/>
      <w:start w:val="4"/>
    </w:lvl>
  </w:abstractNum>
  <w:abstractNum w:abstractNumId="566">
    <w:nsid w:val="128D98B7"/>
    <w:multiLevelType w:val="hybridMultilevel"/>
    <w:lvl w:ilvl="0">
      <w:lvlJc w:val="left"/>
      <w:lvlText w:val="(%1)"/>
      <w:numFmt w:val="decimal"/>
      <w:start w:val="7"/>
    </w:lvl>
    <w:lvl w:ilvl="1">
      <w:lvlJc w:val="left"/>
      <w:lvlText w:val="(%2)"/>
      <w:numFmt w:val="lowerLetter"/>
      <w:start w:val="6"/>
    </w:lvl>
  </w:abstractNum>
  <w:abstractNum w:abstractNumId="567">
    <w:nsid w:val="5F613832"/>
    <w:multiLevelType w:val="hybridMultilevel"/>
    <w:lvl w:ilvl="0">
      <w:lvlJc w:val="left"/>
      <w:lvlText w:val="(%1)"/>
      <w:numFmt w:val="lowerLetter"/>
      <w:start w:val="7"/>
    </w:lvl>
  </w:abstractNum>
  <w:abstractNum w:abstractNumId="568">
    <w:nsid w:val="43E92260"/>
    <w:multiLevelType w:val="hybridMultilevel"/>
    <w:lvl w:ilvl="0">
      <w:lvlJc w:val="left"/>
      <w:lvlText w:val="%1."/>
      <w:numFmt w:val="decimal"/>
      <w:start w:val="3"/>
    </w:lvl>
  </w:abstractNum>
  <w:abstractNum w:abstractNumId="569">
    <w:nsid w:val="430A1662"/>
    <w:multiLevelType w:val="hybridMultilevel"/>
    <w:lvl w:ilvl="0">
      <w:lvlJc w:val="left"/>
      <w:lvlText w:val="(%1)"/>
      <w:numFmt w:val="lowerLetter"/>
      <w:start w:val="1"/>
    </w:lvl>
  </w:abstractNum>
  <w:abstractNum w:abstractNumId="570">
    <w:nsid w:val="1F9D5C18"/>
    <w:multiLevelType w:val="hybridMultilevel"/>
    <w:lvl w:ilvl="0">
      <w:lvlJc w:val="left"/>
      <w:lvlText w:val="(%1)"/>
      <w:numFmt w:val="lowerLetter"/>
      <w:start w:val="3"/>
    </w:lvl>
    <w:lvl w:ilvl="1">
      <w:lvlJc w:val="left"/>
      <w:lvlText w:val="(%2)"/>
      <w:numFmt w:val="lowerRoman"/>
      <w:start w:val="1"/>
    </w:lvl>
  </w:abstractNum>
  <w:abstractNum w:abstractNumId="571">
    <w:nsid w:val="1CC11C37"/>
    <w:multiLevelType w:val="hybridMultilevel"/>
    <w:lvl w:ilvl="0">
      <w:lvlJc w:val="left"/>
      <w:lvlText w:val="(%1)"/>
      <w:numFmt w:val="lowerRoman"/>
      <w:start w:val="2"/>
    </w:lvl>
  </w:abstractNum>
  <w:abstractNum w:abstractNumId="572">
    <w:nsid w:val="4557D5D8"/>
    <w:multiLevelType w:val="hybridMultilevel"/>
    <w:lvl w:ilvl="0">
      <w:lvlJc w:val="left"/>
      <w:lvlText w:val="%1"/>
      <w:numFmt w:val="lowerLetter"/>
      <w:start w:val="1"/>
    </w:lvl>
    <w:lvl w:ilvl="1">
      <w:lvlJc w:val="left"/>
      <w:lvlText w:val="(%2)"/>
      <w:numFmt w:val="lowerLetter"/>
      <w:start w:val="4"/>
    </w:lvl>
  </w:abstractNum>
  <w:abstractNum w:abstractNumId="573">
    <w:nsid w:val="72D2B579"/>
    <w:multiLevelType w:val="hybridMultilevel"/>
    <w:lvl w:ilvl="0">
      <w:lvlJc w:val="left"/>
      <w:lvlText w:val="(%1)"/>
      <w:numFmt w:val="lowerLetter"/>
      <w:start w:val="35"/>
    </w:lvl>
    <w:lvl w:ilvl="1">
      <w:lvlJc w:val="left"/>
      <w:lvlText w:val="%2"/>
      <w:numFmt w:val="lowerLetter"/>
      <w:start w:val="1"/>
    </w:lvl>
  </w:abstractNum>
  <w:abstractNum w:abstractNumId="574">
    <w:nsid w:val="6C0BE536"/>
    <w:multiLevelType w:val="hybridMultilevel"/>
    <w:lvl w:ilvl="0">
      <w:lvlJc w:val="left"/>
      <w:lvlText w:val="(%1)"/>
      <w:numFmt w:val="lowerLetter"/>
      <w:start w:val="6"/>
    </w:lvl>
    <w:lvl w:ilvl="1">
      <w:lvlJc w:val="left"/>
      <w:lvlText w:val="(%2)"/>
      <w:numFmt w:val="lowerRoman"/>
      <w:start w:val="1"/>
    </w:lvl>
  </w:abstractNum>
  <w:abstractNum w:abstractNumId="575">
    <w:nsid w:val="1E22BCB2"/>
    <w:multiLevelType w:val="hybridMultilevel"/>
    <w:lvl w:ilvl="0">
      <w:lvlJc w:val="left"/>
      <w:lvlText w:val="%1"/>
      <w:numFmt w:val="lowerLetter"/>
      <w:start w:val="1"/>
    </w:lvl>
    <w:lvl w:ilvl="1">
      <w:lvlJc w:val="left"/>
      <w:lvlText w:val="(%2)"/>
      <w:numFmt w:val="lowerRoman"/>
      <w:start w:val="8"/>
    </w:lvl>
  </w:abstractNum>
  <w:abstractNum w:abstractNumId="576">
    <w:nsid w:val="3565F1C8"/>
    <w:multiLevelType w:val="hybridMultilevel"/>
    <w:lvl w:ilvl="0">
      <w:lvlJc w:val="left"/>
      <w:lvlText w:val="(%1)"/>
      <w:numFmt w:val="lowerLetter"/>
      <w:start w:val="7"/>
    </w:lvl>
    <w:lvl w:ilvl="1">
      <w:lvlJc w:val="left"/>
      <w:lvlText w:val="%2"/>
      <w:numFmt w:val="lowerRoman"/>
      <w:start w:val="1"/>
    </w:lvl>
  </w:abstractNum>
  <w:abstractNum w:abstractNumId="577">
    <w:nsid w:val="5EA6D896"/>
    <w:multiLevelType w:val="hybridMultilevel"/>
    <w:lvl w:ilvl="0">
      <w:lvlJc w:val="left"/>
      <w:lvlText w:val="%1."/>
      <w:numFmt w:val="decimal"/>
      <w:start w:val="4"/>
    </w:lvl>
  </w:abstractNum>
  <w:abstractNum w:abstractNumId="578">
    <w:nsid w:val="3D096BBF"/>
    <w:multiLevelType w:val="hybridMultilevel"/>
    <w:lvl w:ilvl="0">
      <w:lvlJc w:val="left"/>
      <w:lvlText w:val="(%1)"/>
      <w:numFmt w:val="lowerLetter"/>
      <w:start w:val="1"/>
    </w:lvl>
  </w:abstractNum>
  <w:abstractNum w:abstractNumId="579">
    <w:nsid w:val="BD6D5B5"/>
    <w:multiLevelType w:val="hybridMultilevel"/>
    <w:lvl w:ilvl="0">
      <w:lvlJc w:val="left"/>
      <w:lvlText w:val="(%1)"/>
      <w:numFmt w:val="lowerLetter"/>
      <w:start w:val="2"/>
    </w:lvl>
  </w:abstractNum>
  <w:abstractNum w:abstractNumId="580">
    <w:nsid w:val="3B52115C"/>
    <w:multiLevelType w:val="hybridMultilevel"/>
    <w:lvl w:ilvl="0">
      <w:lvlJc w:val="left"/>
      <w:lvlText w:val="(%1)"/>
      <w:numFmt w:val="lowerLetter"/>
      <w:start w:val="3"/>
    </w:lvl>
  </w:abstractNum>
  <w:abstractNum w:abstractNumId="581">
    <w:nsid w:val="787AA59C"/>
    <w:multiLevelType w:val="hybridMultilevel"/>
    <w:lvl w:ilvl="0">
      <w:lvlJc w:val="left"/>
      <w:lvlText w:val="(%1)"/>
      <w:numFmt w:val="lowerLetter"/>
      <w:start w:val="5"/>
    </w:lvl>
  </w:abstractNum>
  <w:abstractNum w:abstractNumId="582">
    <w:nsid w:val="70BB9983"/>
    <w:multiLevelType w:val="hybridMultilevel"/>
    <w:lvl w:ilvl="0">
      <w:lvlJc w:val="left"/>
      <w:lvlText w:val="(%1)"/>
      <w:numFmt w:val="lowerLetter"/>
      <w:start w:val="6"/>
    </w:lvl>
  </w:abstractNum>
  <w:abstractNum w:abstractNumId="583">
    <w:nsid w:val="51EEBEEA"/>
    <w:multiLevelType w:val="hybridMultilevel"/>
    <w:lvl w:ilvl="0">
      <w:lvlJc w:val="left"/>
      <w:lvlText w:val="%1."/>
      <w:numFmt w:val="decimal"/>
      <w:start w:val="5"/>
    </w:lvl>
  </w:abstractNum>
  <w:abstractNum w:abstractNumId="584">
    <w:nsid w:val="221A0CCD"/>
    <w:multiLevelType w:val="hybridMultilevel"/>
    <w:lvl w:ilvl="0">
      <w:lvlJc w:val="left"/>
      <w:lvlText w:val="(%1)"/>
      <w:numFmt w:val="lowerLetter"/>
      <w:start w:val="1"/>
    </w:lvl>
  </w:abstractNum>
  <w:abstractNum w:abstractNumId="585">
    <w:nsid w:val="1B7CA0ED"/>
    <w:multiLevelType w:val="hybridMultilevel"/>
    <w:lvl w:ilvl="0">
      <w:lvlJc w:val="left"/>
      <w:lvlText w:val="(%1)"/>
      <w:numFmt w:val="lowerLetter"/>
      <w:start w:val="2"/>
    </w:lvl>
  </w:abstractNum>
  <w:abstractNum w:abstractNumId="586">
    <w:nsid w:val="2395A7FF"/>
    <w:multiLevelType w:val="hybridMultilevel"/>
    <w:lvl w:ilvl="0">
      <w:lvlJc w:val="left"/>
      <w:lvlText w:val="%1."/>
      <w:numFmt w:val="decimal"/>
      <w:start w:val="6"/>
    </w:lvl>
  </w:abstractNum>
  <w:abstractNum w:abstractNumId="587">
    <w:nsid w:val="3965EB66"/>
    <w:multiLevelType w:val="hybridMultilevel"/>
    <w:lvl w:ilvl="0">
      <w:lvlJc w:val="left"/>
      <w:lvlText w:val="%1)"/>
      <w:numFmt w:val="decimal"/>
      <w:start w:val="1"/>
    </w:lvl>
  </w:abstractNum>
  <w:abstractNum w:abstractNumId="588">
    <w:nsid w:val="3AA88B3C"/>
    <w:multiLevelType w:val="hybridMultilevel"/>
    <w:lvl w:ilvl="0">
      <w:lvlJc w:val="left"/>
      <w:lvlText w:val="%1)"/>
      <w:numFmt w:val="decimal"/>
      <w:start w:val="4"/>
    </w:lvl>
  </w:abstractNum>
  <w:abstractNum w:abstractNumId="589">
    <w:nsid w:val="26BAF231"/>
    <w:multiLevelType w:val="hybridMultilevel"/>
    <w:lvl w:ilvl="0">
      <w:lvlJc w:val="left"/>
      <w:lvlText w:val="%1)"/>
      <w:numFmt w:val="decimal"/>
      <w:start w:val="9"/>
    </w:lvl>
  </w:abstractNum>
  <w:abstractNum w:abstractNumId="590">
    <w:nsid w:val="4B13A15A"/>
    <w:multiLevelType w:val="hybridMultilevel"/>
    <w:lvl w:ilvl="0">
      <w:lvlJc w:val="left"/>
      <w:lvlText w:val="%1)"/>
      <w:numFmt w:val="decimal"/>
      <w:start w:val="10"/>
    </w:lvl>
  </w:abstractNum>
  <w:abstractNum w:abstractNumId="591">
    <w:nsid w:val="701E8A0D"/>
    <w:multiLevelType w:val="hybridMultilevel"/>
    <w:lvl w:ilvl="0">
      <w:lvlJc w:val="left"/>
      <w:lvlText w:val="%1."/>
      <w:numFmt w:val="upperLetter"/>
      <w:start w:val="1"/>
    </w:lvl>
  </w:abstractNum>
  <w:abstractNum w:abstractNumId="592">
    <w:nsid w:val="41E690CF"/>
    <w:multiLevelType w:val="hybridMultilevel"/>
    <w:lvl w:ilvl="0">
      <w:lvlJc w:val="left"/>
      <w:lvlText w:val="%1."/>
      <w:numFmt w:val="upperLetter"/>
      <w:start w:val="9"/>
    </w:lvl>
    <w:lvl w:ilvl="1">
      <w:lvlJc w:val="left"/>
      <w:lvlText w:val="%2."/>
      <w:numFmt w:val="upperLetter"/>
      <w:start w:val="1"/>
    </w:lvl>
  </w:abstractNum>
  <w:abstractNum w:abstractNumId="593">
    <w:nsid w:val="7C6489B6"/>
    <w:multiLevelType w:val="hybridMultilevel"/>
    <w:lvl w:ilvl="0">
      <w:lvlJc w:val="left"/>
      <w:lvlText w:val="%1"/>
      <w:numFmt w:val="upperLetter"/>
      <w:start w:val="1"/>
    </w:lvl>
    <w:lvl w:ilvl="1">
      <w:lvlJc w:val="left"/>
      <w:lvlText w:val="%2."/>
      <w:numFmt w:val="upperLetter"/>
      <w:start w:val="2"/>
    </w:lvl>
  </w:abstractNum>
  <w:abstractNum w:abstractNumId="594">
    <w:nsid w:val="53AE65DE"/>
    <w:multiLevelType w:val="hybridMultilevel"/>
    <w:lvl w:ilvl="0">
      <w:lvlJc w:val="left"/>
      <w:lvlText w:val="%1."/>
      <w:numFmt w:val="upperLetter"/>
      <w:start w:val="35"/>
    </w:lvl>
    <w:lvl w:ilvl="1">
      <w:lvlJc w:val="left"/>
      <w:lvlText w:val="%2."/>
      <w:numFmt w:val="upperLetter"/>
      <w:start w:val="1"/>
    </w:lvl>
  </w:abstractNum>
  <w:abstractNum w:abstractNumId="595">
    <w:nsid w:val="527F603D"/>
    <w:multiLevelType w:val="hybridMultilevel"/>
    <w:lvl w:ilvl="0">
      <w:lvlJc w:val="left"/>
      <w:lvlText w:val="%1."/>
      <w:numFmt w:val="upperLetter"/>
      <w:start w:val="61"/>
    </w:lvl>
    <w:lvl w:ilvl="1">
      <w:lvlJc w:val="left"/>
      <w:lvlText w:val="%2."/>
      <w:numFmt w:val="upperLetter"/>
      <w:start w:val="1"/>
    </w:lvl>
  </w:abstractNum>
  <w:abstractNum w:abstractNumId="596">
    <w:nsid w:val="7E13D013"/>
    <w:multiLevelType w:val="hybridMultilevel"/>
    <w:lvl w:ilvl="0">
      <w:lvlJc w:val="left"/>
      <w:lvlText w:val="%1."/>
      <w:numFmt w:val="upperLetter"/>
      <w:start w:val="2"/>
    </w:lvl>
    <w:lvl w:ilvl="1">
      <w:lvlJc w:val="left"/>
      <w:lvlText w:val="%2."/>
      <w:numFmt w:val="decimal"/>
      <w:start w:val="1"/>
    </w:lvl>
  </w:abstractNum>
  <w:abstractNum w:abstractNumId="597">
    <w:nsid w:val="663BFE95"/>
    <w:multiLevelType w:val="hybridMultilevel"/>
    <w:lvl w:ilvl="0">
      <w:lvlJc w:val="left"/>
      <w:lvlText w:val="%1"/>
      <w:numFmt w:val="upperLetter"/>
      <w:start w:val="1"/>
    </w:lvl>
    <w:lvl w:ilvl="1">
      <w:lvlJc w:val="left"/>
      <w:lvlText w:val="%2."/>
      <w:numFmt w:val="decimal"/>
      <w:start w:val="9"/>
    </w:lvl>
  </w:abstractNum>
  <w:abstractNum w:abstractNumId="598">
    <w:nsid w:val="31E0986F"/>
    <w:multiLevelType w:val="hybridMultilevel"/>
    <w:lvl w:ilvl="0">
      <w:lvlJc w:val="left"/>
      <w:lvlText w:val="%1."/>
      <w:numFmt w:val="upperLetter"/>
      <w:start w:val="3"/>
    </w:lvl>
    <w:lvl w:ilvl="1">
      <w:lvlJc w:val="left"/>
      <w:lvlText w:val="%2"/>
      <w:numFmt w:val="decimal"/>
      <w:start w:val="1"/>
    </w:lvl>
  </w:abstractNum>
  <w:abstractNum w:abstractNumId="599">
    <w:nsid w:val="41FCF274"/>
    <w:multiLevelType w:val="hybridMultilevel"/>
    <w:lvl w:ilvl="0">
      <w:lvlJc w:val="left"/>
      <w:lvlText w:val="(%1)"/>
      <w:numFmt w:val="decimal"/>
      <w:start w:val="60"/>
    </w:lvl>
  </w:abstractNum>
  <w:abstractNum w:abstractNumId="600">
    <w:nsid w:val="294614F7"/>
    <w:multiLevelType w:val="hybridMultilevel"/>
    <w:lvl w:ilvl="0">
      <w:lvlJc w:val="left"/>
      <w:lvlText w:val="%1."/>
      <w:numFmt w:val="upperLetter"/>
      <w:start w:val="22"/>
    </w:lvl>
  </w:abstractNum>
  <w:abstractNum w:abstractNumId="601">
    <w:nsid w:val="517DF487"/>
    <w:multiLevelType w:val="hybridMultilevel"/>
    <w:lvl w:ilvl="0">
      <w:lvlJc w:val="left"/>
      <w:lvlText w:val="%1."/>
      <w:numFmt w:val="upperLetter"/>
      <w:start w:val="1"/>
    </w:lvl>
  </w:abstractNum>
  <w:abstractNum w:abstractNumId="602">
    <w:nsid w:val="5EBE0EAB"/>
    <w:multiLevelType w:val="hybridMultilevel"/>
    <w:lvl w:ilvl="0">
      <w:lvlJc w:val="left"/>
      <w:lvlText w:val="%1."/>
      <w:numFmt w:val="upperLetter"/>
      <w:start w:val="24"/>
    </w:lvl>
  </w:abstractNum>
  <w:abstractNum w:abstractNumId="603">
    <w:nsid w:val="6E9DEAD0"/>
    <w:multiLevelType w:val="hybridMultilevel"/>
    <w:lvl w:ilvl="0">
      <w:lvlJc w:val="left"/>
      <w:lvlText w:val="%1."/>
      <w:numFmt w:val="decimal"/>
      <w:start w:val="1"/>
    </w:lvl>
  </w:abstractNum>
  <w:abstractNum w:abstractNumId="604">
    <w:nsid w:val="4450AA00"/>
    <w:multiLevelType w:val="hybridMultilevel"/>
    <w:lvl w:ilvl="0">
      <w:lvlJc w:val="left"/>
      <w:lvlText w:val="%1."/>
      <w:numFmt w:val="decimal"/>
      <w:start w:val="1"/>
    </w:lvl>
  </w:abstractNum>
  <w:abstractNum w:abstractNumId="605">
    <w:nsid w:val="4AC9F3E2"/>
    <w:multiLevelType w:val="hybridMultilevel"/>
    <w:lvl w:ilvl="0">
      <w:lvlJc w:val="left"/>
      <w:lvlText w:val="%1."/>
      <w:numFmt w:val="decimal"/>
      <w:start w:val="1"/>
    </w:lvl>
  </w:abstractNum>
  <w:abstractNum w:abstractNumId="606">
    <w:nsid w:val="CC0A782"/>
    <w:multiLevelType w:val="hybridMultilevel"/>
    <w:lvl w:ilvl="0">
      <w:lvlJc w:val="left"/>
      <w:lvlText w:val="%1."/>
      <w:numFmt w:val="decimal"/>
      <w:start w:val="4"/>
    </w:lvl>
  </w:abstractNum>
  <w:abstractNum w:abstractNumId="607">
    <w:nsid w:val="79B69BC9"/>
    <w:multiLevelType w:val="hybridMultilevel"/>
    <w:lvl w:ilvl="0">
      <w:lvlJc w:val="left"/>
      <w:lvlText w:val="%1."/>
      <w:numFmt w:val="decimal"/>
      <w:start w:val="1"/>
    </w:lvl>
  </w:abstractNum>
  <w:abstractNum w:abstractNumId="608">
    <w:nsid w:val="2970CC7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jpeg"/><Relationship Id="rId996" Type="http://schemas.openxmlformats.org/officeDocument/2006/relationships/image" Target="media/image989.png"/><Relationship Id="rId997" Type="http://schemas.openxmlformats.org/officeDocument/2006/relationships/image" Target="media/image9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2021-06-04T08:12:57Z</dcterms:created>
  <dcterms:modified xsi:type="dcterms:W3CDTF">2021-06-04T08:12:57Z</dcterms:modified>
</cp:coreProperties>
</file>