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rFonts w:ascii="Times New Roman;Times;Serif" w:hAnsi="Times New Roman;Times;Serif" w:eastAsia="Times New Roman;Times;Serif" w:cs="Times New Roman;Times;Serif"/>
          <w:b w:val="false"/>
          <w:b w:val="false"/>
          <w:bCs w:val="false"/>
          <w:i w:val="false"/>
          <w:i w:val="false"/>
          <w:iCs w:val="false"/>
          <w:caps w:val="false"/>
          <w:smallCaps w:val="false"/>
          <w:sz w:val="22"/>
          <w:szCs w:val="22"/>
        </w:rPr>
      </w:pPr>
      <w:r>
        <w:rPr>
          <w:rFonts w:eastAsia="Times New Roman;Times;Serif" w:cs="Times New Roman;Times;Serif" w:ascii="Times New Roman;Times;Serif" w:hAnsi="Times New Roman;Times;Serif"/>
          <w:b w:val="false"/>
          <w:bCs w:val="false"/>
          <w:i w:val="false"/>
          <w:iCs w:val="false"/>
          <w:caps w:val="false"/>
          <w:smallCaps w:val="false"/>
          <w:sz w:val="22"/>
          <w:szCs w:val="22"/>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Monte Rosa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Stephanie Brecher</w:t>
              <w:br/>
              <w:t>New Enterprise Associates, 1954 Greenspring Drive, Suite 600</w:t>
              <w:br/>
              <w:t>Timonium, MD, 21093</w:t>
              <w:br/>
              <w:t>(410)842-4000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New Enterprise Associates 17,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NEA Partners 17,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NEA 17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Anthony A. Florence, Jr.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Mohamad H. Makhzoumi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Scott D. Sandell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6,692,298.00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6,692,298.00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6,692,298.00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Forest Baskett</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Ali Behbahani</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135,432.00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135,432.00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135,432.00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Carmen Chang</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Edward T. Mathers</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Paul Walker</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Rick Yang</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Monte Rosa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Suite 900, Boston, MASSACHUSETTS , 02118.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("Amendment No. 4") to Schedule 13D amends and supplements the Schedule 13D originally filed on July 12, 2021 (the "Schedule 13D"), Amendment No. 1 thereto filed on May 13, 2024 ("Amendment No. 1"), Amendment No. 2 thereto filed on August 12, 2024 ("Amendment No. 2") and Amendment No. 3 thereto filed on March 19, 2026 ("Amendment No. 3") relating to the Common Stock of the Issuer. Certain terms used but not defined in this Amendment No. 4 have the meanings assigned thereto in the Schedule 13D (and Amendment No. 1, Amendment No. 2 and Amendment No. 3 thereto). Except as specifically provided herein, this Amendment No. 4 does not modify any of the information previously reported on the Schedule 13D (and Amendment No. 1, Amendment No. 2 and Amendment No. 3 thereto).</w:t>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0"/>
              <w:jc w:val="left"/>
              <w:rPr/>
            </w:pPr>
            <w:r>
              <w:rPr/>
              <w:t>New Enterprise Associates 17, L.P. ("NEA 17"); NEA Partners 17, L.P. ("NEA Partners 17"), which is the sole general partner of NEA 17; and NEA 17 GP, LLC ("NEA 17 LLC" and, together with NEA Partners 17, the "Control Entities"), which is the sole general partner of NEA Partners 17; Anthony A. Florence, Jr. ("Florence"), Mohamad H. Makhzoumi ("Makhzoumi") and Scott D. Sandell ("Sandell"); and Forest Baskett ("Baskett"), Ali Behbahani ("Behbahani"), Carmen Chang ("Chang"), Edward T. Mathers ("Mathers"), Paul Walker ("Walker") and Rick Yang ("Yang"). Florence, Makhzoumi and Sandell are each a member of the Executive Committee of NEA Management Company, LLC (the "Executive Committee"). The persons named in this Item 2 are referred to individually herein as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0"/>
              <w:jc w:val="left"/>
              <w:rPr/>
            </w:pPr>
            <w:r>
              <w:rPr/>
              <w:t>The address of the principal business office of NEA 17, each Control Entity and Sandell is New Enterprise Associates, 1954 Greenspring Drive, Suite 600, Timonium, MD 21093. The address of the principal business office of Makhzoumi is New Enterprise Associates, 2855 Sand Hill Road, Menlo Park, CA 94025. The address of the principal business office of Florence is New Enterprise Associates, 104 5th Avenue, 19th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0"/>
              <w:jc w:val="left"/>
              <w:rPr/>
            </w:pPr>
            <w:r>
              <w:rPr/>
              <w:t>The principal business of NEA 17 is to invest in and assist growth-oriented businesses located principally in the United States. The principal business of NEA Partners 17 is to act as the sole general partner of NEA 17. The principal business of NEA 17 LLC is to act as the sole general partner of NEA Partners 17. The principal business of each of the Florence, Makhzoumi and Sandell is to manage the Control Entities, NEA 17 and a number of affiliated partnerships with similar businesses.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0"/>
              <w:jc w:val="left"/>
              <w:rPr/>
            </w:pPr>
            <w:r>
              <w:rPr/>
              <w:t>NEA 17 LLC is a limited liability company organized under the laws of the State of Delaware. NEA 17 and NEA Partners 17 are limited partnerships organized under the laws of the State of Delaware. Florence, Makhzoumi and Sandell are each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The information provided in Item 5(c) is hereby incorporated by reference. Depending on market conditions and other factors, NEA 17 and the Reporting Persons may dispose of additional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0"/>
              <w:jc w:val="left"/>
              <w:rPr/>
            </w:pPr>
            <w:r>
              <w:rPr/>
              <w:t>NEA 17 is the record owner of the NEA 17 Shares. As the general partner of NEA 17, NEA Partners 17 may be deemed to own beneficially the NEA 17 Shares. As the sole general partner of NEA Partners 17, NEA 17 LLC may be deemed to beneficially own the NEA 17 Shares. As individual members of the Executive Committee, which committee has voting and dispositive power with respect to the NEA 17 Shares, each of Florence, Makhzoumi and Sandell may be deemed to beneficially own the NEA 17 Shares. Each Reporting Person disclaims beneficial ownership of the NEA 17 Shares other than those shares which such person owns of record. As of July 6, 2026, Behbahani is the record owner of options to purchase 135,432 shares of Common Stock exercisable within 60 days (the "Behbahani Option Shares"). The percentage of outstanding Common Stock of the Issuer which may be deemed to be beneficially owned by each Reporting Person is set forth on Line 13 of such Reporting Person's cover sheet. Such percentage was calculated based on the 84,479,418 shares of Common Stock reported by the Issuer to be outstanding as of May 1, 2026, as reported on the Issuer's Form 10-Q filed with the Securities and Exchange Commission on May 7, 2026. The percentage set forth on the cover sheet for Behbahani is calculated based on the shares described in the preceding sentence plus the Behbahani Option Shares.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0"/>
              <w:jc w:val="left"/>
              <w:rPr/>
            </w:pPr>
            <w:r>
              <w:rPr/>
              <w:t>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0"/>
              <w:jc w:val="left"/>
              <w:rPr/>
            </w:pPr>
            <w:r>
              <w:rPr/>
              <w:t>On July 1, 2026, NEA 17 made a pro rata distribution of 1,000,000 shares of Common Stock of the Issuer to its general partner and its limited partners for no consideration (the "NEA 17 Distribution"). NEA Partners 17 acquired 15,000 shares of Common Stock of the Issuer as a result of the NEA 17 Distribution and, subsequent to the NEA 17 Distribution, on July 1, 2026, made a distribution of 15,000 shares of Common Stock of the Issuer for no consideration (the "NEA Partners 17 Distribution"), of which 11,830 shares were received by an entity for which Florence, Makhzoumi and Sandell may be deemed to have beneficial ownership. NEA 17 now holds a total of 6,692,298 shares of Common Stock of the Issuer (the "NEA 17 Shares"). On July 2, 2026, the shares indirectly received by Florence, Makhzoumi and Sandell in the NEA Partners 17 Distribution were sold as set forth on Schedule A. No other transactions in the Issuer's Common Stock were effected by the Reporting Persons since the filing of Amendment No. 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Common Stock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0"/>
              <w:jc w:val="left"/>
              <w:rPr/>
            </w:pPr>
            <w:r>
              <w:rPr/>
              <w:t>As of April 1, 2026, each of Baskett, Behbahani, Chang, Mathers, Walker and Yang has ceased to beneficially own five percent (5%) or more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Exhibit 1 - Agreement regarding filing of joint Schedule 13D. Exhibit 2 - Schedule A: Transactions. Exhibit 3 - Power of Attorney regarding filings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New Enterprise Associates 17,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Anthony A. Florence Jr.,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Mohamad H. Makhzoumi,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NEA Partners 17,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Anthony A. Florence Jr.,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Mohamad H. Makhzoumi,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NEA 17 GP,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Anthony A. Florence Jr.,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Zachary Bambach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Zachary Bambach as attorney-in-fact for Mohamad H. Makhzoumi, Co-Chief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Anthony A. Florence, Jr.</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Anthony A. Florence, Jr.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Mohamad H. Makhzoumi</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Bambach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Bambach as attorney-in-fact for Mohamad H. Makhzoumi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Scott D. Sandell</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Zachary Bambach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Zachary Bambach as attorney-in-fact for Scott D. Sandell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Forest Baskett</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Bambach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Bambach as attorney-in-fact for Forest Baskett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Ali Behbahani</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Zachary Bambach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Zachary Bambach as attorney-in-fact for Ali Behbahani</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Carmen Chang</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Carmen Chang</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Edward T. Mathers</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Zachary Bambach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Zachary Bambach as attorney-in-fact for Edward T. Mathers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Paul Walker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Zachary Bambach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Zachary Bambach as attorney-in-fact for Paul Walker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Rick Yang</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Bambach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Bambach as attorney-in-fact for Rick Yang</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No. 4 to Schedule 13D was executed by Zachary Bambach on behalf of the individuals listed above pursuant to a Power of Attorney, a copy of which is attached as Exhibit 3.</w:t>
            </w:r>
          </w:p>
        </w:tc>
      </w:tr>
    </w:tbl>
    <w:p>
      <w:pPr>
        <w:pStyle w:val="TextBody"/>
        <w:bidi w:val="0"/>
        <w:jc w:val="right"/>
        <w:rPr>
          <w:rFonts w:ascii="Times New Roman;Times;Serif" w:hAnsi="Times New Roman;Times;Serif"/>
          <w:b/>
          <w:i w:val="false"/>
          <w:caps w:val="false"/>
          <w:smallCaps w:val="false"/>
          <w:sz w:val="22"/>
          <w:u w:val="single"/>
        </w:rPr>
      </w:pPr>
      <w:bookmarkStart w:id="58" w:name="exh1.htm"/>
      <w:bookmarkStart w:id="59" w:name="ksexh1"/>
      <w:bookmarkEnd w:id="58"/>
      <w:bookmarkEnd w:id="59"/>
      <w:r>
        <w:rPr>
          <w:rFonts w:ascii="Times New Roman;Times;Serif" w:hAnsi="Times New Roman;Times;Serif"/>
          <w:b/>
          <w:i w:val="false"/>
          <w:caps w:val="false"/>
          <w:smallCaps w:val="false"/>
          <w:sz w:val="22"/>
          <w:u w:val="single"/>
        </w:rPr>
        <w:t>EXHIBIT 1 </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by Schedule 13D need be filed with respect to the ownership by each of the undersigned of shares of stock of Monte Rosa Therapeutics, Inc.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ENTERPRISE ASSOCIATES 17, L.P.</w:t>
      </w:r>
    </w:p>
    <w:p>
      <w:pPr>
        <w:pStyle w:val="TextBody"/>
        <w:bidi w:val="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32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NEA PARTNERS 17, L.P.</w:t>
              <w:br/>
              <w:t>General Partner</w:t>
            </w:r>
          </w:p>
        </w:tc>
      </w:tr>
    </w:tbl>
    <w:p>
      <w:pPr>
        <w:pStyle w:val="TextBody"/>
        <w:bidi w:val="0"/>
        <w:ind w:left="720" w:right="0" w:hanging="72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32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NEA 17 GP, LLC</w:t>
              <w:br/>
              <w:t>General Partner</w:t>
            </w:r>
          </w:p>
        </w:tc>
      </w:tr>
    </w:tbl>
    <w:p>
      <w:pPr>
        <w:pStyle w:val="TextBody"/>
        <w:bidi w:val="0"/>
        <w:ind w:left="720" w:right="0" w:hanging="72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Anthony A. Florence, Jr.</w:t>
      </w:r>
    </w:p>
    <w:p>
      <w:pPr>
        <w:pStyle w:val="TextBody"/>
        <w:bidi w:val="0"/>
        <w:spacing w:before="0" w:after="0"/>
        <w:ind w:left="1000" w:right="0" w:firstLine="10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Co-Chief Executive Officer </w:t>
      </w:r>
    </w:p>
    <w:p>
      <w:pPr>
        <w:pStyle w:val="TextBody"/>
        <w:bidi w:val="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Mohamad H. Makhzoumi</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Co-Chief Executive Officer  </w:t>
      </w:r>
    </w:p>
    <w:p>
      <w:pPr>
        <w:pStyle w:val="TextBody"/>
        <w:bidi w:val="0"/>
        <w:ind w:left="144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PARTNERS 17, L.P.</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32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NEA 17 GP, LLC</w:t>
              <w:br/>
              <w:t>General Partner</w:t>
            </w:r>
          </w:p>
        </w:tc>
      </w:tr>
    </w:tbl>
    <w:p>
      <w:pPr>
        <w:pStyle w:val="TextBody"/>
        <w:bidi w:val="0"/>
        <w:jc w:val="left"/>
        <w:rPr>
          <w:caps w:val="false"/>
          <w:smallCaps w:val="false"/>
        </w:rPr>
      </w:pPr>
      <w:r>
        <w:rPr>
          <w:caps w:val="false"/>
          <w:smallCaps w:val="false"/>
        </w:rPr>
        <w:t> </w:t>
      </w:r>
    </w:p>
    <w:p>
      <w:pPr>
        <w:pStyle w:val="TextBody"/>
        <w:bidi w:val="0"/>
        <w:ind w:left="1440" w:right="0" w:hanging="8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Anthony A. Florence, Jr.</w:t>
      </w:r>
    </w:p>
    <w:p>
      <w:pPr>
        <w:pStyle w:val="TextBody"/>
        <w:bidi w:val="0"/>
        <w:spacing w:before="0" w:after="0"/>
        <w:ind w:left="1000" w:right="0" w:firstLine="4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Co-Chief Executive Officer </w:t>
      </w:r>
    </w:p>
    <w:p>
      <w:pPr>
        <w:pStyle w:val="TextBody"/>
        <w:bidi w:val="0"/>
        <w:spacing w:before="0" w:after="283"/>
        <w:ind w:left="0" w:right="0" w:hanging="0"/>
        <w:jc w:val="left"/>
        <w:rPr>
          <w:caps w:val="false"/>
          <w:smallCaps w:val="false"/>
        </w:rPr>
      </w:pPr>
      <w:r>
        <w:rPr>
          <w:caps w:val="false"/>
          <w:smallCaps w:val="false"/>
        </w:rPr>
        <w:t>   </w:t>
      </w:r>
    </w:p>
    <w:p>
      <w:pPr>
        <w:pStyle w:val="TextBody"/>
        <w:bidi w:val="0"/>
        <w:ind w:left="1440" w:right="0" w:hanging="8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Mohamad H. Makhzoumi</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Co-Chief Executive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17 GP, LLC</w:t>
      </w:r>
    </w:p>
    <w:p>
      <w:pPr>
        <w:pStyle w:val="TextBody"/>
        <w:bidi w:val="0"/>
        <w:jc w:val="left"/>
        <w:rPr>
          <w:caps w:val="false"/>
          <w:smallCaps w:val="false"/>
        </w:rPr>
      </w:pPr>
      <w:r>
        <w:rPr>
          <w:caps w:val="false"/>
          <w:smallCaps w:val="false"/>
        </w:rPr>
        <w:t> </w:t>
      </w:r>
    </w:p>
    <w:p>
      <w:pPr>
        <w:pStyle w:val="TextBody"/>
        <w:bidi w:val="0"/>
        <w:ind w:left="1440" w:right="0" w:hanging="15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hanging="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Anthony A. Florence, Jr.</w:t>
      </w:r>
    </w:p>
    <w:p>
      <w:pPr>
        <w:pStyle w:val="TextBody"/>
        <w:bidi w:val="0"/>
        <w:spacing w:before="0" w:after="0"/>
        <w:ind w:left="1000" w:right="0" w:hanging="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Co-Chief Executive Officer </w:t>
      </w:r>
    </w:p>
    <w:p>
      <w:pPr>
        <w:pStyle w:val="TextBody"/>
        <w:bidi w:val="0"/>
        <w:spacing w:before="0" w:after="283"/>
        <w:ind w:left="0" w:right="0" w:hanging="1120"/>
        <w:jc w:val="left"/>
        <w:rPr>
          <w:caps w:val="false"/>
          <w:smallCaps w:val="false"/>
        </w:rPr>
      </w:pPr>
      <w:r>
        <w:rPr>
          <w:caps w:val="false"/>
          <w:smallCaps w:val="false"/>
        </w:rPr>
        <w:t>   </w:t>
      </w:r>
    </w:p>
    <w:p>
      <w:pPr>
        <w:pStyle w:val="TextBody"/>
        <w:bidi w:val="0"/>
        <w:ind w:left="1440" w:right="0" w:hanging="15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hanging="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Mohamad H. Makhzoumi</w:t>
      </w:r>
    </w:p>
    <w:p>
      <w:pPr>
        <w:pStyle w:val="TextBody"/>
        <w:bidi w:val="0"/>
        <w:spacing w:before="0" w:after="0"/>
        <w:ind w:left="1000" w:right="0" w:hanging="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Co-Chief Executive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90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bidi w:val="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bidi w:val="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p>
      <w:pPr>
        <w:pStyle w:val="TextBody"/>
        <w:bidi w:val="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p>
      <w:pPr>
        <w:pStyle w:val="TextBody"/>
        <w:bidi w:val="0"/>
        <w:ind w:left="720" w:right="0" w:hanging="72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Walker</w:t>
      </w:r>
    </w:p>
    <w:p>
      <w:pPr>
        <w:pStyle w:val="TextBody"/>
        <w:bidi w:val="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5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*/s/ Zachary Bambach</w:t>
        <w:tab/>
        <w:t>          </w:t>
      </w:r>
    </w:p>
    <w:p>
      <w:pPr>
        <w:pStyle w:val="TextBody"/>
        <w:bidi w:val="0"/>
        <w:ind w:left="0" w:right="0" w:firstLine="5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Zachary Bambach</w:t>
      </w:r>
    </w:p>
    <w:p>
      <w:pPr>
        <w:pStyle w:val="TextBody"/>
        <w:bidi w:val="0"/>
        <w:ind w:left="800" w:right="0" w:firstLine="4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bidi w:val="0"/>
        <w:ind w:left="800" w:right="0" w:firstLine="466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relating to Schedule 13D was executed by Zachary Bambach on behalf of the individuals listed above pursuant to a Power of Attorney, a copy of which is attached hereto as Exhibit 3.</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bookmarkStart w:id="60" w:name="exh2.htm"/>
      <w:bookmarkStart w:id="61" w:name="ksexh2"/>
      <w:bookmarkEnd w:id="60"/>
      <w:bookmarkEnd w:id="61"/>
      <w:r>
        <w:rPr>
          <w:rFonts w:ascii="Times New Roman;Times;Serif" w:hAnsi="Times New Roman;Times;Serif"/>
          <w:b/>
          <w:i w:val="false"/>
          <w:caps w:val="false"/>
          <w:smallCaps w:val="false"/>
          <w:sz w:val="20"/>
          <w:u w:val="single"/>
        </w:rPr>
        <w:t>EXHIBIT 2</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Transactions during the past 60 days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9230" w:type="dxa"/>
        <w:jc w:val="left"/>
        <w:tblInd w:w="-10" w:type="dxa"/>
        <w:tblLayout w:type="fixed"/>
        <w:tblCellMar>
          <w:top w:w="0" w:type="dxa"/>
          <w:left w:w="28" w:type="dxa"/>
          <w:bottom w:w="0" w:type="dxa"/>
          <w:right w:w="28" w:type="dxa"/>
        </w:tblCellMar>
      </w:tblPr>
      <w:tblGrid>
        <w:gridCol w:w="2915"/>
        <w:gridCol w:w="1055"/>
        <w:gridCol w:w="1475"/>
        <w:gridCol w:w="770"/>
        <w:gridCol w:w="1235"/>
        <w:gridCol w:w="860"/>
        <w:gridCol w:w="920"/>
      </w:tblGrid>
      <w:tr>
        <w:trPr/>
        <w:tc>
          <w:tcPr>
            <w:tcW w:w="2915" w:type="dxa"/>
            <w:tcBorders>
              <w:left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55"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r>
          </w:p>
        </w:tc>
        <w:tc>
          <w:tcPr>
            <w:tcW w:w="1475"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w:t>
            </w:r>
          </w:p>
        </w:tc>
        <w:tc>
          <w:tcPr>
            <w:tcW w:w="770" w:type="dxa"/>
            <w:tcBorders>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35" w:type="dxa"/>
            <w:tcBorders>
              <w:right w:val="single" w:sz="8" w:space="0" w:color="000000"/>
            </w:tcBorders>
            <w:tcMar>
              <w:left w:w="0"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Price</w:t>
            </w:r>
          </w:p>
        </w:tc>
        <w:tc>
          <w:tcPr>
            <w:tcW w:w="1780" w:type="dxa"/>
            <w:gridSpan w:val="2"/>
            <w:tcBorders>
              <w:bottom w:val="single" w:sz="8" w:space="0" w:color="000000"/>
              <w:right w:val="single" w:sz="8" w:space="0" w:color="000000"/>
            </w:tcBorders>
            <w:tcMar>
              <w:left w:w="0" w:type="dxa"/>
              <w:bottom w:w="28" w:type="dxa"/>
            </w:tcMar>
            <w:vAlign w:val="center"/>
          </w:tcPr>
          <w:p>
            <w:pPr>
              <w:pStyle w:val="TableContents"/>
              <w:bidi w:val="0"/>
              <w:spacing w:before="0" w:after="120"/>
              <w:jc w:val="center"/>
              <w:rPr>
                <w:rFonts w:ascii="Times New Roman;Times;Serif" w:hAnsi="Times New Roman;Times;Serif"/>
                <w:b/>
                <w:sz w:val="20"/>
              </w:rPr>
            </w:pPr>
            <w:r>
              <w:rPr>
                <w:rFonts w:ascii="Times New Roman;Times;Serif" w:hAnsi="Times New Roman;Times;Serif"/>
                <w:b/>
                <w:sz w:val="20"/>
              </w:rPr>
              <w:t>Price Range </w:t>
            </w:r>
          </w:p>
        </w:tc>
      </w:tr>
      <w:tr>
        <w:trPr/>
        <w:tc>
          <w:tcPr>
            <w:tcW w:w="2915" w:type="dxa"/>
            <w:tcBorders>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1055"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1475"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r>
          </w:p>
        </w:tc>
        <w:tc>
          <w:tcPr>
            <w:tcW w:w="770"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Quantity</w:t>
            </w:r>
          </w:p>
        </w:tc>
        <w:tc>
          <w:tcPr>
            <w:tcW w:w="1235"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 Share*</w:t>
            </w:r>
          </w:p>
        </w:tc>
        <w:tc>
          <w:tcPr>
            <w:tcW w:w="860"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Minimum</w:t>
            </w:r>
          </w:p>
        </w:tc>
        <w:tc>
          <w:tcPr>
            <w:tcW w:w="920" w:type="dxa"/>
            <w:tcBorders>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r>
          </w:p>
        </w:tc>
      </w:tr>
      <w:tr>
        <w:trPr/>
        <w:tc>
          <w:tcPr>
            <w:tcW w:w="2915" w:type="dxa"/>
            <w:tcBorders>
              <w:left w:val="single" w:sz="8" w:space="0" w:color="000000"/>
              <w:bottom w:val="single" w:sz="8" w:space="0" w:color="000000"/>
              <w:right w:val="single" w:sz="8" w:space="0" w:color="000000"/>
            </w:tcBorders>
            <w:tcMar>
              <w:left w:w="108"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NEA Investment Holdings CF, LLC</w:t>
            </w:r>
          </w:p>
        </w:tc>
        <w:tc>
          <w:tcPr>
            <w:tcW w:w="1055"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July 2, 2026</w:t>
            </w:r>
          </w:p>
        </w:tc>
        <w:tc>
          <w:tcPr>
            <w:tcW w:w="1475"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Open Market Sale</w:t>
            </w:r>
          </w:p>
        </w:tc>
        <w:tc>
          <w:tcPr>
            <w:tcW w:w="770"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11,830</w:t>
            </w:r>
          </w:p>
        </w:tc>
        <w:tc>
          <w:tcPr>
            <w:tcW w:w="1235"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$24.18096</w:t>
            </w:r>
          </w:p>
        </w:tc>
        <w:tc>
          <w:tcPr>
            <w:tcW w:w="860"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$23.70</w:t>
            </w:r>
          </w:p>
        </w:tc>
        <w:tc>
          <w:tcPr>
            <w:tcW w:w="920" w:type="dxa"/>
            <w:tcBorders>
              <w:bottom w:val="single" w:sz="8" w:space="0" w:color="000000"/>
              <w:right w:val="single" w:sz="8" w:space="0" w:color="000000"/>
            </w:tcBorders>
            <w:tcMar>
              <w:left w:w="0" w:type="dxa"/>
              <w:bottom w:w="60" w:type="dxa"/>
              <w:right w:w="108" w:type="dxa"/>
            </w:tcMar>
            <w:vAlign w:val="center"/>
          </w:tcPr>
          <w:p>
            <w:pPr>
              <w:pStyle w:val="TableContents"/>
              <w:bidi w:val="0"/>
              <w:spacing w:lineRule="auto" w:line="480" w:before="0" w:after="283"/>
              <w:jc w:val="center"/>
              <w:rPr>
                <w:rFonts w:ascii="Times New Roman;Times;Serif" w:hAnsi="Times New Roman;Times;Serif"/>
                <w:sz w:val="20"/>
              </w:rPr>
            </w:pPr>
            <w:r>
              <w:rPr>
                <w:rFonts w:ascii="Times New Roman;Times;Serif" w:hAnsi="Times New Roman;Times;Serif"/>
                <w:sz w:val="20"/>
              </w:rPr>
              <w:t>$24.68</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undertake to provide to the SEC staff, upon request, full information regarding the number of shares purchased at each price within the ranges set forth in the table above.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bookmarkStart w:id="62" w:name="exh3.htm"/>
      <w:bookmarkStart w:id="63" w:name="ksexh3"/>
      <w:bookmarkEnd w:id="62"/>
      <w:bookmarkEnd w:id="63"/>
      <w:r>
        <w:rPr>
          <w:rFonts w:ascii="Times New Roman;Times;Serif" w:hAnsi="Times New Roman;Times;Serif"/>
          <w:b/>
          <w:i w:val="false"/>
          <w:caps w:val="false"/>
          <w:smallCaps w:val="false"/>
          <w:sz w:val="20"/>
          <w:u w:val="single"/>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has been signed as of the 29th day of February, 2024.</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51">
                <wp:simplePos x="0" y="0"/>
                <wp:positionH relativeFrom="column">
                  <wp:align>right</wp:align>
                </wp:positionH>
                <wp:positionV relativeFrom="line">
                  <wp:posOffset>635</wp:posOffset>
                </wp:positionV>
                <wp:extent cx="1470025" cy="9972040"/>
                <wp:effectExtent l="0" t="0" r="0" b="0"/>
                <wp:wrapSquare wrapText="left"/>
                <wp:docPr id="50" name="Frame1"/>
                <a:graphic xmlns:a="http://schemas.openxmlformats.org/drawingml/2006/main">
                  <a:graphicData uri="http://schemas.microsoft.com/office/word/2010/wordprocessingShape">
                    <wps:wsp>
                      <wps:cNvSpPr txBox="1"/>
                      <wps:spPr>
                        <a:xfrm>
                          <a:off x="0" y="0"/>
                          <a:ext cx="1470025" cy="9972040"/>
                        </a:xfrm>
                        <a:prstGeom prst="rect"/>
                        <a:solidFill>
                          <a:srgbClr val="FFFFFF"/>
                        </a:solidFill>
                      </wps:spPr>
                      <wps:txbx>
                        <w:txbxContent>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J. Barris</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Barris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Forest Baskett</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Behbahani</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 D. Bernal</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D. Bernal</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Bordetsky</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Bordetsky</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Carmen Chang</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Chopin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Chopin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A. Florence, Jr.</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Golden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Golden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Gottlieb</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Gottlieb</w:t>
                                  </w:r>
                                </w:p>
                              </w:tc>
                              <w:tc>
                                <w:tcPr>
                                  <w:tcW w:w="75" w:type="dxa"/>
                                  <w:tcBorders/>
                                  <w:tcMar>
                                    <w:bottom w:w="0" w:type="dxa"/>
                                  </w:tcMar>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15.75pt;height:785.2pt;mso-wrap-distance-left:0pt;mso-wrap-distance-right:0pt;mso-wrap-distance-top:0pt;mso-wrap-distance-bottom:0pt;margin-top:0pt;mso-position-vertical:top;mso-position-vertical-relative:text;margin-left:394.5pt;mso-position-horizontal:right;mso-position-horizontal-relative:text">
                <v:textbox>
                  <w:txbxContent>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J. Barris</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Barris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Forest Baskett</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Behbahani</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 D. Bernal</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D. Bernal</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Bordetsky</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Bordetsky</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Carmen Chang</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Chopin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Chopin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A. Florence, Jr.</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Golden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Golden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Gottlieb</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Gottlieb</w:t>
                            </w:r>
                          </w:p>
                        </w:tc>
                        <w:tc>
                          <w:tcPr>
                            <w:tcW w:w="75" w:type="dxa"/>
                            <w:tcBorders/>
                            <w:tcMar>
                              <w:bottom w:w="0" w:type="dxa"/>
                            </w:tcMar>
                            <w:vAlign w:val="center"/>
                          </w:tcPr>
                          <w:p>
                            <w:pPr>
                              <w:pStyle w:val="TableContents"/>
                              <w:bidi w:val="0"/>
                              <w:spacing w:before="0" w:after="283"/>
                              <w:jc w:val="left"/>
                              <w:rPr/>
                            </w:pPr>
                            <w:r>
                              <w:rPr/>
                              <w:t> </w:t>
                            </w:r>
                          </w:p>
                        </w:tc>
                      </w:tr>
                    </w:tbl>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p>
    <w:p>
      <w:pPr>
        <w:pStyle w:val="Normal"/>
        <w:bidi w:val="0"/>
        <w:spacing w:before="0" w:after="0"/>
        <w:ind w:left="432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olumn">
                  <wp:align>right</wp:align>
                </wp:positionH>
                <wp:positionV relativeFrom="line">
                  <wp:posOffset>635</wp:posOffset>
                </wp:positionV>
                <wp:extent cx="1574800" cy="9972040"/>
                <wp:effectExtent l="0" t="0" r="0" b="0"/>
                <wp:wrapSquare wrapText="left"/>
                <wp:docPr id="51" name="Frame2"/>
                <a:graphic xmlns:a="http://schemas.openxmlformats.org/drawingml/2006/main">
                  <a:graphicData uri="http://schemas.microsoft.com/office/word/2010/wordprocessingShape">
                    <wps:wsp>
                      <wps:cNvSpPr txBox="1"/>
                      <wps:spPr>
                        <a:xfrm>
                          <a:off x="0" y="0"/>
                          <a:ext cx="1574800" cy="9972040"/>
                        </a:xfrm>
                        <a:prstGeom prst="rect"/>
                        <a:solidFill>
                          <a:srgbClr val="FFFFFF"/>
                        </a:solidFill>
                      </wps:spPr>
                      <wps:txbx>
                        <w:txbxContent>
                          <w:tbl>
                            <w:tblPr>
                              <w:tblW w:w="2480" w:type="dxa"/>
                              <w:jc w:val="left"/>
                              <w:tblInd w:w="0" w:type="dxa"/>
                              <w:tblLayout w:type="fixed"/>
                              <w:tblCellMar>
                                <w:top w:w="0" w:type="dxa"/>
                                <w:left w:w="0" w:type="dxa"/>
                                <w:bottom w:w="28" w:type="dxa"/>
                                <w:right w:w="0" w:type="dxa"/>
                              </w:tblCellMar>
                            </w:tblPr>
                            <w:tblGrid>
                              <w:gridCol w:w="2405"/>
                              <w:gridCol w:w="75"/>
                            </w:tblGrid>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Hawkins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Hawkins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R. Immelt</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 Immelt</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Jacobson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Jacobson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J. Kerins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Kerins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Hilarie Koplow-McAdams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Hilarie Koplow-McAdams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Vanessa Larco</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Vanessa Larco</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Julio C. Lopez</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Julio C. Lopez</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Tiffany Le</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Tiffany Le</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Mohamad H. Makhzoumi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T. Mathers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Papadopoulos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Papadopoulos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Kavita Patel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Kavita Patel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D. Sandell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Scott D. Sandell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Brooke Seawell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Brooke Seawell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Sonsini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Sonsini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Melissa Taunton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Taunton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E. Walker</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Walker</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Yang</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tc>
                              <w:tc>
                                <w:tcPr>
                                  <w:tcW w:w="75" w:type="dxa"/>
                                  <w:tcBorders/>
                                  <w:tcMar>
                                    <w:bottom w:w="0" w:type="dxa"/>
                                  </w:tcMar>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24pt;height:785.2pt;mso-wrap-distance-left:0pt;mso-wrap-distance-right:0pt;mso-wrap-distance-top:0pt;mso-wrap-distance-bottom:0pt;margin-top:0pt;mso-position-vertical:top;mso-position-vertical-relative:text;margin-left:386.25pt;mso-position-horizontal:right;mso-position-horizontal-relative:text">
                <v:textbox>
                  <w:txbxContent>
                    <w:tbl>
                      <w:tblPr>
                        <w:tblW w:w="2480" w:type="dxa"/>
                        <w:jc w:val="left"/>
                        <w:tblInd w:w="0" w:type="dxa"/>
                        <w:tblLayout w:type="fixed"/>
                        <w:tblCellMar>
                          <w:top w:w="0" w:type="dxa"/>
                          <w:left w:w="0" w:type="dxa"/>
                          <w:bottom w:w="28" w:type="dxa"/>
                          <w:right w:w="0" w:type="dxa"/>
                        </w:tblCellMar>
                      </w:tblPr>
                      <w:tblGrid>
                        <w:gridCol w:w="2405"/>
                        <w:gridCol w:w="75"/>
                      </w:tblGrid>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Hawkins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Hawkins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R. Immelt</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 Immelt</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Jacobson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Jacobson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J. Kerins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Kerins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Hilarie Koplow-McAdams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Hilarie Koplow-McAdams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Vanessa Larco</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Vanessa Larco</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Julio C. Lopez</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Julio C. Lopez</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Tiffany Le</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Tiffany Le</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Mohamad H. Makhzoumi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T. Mathers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Papadopoulos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Papadopoulos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Kavita Patel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Kavita Patel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D. Sandell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Scott D. Sandell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Brooke Seawell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Brooke Seawell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Sonsini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Sonsini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Melissa Taunton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Taunton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E. Walker</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Walker</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Yang</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tc>
                        <w:tc>
                          <w:tcPr>
                            <w:tcW w:w="75" w:type="dxa"/>
                            <w:tcBorders/>
                            <w:tcMar>
                              <w:bottom w:w="0" w:type="dxa"/>
                            </w:tcMar>
                            <w:vAlign w:val="center"/>
                          </w:tcPr>
                          <w:p>
                            <w:pPr>
                              <w:pStyle w:val="TableContents"/>
                              <w:bidi w:val="0"/>
                              <w:spacing w:before="0" w:after="283"/>
                              <w:jc w:val="left"/>
                              <w:rPr/>
                            </w:pPr>
                            <w:r>
                              <w:rPr/>
                              <w:t> </w:t>
                            </w:r>
                          </w:p>
                        </w:tc>
                      </w:tr>
                    </w:tbl>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bdr w:val="single" w:sz="16" w:space="1" w:color="000000"/>
        </w:rPr>
      </w:pPr>
      <w:r>
        <w:rPr>
          <w:bdr w:val="single" w:sz="16"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4224</Words>
  <Characters>21559</Characters>
  <CharactersWithSpaces>26348</CharactersWithSpaces>
  <Paragraphs>1033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