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Bowen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MONTE ROSA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HARRISON AVENUE,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Monte Rosa Therapeutics, Inc.</w:t>
              </w:r>
            </w:hyperlink>
            <w:r>
              <w:rPr/>
              <w:t xml:space="preserve"> [ </w:t>
            </w:r>
            <w:r>
              <w:rPr>
                <w:rFonts w:ascii="Times;serif" w:hAnsi="Times;serif"/>
                <w:color w:val="0000FF"/>
                <w:sz w:val="24"/>
                <w:shd w:fill="FFFFFF" w:val="clear"/>
              </w:rPr>
              <w:t>GLUE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10.56</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25,891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required to be sold by the Reporting Person to cover tax withholding obligations in connection with the vesting of restricted stock units. These sales were automatic and not in the discretion of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 Nickson,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5025" TargetMode="External"/><Relationship Id="rId5" Type="http://schemas.openxmlformats.org/officeDocument/2006/relationships/hyperlink" Target="http://www.sec.gov/cgi-bin/browse-edgar?action=getcompany&amp;CIK=00018264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3312</Characters>
  <CharactersWithSpaces>3850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