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Behbahani Ali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Monte Rosa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GLUE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11, 2027 or (ii) the Issuer's next annual meeting of stockholders, subject to the Reporting Person's continued service at such time.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2"/>
          <w:szCs w:val="32"/>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2026-06-12T17:46:39Z</dcterms:created>
  <dcterms:modified xsi:type="dcterms:W3CDTF">2026-06-12T17:46:39Z</dcterms:modified>
</cp:coreProperties>
</file>