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MONTE ROSA THERAPEUTICS, INC.</w:t>
      </w:r>
    </w:p>
    <w:p>
      <w:pPr>
        <w:spacing w:after="0" w:line="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160" w:type="dxa"/>
            <w:vAlign w:val="bottom"/>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001-40522</w:t>
            </w:r>
          </w:p>
        </w:tc>
        <w:tc>
          <w:tcPr>
            <w:tcW w:w="298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rPr>
              <w:t>84-3766197</w:t>
            </w:r>
          </w:p>
        </w:tc>
      </w:tr>
      <w:tr>
        <w:trPr>
          <w:trHeight w:val="148"/>
        </w:trPr>
        <w:tc>
          <w:tcPr>
            <w:tcW w:w="3160" w:type="dxa"/>
            <w:vAlign w:val="bottom"/>
          </w:tcPr>
          <w:p>
            <w:pPr>
              <w:jc w:val="center"/>
              <w:ind w:left="6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80" w:type="dxa"/>
            <w:vAlign w:val="bottom"/>
          </w:tcPr>
          <w:p>
            <w:pPr>
              <w:jc w:val="center"/>
              <w:ind w:right="5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60" w:type="dxa"/>
            <w:vAlign w:val="bottom"/>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80" w:type="dxa"/>
            <w:vAlign w:val="bottom"/>
          </w:tcPr>
          <w:p>
            <w:pPr>
              <w:jc w:val="center"/>
              <w:ind w:right="5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160" w:type="dxa"/>
            <w:vAlign w:val="bottom"/>
          </w:tcPr>
          <w:p>
            <w:pPr>
              <w:spacing w:after="0"/>
              <w:rPr>
                <w:sz w:val="24"/>
                <w:szCs w:val="24"/>
                <w:color w:val="auto"/>
              </w:rPr>
            </w:pPr>
          </w:p>
        </w:tc>
        <w:tc>
          <w:tcPr>
            <w:tcW w:w="510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321 Harrison Avenue, Suite 900</w:t>
            </w:r>
          </w:p>
        </w:tc>
        <w:tc>
          <w:tcPr>
            <w:tcW w:w="2980" w:type="dxa"/>
            <w:vAlign w:val="bottom"/>
          </w:tcPr>
          <w:p>
            <w:pPr>
              <w:spacing w:after="0"/>
              <w:rPr>
                <w:sz w:val="24"/>
                <w:szCs w:val="24"/>
                <w:color w:val="auto"/>
              </w:rPr>
            </w:pPr>
          </w:p>
        </w:tc>
      </w:tr>
      <w:tr>
        <w:trPr>
          <w:trHeight w:val="214"/>
        </w:trPr>
        <w:tc>
          <w:tcPr>
            <w:tcW w:w="3160" w:type="dxa"/>
            <w:vAlign w:val="bottom"/>
          </w:tcPr>
          <w:p>
            <w:pPr>
              <w:spacing w:after="0"/>
              <w:rPr>
                <w:sz w:val="18"/>
                <w:szCs w:val="18"/>
                <w:color w:val="auto"/>
              </w:rPr>
            </w:pPr>
          </w:p>
        </w:tc>
        <w:tc>
          <w:tcPr>
            <w:tcW w:w="51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Boston, MA 02118</w:t>
            </w:r>
          </w:p>
        </w:tc>
        <w:tc>
          <w:tcPr>
            <w:tcW w:w="2980" w:type="dxa"/>
            <w:vAlign w:val="bottom"/>
          </w:tcPr>
          <w:p>
            <w:pPr>
              <w:spacing w:after="0"/>
              <w:rPr>
                <w:sz w:val="18"/>
                <w:szCs w:val="18"/>
                <w:color w:val="auto"/>
              </w:rPr>
            </w:pPr>
          </w:p>
        </w:tc>
      </w:tr>
      <w:tr>
        <w:trPr>
          <w:trHeight w:val="190"/>
        </w:trPr>
        <w:tc>
          <w:tcPr>
            <w:tcW w:w="3160" w:type="dxa"/>
            <w:vAlign w:val="bottom"/>
          </w:tcPr>
          <w:p>
            <w:pPr>
              <w:spacing w:after="0"/>
              <w:rPr>
                <w:sz w:val="16"/>
                <w:szCs w:val="16"/>
                <w:color w:val="auto"/>
              </w:rPr>
            </w:pPr>
          </w:p>
        </w:tc>
        <w:tc>
          <w:tcPr>
            <w:tcW w:w="51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980" w:type="dxa"/>
            <w:vAlign w:val="bottom"/>
          </w:tcPr>
          <w:p>
            <w:pPr>
              <w:spacing w:after="0"/>
              <w:rPr>
                <w:sz w:val="16"/>
                <w:szCs w:val="16"/>
                <w:color w:val="auto"/>
              </w:rPr>
            </w:pPr>
          </w:p>
        </w:tc>
      </w:tr>
      <w:tr>
        <w:trPr>
          <w:trHeight w:val="282"/>
        </w:trPr>
        <w:tc>
          <w:tcPr>
            <w:tcW w:w="3160" w:type="dxa"/>
            <w:vAlign w:val="bottom"/>
          </w:tcPr>
          <w:p>
            <w:pPr>
              <w:spacing w:after="0"/>
              <w:rPr>
                <w:sz w:val="24"/>
                <w:szCs w:val="24"/>
                <w:color w:val="auto"/>
              </w:rPr>
            </w:pPr>
          </w:p>
        </w:tc>
        <w:tc>
          <w:tcPr>
            <w:tcW w:w="510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(617) 949-2643</w:t>
            </w:r>
          </w:p>
        </w:tc>
        <w:tc>
          <w:tcPr>
            <w:tcW w:w="2980" w:type="dxa"/>
            <w:vAlign w:val="bottom"/>
          </w:tcPr>
          <w:p>
            <w:pPr>
              <w:spacing w:after="0"/>
              <w:rPr>
                <w:sz w:val="24"/>
                <w:szCs w:val="24"/>
                <w:color w:val="auto"/>
              </w:rPr>
            </w:pPr>
          </w:p>
        </w:tc>
      </w:tr>
      <w:tr>
        <w:trPr>
          <w:trHeight w:val="190"/>
        </w:trPr>
        <w:tc>
          <w:tcPr>
            <w:tcW w:w="3160" w:type="dxa"/>
            <w:vAlign w:val="bottom"/>
          </w:tcPr>
          <w:p>
            <w:pPr>
              <w:spacing w:after="0"/>
              <w:rPr>
                <w:sz w:val="16"/>
                <w:szCs w:val="16"/>
                <w:color w:val="auto"/>
              </w:rPr>
            </w:pPr>
          </w:p>
        </w:tc>
        <w:tc>
          <w:tcPr>
            <w:tcW w:w="51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80" w:type="dxa"/>
            <w:vAlign w:val="bottom"/>
          </w:tcPr>
          <w:p>
            <w:pPr>
              <w:spacing w:after="0"/>
              <w:rPr>
                <w:sz w:val="16"/>
                <w:szCs w:val="16"/>
                <w:color w:val="auto"/>
              </w:rPr>
            </w:pPr>
          </w:p>
        </w:tc>
      </w:tr>
      <w:tr>
        <w:trPr>
          <w:trHeight w:val="307"/>
        </w:trPr>
        <w:tc>
          <w:tcPr>
            <w:tcW w:w="3160" w:type="dxa"/>
            <w:vAlign w:val="bottom"/>
          </w:tcPr>
          <w:p>
            <w:pPr>
              <w:spacing w:after="0"/>
              <w:rPr>
                <w:sz w:val="24"/>
                <w:szCs w:val="24"/>
                <w:color w:val="auto"/>
              </w:rPr>
            </w:pPr>
          </w:p>
        </w:tc>
        <w:tc>
          <w:tcPr>
            <w:tcW w:w="510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980" w:type="dxa"/>
            <w:vAlign w:val="bottom"/>
          </w:tcPr>
          <w:p>
            <w:pPr>
              <w:spacing w:after="0"/>
              <w:rPr>
                <w:sz w:val="24"/>
                <w:szCs w:val="24"/>
                <w:color w:val="auto"/>
              </w:rPr>
            </w:pPr>
          </w:p>
        </w:tc>
      </w:tr>
      <w:tr>
        <w:trPr>
          <w:trHeight w:val="206"/>
        </w:trPr>
        <w:tc>
          <w:tcPr>
            <w:tcW w:w="3160" w:type="dxa"/>
            <w:vAlign w:val="bottom"/>
          </w:tcPr>
          <w:p>
            <w:pPr>
              <w:spacing w:after="0"/>
              <w:rPr>
                <w:sz w:val="17"/>
                <w:szCs w:val="17"/>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980" w:type="dxa"/>
            <w:vAlign w:val="bottom"/>
          </w:tcPr>
          <w:p>
            <w:pPr>
              <w:spacing w:after="0"/>
              <w:rPr>
                <w:sz w:val="17"/>
                <w:szCs w:val="17"/>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bl>
    <w:p>
      <w:pPr>
        <w:spacing w:after="0" w:line="1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6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GLUE</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Vote of Security Holders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June 11, 2026, Monte Rosa Therapeutics, Inc. (the “Company”) held its 2026 Annual Meeting of Stockholders (the “Annual Meeting”). As of April 16, 2026, the record date for the Annual Meeting, there were 84,382,573 outstanding shares of the Company’s common stock, par value $0.0001 per share (the “Common Stock”). The Company’s stockholders voted on the following matters, which are described in detail in the Company’s definitive proxy statement on Schedule 14A (the “Proxy Statement”): (i) to elect three directors, Andrew Schiff, M.D., Chandra P. Leo, M.D. and Anthony Manning, Ph.D., as Class</w:t>
      </w:r>
    </w:p>
    <w:p>
      <w:pPr>
        <w:spacing w:after="0" w:line="3" w:lineRule="exact"/>
        <w:rPr>
          <w:sz w:val="20"/>
          <w:szCs w:val="20"/>
          <w:color w:val="auto"/>
        </w:rPr>
      </w:pPr>
    </w:p>
    <w:p>
      <w:pPr>
        <w:ind w:right="60" w:firstLine="8"/>
        <w:spacing w:after="0" w:line="255" w:lineRule="auto"/>
        <w:tabs>
          <w:tab w:leader="none" w:pos="1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 each to serve for a three-year term expiring at the Company’s 2029 annual meeting of stockholders and until their successor has been duly elected and qualified, subject to their earlier death, resignation or removal and (ii) to ratify the appointment of Deloitte &amp; Touche LLP as the Company’s independent registered public accounting firm for the fiscal year ending December 31,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 Director Nominees</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stockholders of the Company elected Andrew Schiff, M.D., Chandra P. Leo, M.D. and Anthony Manning, Ph.D. as Class II directors of the Company, for a three-year term ending at the annual meeting of stockholders to be held in 2029 and until their successors have been duly elected and qualified or until their earlier resignation or removal. The results of the stockholders’ vote with respect to the election of the Class II directors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0" w:type="dxa"/>
            <w:vAlign w:val="bottom"/>
          </w:tcPr>
          <w:p>
            <w:pPr>
              <w:spacing w:after="0"/>
              <w:rPr>
                <w:sz w:val="1"/>
                <w:szCs w:val="1"/>
                <w:color w:val="auto"/>
              </w:rPr>
            </w:pPr>
          </w:p>
        </w:tc>
      </w:tr>
      <w:tr>
        <w:trPr>
          <w:trHeight w:val="238"/>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Andrew Schiff, M.D.</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191"/>
        </w:trPr>
        <w:tc>
          <w:tcPr>
            <w:tcW w:w="5340" w:type="dxa"/>
            <w:vAlign w:val="bottom"/>
            <w:vMerge w:val="continue"/>
          </w:tcPr>
          <w:p>
            <w:pPr>
              <w:spacing w:after="0"/>
              <w:rPr>
                <w:sz w:val="16"/>
                <w:szCs w:val="16"/>
                <w:color w:val="auto"/>
              </w:rPr>
            </w:pPr>
          </w:p>
        </w:tc>
        <w:tc>
          <w:tcPr>
            <w:tcW w:w="1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71,409,008</w:t>
            </w:r>
          </w:p>
        </w:tc>
        <w:tc>
          <w:tcPr>
            <w:tcW w:w="12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741,197</w:t>
            </w:r>
          </w:p>
        </w:tc>
        <w:tc>
          <w:tcPr>
            <w:tcW w:w="100" w:type="dxa"/>
            <w:vAlign w:val="bottom"/>
          </w:tcPr>
          <w:p>
            <w:pPr>
              <w:spacing w:after="0"/>
              <w:rPr>
                <w:sz w:val="16"/>
                <w:szCs w:val="16"/>
                <w:color w:val="auto"/>
              </w:rPr>
            </w:pPr>
          </w:p>
        </w:tc>
        <w:tc>
          <w:tcPr>
            <w:tcW w:w="1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3,128,885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Chandra P. Leo, M.D.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71,469,933</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680,272</w:t>
            </w:r>
          </w:p>
        </w:tc>
        <w:tc>
          <w:tcPr>
            <w:tcW w:w="2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3,128,885</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Anthony Manning, Ph.D.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56,995,916</w:t>
            </w:r>
          </w:p>
        </w:tc>
        <w:tc>
          <w:tcPr>
            <w:tcW w:w="1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15,154,289</w:t>
            </w:r>
          </w:p>
        </w:tc>
        <w:tc>
          <w:tcPr>
            <w:tcW w:w="2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3,128,885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the Company’s Independent Registered Public Accounting Firm</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selection of Deloitte &amp; Touche LLP as the Company’s independent registered public accounting firm for the fiscal year ending December 31, 2026. The results of the stockholders’ vote with respect to such ratification were as follows:</w:t>
      </w:r>
    </w:p>
    <w:p>
      <w:pPr>
        <w:spacing w:after="0" w:line="158"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8"/>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75,171,524</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57,950</w:t>
            </w:r>
          </w:p>
        </w:tc>
        <w:tc>
          <w:tcPr>
            <w:tcW w:w="100" w:type="dxa"/>
            <w:vAlign w:val="bottom"/>
          </w:tcPr>
          <w:p>
            <w:pPr>
              <w:spacing w:after="0"/>
              <w:rPr>
                <w:sz w:val="19"/>
                <w:szCs w:val="19"/>
                <w:color w:val="auto"/>
              </w:rPr>
            </w:pP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49,616</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Monte Rosa Therapeutics, Inc.</w:t>
      </w:r>
    </w:p>
    <w:p>
      <w:pPr>
        <w:spacing w:after="0" w:line="225" w:lineRule="exact"/>
        <w:rPr>
          <w:sz w:val="20"/>
          <w:szCs w:val="20"/>
          <w:color w:val="auto"/>
        </w:rPr>
      </w:pPr>
    </w:p>
    <w:p>
      <w:pPr>
        <w:spacing w:after="0"/>
        <w:tabs>
          <w:tab w:leader="none" w:pos="5620" w:val="left"/>
          <w:tab w:leader="none" w:pos="614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Markus Warmuth</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3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2026-06-11T15:06:17Z</dcterms:created>
  <dcterms:modified xsi:type="dcterms:W3CDTF">2026-06-11T15:06:17Z</dcterms:modified>
</cp:coreProperties>
</file>