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723265</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-231140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4"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92075</wp:posOffset>
            </wp:positionV>
            <wp:extent cx="142303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spacing w:after="0" w:line="216"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111125</wp:posOffset>
            </wp:positionV>
            <wp:extent cx="142303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160" w:lineRule="exact"/>
        <w:rPr>
          <w:sz w:val="24"/>
          <w:szCs w:val="24"/>
          <w:color w:val="auto"/>
        </w:rPr>
      </w:pPr>
    </w:p>
    <w:p>
      <w:pPr>
        <w:spacing w:after="0"/>
        <w:rPr>
          <w:sz w:val="20"/>
          <w:szCs w:val="20"/>
          <w:color w:val="auto"/>
        </w:rPr>
      </w:pPr>
      <w:r>
        <w:rPr>
          <w:rFonts w:ascii="Arial" w:cs="Arial" w:eastAsia="Arial" w:hAnsi="Arial"/>
          <w:sz w:val="14"/>
          <w:szCs w:val="14"/>
          <w:b w:val="1"/>
          <w:bCs w:val="1"/>
          <w:color w:val="auto"/>
        </w:rPr>
        <w:t>(Mark One)</w:t>
      </w:r>
    </w:p>
    <w:p>
      <w:pPr>
        <w:spacing w:after="0" w:line="5" w:lineRule="exact"/>
        <w:rPr>
          <w:sz w:val="24"/>
          <w:szCs w:val="24"/>
          <w:color w:val="auto"/>
        </w:rPr>
      </w:pPr>
    </w:p>
    <w:p>
      <w:pPr>
        <w:ind w:left="3660" w:right="1520" w:hanging="3639"/>
        <w:spacing w:after="0" w:line="359" w:lineRule="auto"/>
        <w:tabs>
          <w:tab w:leader="none" w:pos="486" w:val="left"/>
        </w:tabs>
        <w:numPr>
          <w:ilvl w:val="0"/>
          <w:numId w:val="1"/>
        </w:numPr>
        <w:rPr>
          <w:rFonts w:ascii="MS PGothic" w:cs="MS PGothic" w:eastAsia="MS PGothic" w:hAnsi="MS PGothic"/>
          <w:sz w:val="18"/>
          <w:szCs w:val="18"/>
          <w:color w:val="auto"/>
          <w:highlight w:val="black"/>
        </w:rPr>
      </w:pPr>
      <w:r>
        <w:rPr>
          <w:rFonts w:ascii="Arial" w:cs="Arial" w:eastAsia="Arial" w:hAnsi="Arial"/>
          <w:sz w:val="18"/>
          <w:szCs w:val="18"/>
          <w:b w:val="1"/>
          <w:bCs w:val="1"/>
          <w:color w:val="auto"/>
        </w:rPr>
        <w:t>QUARTERLY REPORT PURSUANT TO SECTION 13 OR 15(d) OF THE SECURITIES EXCHANGE ACT OF 1934 For the quarterly period ended March 31, 2026</w:t>
      </w:r>
    </w:p>
    <w:p>
      <w:pPr>
        <w:spacing w:after="0" w:line="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OR</w:t>
      </w:r>
    </w:p>
    <w:p>
      <w:pPr>
        <w:spacing w:after="0" w:line="104" w:lineRule="exact"/>
        <w:rPr>
          <w:sz w:val="24"/>
          <w:szCs w:val="24"/>
          <w:color w:val="auto"/>
        </w:rPr>
      </w:pPr>
    </w:p>
    <w:p>
      <w:pPr>
        <w:ind w:left="3000" w:right="1540" w:hanging="2979"/>
        <w:spacing w:after="0" w:line="367" w:lineRule="auto"/>
        <w:tabs>
          <w:tab w:leader="none" w:pos="481" w:val="left"/>
        </w:tabs>
        <w:numPr>
          <w:ilvl w:val="0"/>
          <w:numId w:val="2"/>
        </w:numPr>
        <w:rPr>
          <w:rFonts w:ascii="MS PGothic" w:cs="MS PGothic" w:eastAsia="MS PGothic" w:hAnsi="MS PGothic"/>
          <w:sz w:val="18"/>
          <w:szCs w:val="18"/>
          <w:color w:val="auto"/>
          <w:highlight w:val="black"/>
        </w:rPr>
      </w:pPr>
      <w:r>
        <w:rPr>
          <w:rFonts w:ascii="Arial" w:cs="Arial" w:eastAsia="Arial" w:hAnsi="Arial"/>
          <w:sz w:val="18"/>
          <w:szCs w:val="18"/>
          <w:b w:val="1"/>
          <w:bCs w:val="1"/>
          <w:color w:val="auto"/>
        </w:rPr>
        <w:t>TRANSITION REPORT PURSUANT TO SECTION 13 OR 15(d) OF THE SECURITIES EXCHANGE ACT OF 1934 For the transition period from ____________ to ____________</w:t>
      </w:r>
    </w:p>
    <w:p>
      <w:pPr>
        <w:spacing w:after="0" w:line="1" w:lineRule="exact"/>
        <w:rPr>
          <w:rFonts w:ascii="MS PGothic" w:cs="MS PGothic" w:eastAsia="MS PGothic" w:hAnsi="MS PGothic"/>
          <w:sz w:val="18"/>
          <w:szCs w:val="18"/>
          <w:color w:val="auto"/>
          <w:highlight w:val="black"/>
        </w:rPr>
      </w:pPr>
    </w:p>
    <w:p>
      <w:pPr>
        <w:ind w:left="4060"/>
        <w:spacing w:after="0"/>
        <w:rPr>
          <w:rFonts w:ascii="MS PGothic" w:cs="MS PGothic" w:eastAsia="MS PGothic" w:hAnsi="MS PGothic"/>
          <w:sz w:val="18"/>
          <w:szCs w:val="18"/>
          <w:color w:val="auto"/>
          <w:highlight w:val="black"/>
        </w:rPr>
      </w:pPr>
      <w:r>
        <w:rPr>
          <w:rFonts w:ascii="Arial" w:cs="Arial" w:eastAsia="Arial" w:hAnsi="Arial"/>
          <w:sz w:val="18"/>
          <w:szCs w:val="18"/>
          <w:b w:val="1"/>
          <w:bCs w:val="1"/>
          <w:color w:val="auto"/>
        </w:rPr>
        <w:t>Commission File Number: 001-40522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94615</wp:posOffset>
            </wp:positionV>
            <wp:extent cx="142303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153" w:lineRule="exact"/>
        <w:rPr>
          <w:sz w:val="24"/>
          <w:szCs w:val="24"/>
          <w:color w:val="auto"/>
        </w:rPr>
      </w:pPr>
    </w:p>
    <w:p>
      <w:pPr>
        <w:jc w:val="center"/>
        <w:spacing w:after="0"/>
        <w:rPr>
          <w:sz w:val="20"/>
          <w:szCs w:val="20"/>
          <w:color w:val="auto"/>
        </w:rPr>
      </w:pPr>
      <w:r>
        <w:rPr>
          <w:rFonts w:ascii="Arial" w:cs="Arial" w:eastAsia="Arial" w:hAnsi="Arial"/>
          <w:sz w:val="43"/>
          <w:szCs w:val="43"/>
          <w:b w:val="1"/>
          <w:bCs w:val="1"/>
          <w:color w:val="auto"/>
        </w:rPr>
        <w:t>Monte Rosa Therapeutics, Inc.</w:t>
      </w:r>
    </w:p>
    <w:p>
      <w:pPr>
        <w:spacing w:after="0" w:line="48"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92075</wp:posOffset>
            </wp:positionV>
            <wp:extent cx="142303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ectPr>
          <w:pgSz w:w="11900" w:h="16838" w:orient="portrait"/>
          <w:cols w:equalWidth="0" w:num="1">
            <w:col w:w="11240"/>
          </w:cols>
          <w:pgMar w:left="320" w:top="1162" w:right="339" w:bottom="1440" w:gutter="0" w:footer="0" w:header="0"/>
        </w:sectPr>
      </w:pPr>
    </w:p>
    <w:p>
      <w:pPr>
        <w:spacing w:after="0" w:line="261" w:lineRule="exact"/>
        <w:rPr>
          <w:sz w:val="24"/>
          <w:szCs w:val="24"/>
          <w:color w:val="auto"/>
        </w:rPr>
      </w:pPr>
    </w:p>
    <w:p>
      <w:pPr>
        <w:jc w:val="center"/>
        <w:ind w:right="1560"/>
        <w:spacing w:after="0"/>
        <w:rPr>
          <w:sz w:val="20"/>
          <w:szCs w:val="20"/>
          <w:color w:val="auto"/>
        </w:rPr>
      </w:pPr>
      <w:r>
        <w:rPr>
          <w:rFonts w:ascii="Arial" w:cs="Arial" w:eastAsia="Arial" w:hAnsi="Arial"/>
          <w:sz w:val="18"/>
          <w:szCs w:val="18"/>
          <w:b w:val="1"/>
          <w:bCs w:val="1"/>
          <w:color w:val="auto"/>
        </w:rPr>
        <w:t>Delaware</w:t>
      </w:r>
    </w:p>
    <w:p>
      <w:pPr>
        <w:spacing w:after="0" w:line="5" w:lineRule="exact"/>
        <w:rPr>
          <w:sz w:val="24"/>
          <w:szCs w:val="24"/>
          <w:color w:val="auto"/>
        </w:rPr>
      </w:pPr>
    </w:p>
    <w:p>
      <w:pPr>
        <w:ind w:left="1940"/>
        <w:spacing w:after="0"/>
        <w:rPr>
          <w:sz w:val="20"/>
          <w:szCs w:val="20"/>
          <w:color w:val="auto"/>
        </w:rPr>
      </w:pPr>
      <w:r>
        <w:rPr>
          <w:rFonts w:ascii="Arial" w:cs="Arial" w:eastAsia="Arial" w:hAnsi="Arial"/>
          <w:sz w:val="12"/>
          <w:szCs w:val="12"/>
          <w:b w:val="1"/>
          <w:bCs w:val="1"/>
          <w:color w:val="auto"/>
        </w:rPr>
        <w:t>(State or other jurisdiction of</w:t>
      </w:r>
    </w:p>
    <w:p>
      <w:pPr>
        <w:ind w:left="1920"/>
        <w:spacing w:after="0"/>
        <w:rPr>
          <w:sz w:val="20"/>
          <w:szCs w:val="20"/>
          <w:color w:val="auto"/>
        </w:rPr>
      </w:pPr>
      <w:r>
        <w:rPr>
          <w:rFonts w:ascii="Arial" w:cs="Arial" w:eastAsia="Arial" w:hAnsi="Arial"/>
          <w:sz w:val="12"/>
          <w:szCs w:val="12"/>
          <w:b w:val="1"/>
          <w:bCs w:val="1"/>
          <w:color w:val="auto"/>
        </w:rPr>
        <w:t>incorporation or organization)</w:t>
      </w:r>
    </w:p>
    <w:p>
      <w:pPr>
        <w:spacing w:after="0" w:line="20" w:lineRule="exact"/>
        <w:rPr>
          <w:sz w:val="24"/>
          <w:szCs w:val="24"/>
          <w:color w:val="auto"/>
        </w:rPr>
      </w:pPr>
      <w:r>
        <w:rPr>
          <w:sz w:val="24"/>
          <w:szCs w:val="24"/>
          <w:color w:val="auto"/>
        </w:rPr>
        <w:br w:type="column"/>
      </w:r>
    </w:p>
    <w:p>
      <w:pPr>
        <w:spacing w:after="0" w:line="241" w:lineRule="exact"/>
        <w:rPr>
          <w:sz w:val="24"/>
          <w:szCs w:val="24"/>
          <w:color w:val="auto"/>
        </w:rPr>
      </w:pPr>
    </w:p>
    <w:p>
      <w:pPr>
        <w:ind w:left="40"/>
        <w:spacing w:after="0"/>
        <w:rPr>
          <w:sz w:val="20"/>
          <w:szCs w:val="20"/>
          <w:color w:val="auto"/>
        </w:rPr>
      </w:pPr>
      <w:r>
        <w:rPr>
          <w:rFonts w:ascii="Arial" w:cs="Arial" w:eastAsia="Arial" w:hAnsi="Arial"/>
          <w:sz w:val="18"/>
          <w:szCs w:val="18"/>
          <w:b w:val="1"/>
          <w:bCs w:val="1"/>
          <w:color w:val="auto"/>
        </w:rPr>
        <w:t>84-3766197</w:t>
      </w:r>
    </w:p>
    <w:p>
      <w:pPr>
        <w:spacing w:after="0" w:line="7" w:lineRule="exact"/>
        <w:rPr>
          <w:sz w:val="24"/>
          <w:szCs w:val="24"/>
          <w:color w:val="auto"/>
        </w:rPr>
      </w:pPr>
    </w:p>
    <w:p>
      <w:pPr>
        <w:jc w:val="center"/>
        <w:ind w:right="2280"/>
        <w:spacing w:after="0"/>
        <w:rPr>
          <w:sz w:val="20"/>
          <w:szCs w:val="20"/>
          <w:color w:val="auto"/>
        </w:rPr>
      </w:pPr>
      <w:r>
        <w:rPr>
          <w:rFonts w:ascii="Arial" w:cs="Arial" w:eastAsia="Arial" w:hAnsi="Arial"/>
          <w:sz w:val="13"/>
          <w:szCs w:val="13"/>
          <w:b w:val="1"/>
          <w:bCs w:val="1"/>
          <w:color w:val="auto"/>
        </w:rPr>
        <w:t>(I.R.S. Employer</w:t>
      </w:r>
    </w:p>
    <w:p>
      <w:pPr>
        <w:jc w:val="center"/>
        <w:ind w:right="2280"/>
        <w:spacing w:after="0"/>
        <w:rPr>
          <w:sz w:val="20"/>
          <w:szCs w:val="20"/>
          <w:color w:val="auto"/>
        </w:rPr>
      </w:pPr>
      <w:r>
        <w:rPr>
          <w:rFonts w:ascii="Arial" w:cs="Arial" w:eastAsia="Arial" w:hAnsi="Arial"/>
          <w:sz w:val="12"/>
          <w:szCs w:val="12"/>
          <w:b w:val="1"/>
          <w:bCs w:val="1"/>
          <w:color w:val="auto"/>
        </w:rPr>
        <w:t>Identification No.)</w:t>
      </w:r>
    </w:p>
    <w:p>
      <w:pPr>
        <w:spacing w:after="0" w:line="65" w:lineRule="exact"/>
        <w:rPr>
          <w:sz w:val="24"/>
          <w:szCs w:val="24"/>
          <w:color w:val="auto"/>
        </w:rPr>
      </w:pPr>
    </w:p>
    <w:p>
      <w:pPr>
        <w:sectPr>
          <w:pgSz w:w="11900" w:h="16838" w:orient="portrait"/>
          <w:cols w:equalWidth="0" w:num="2">
            <w:col w:w="7180" w:space="720"/>
            <w:col w:w="3340"/>
          </w:cols>
          <w:pgMar w:left="320" w:top="1162" w:right="339" w:bottom="1440" w:gutter="0" w:footer="0" w:header="0"/>
          <w:type w:val="continuous"/>
        </w:sectPr>
      </w:pPr>
    </w:p>
    <w:tbl>
      <w:tblPr>
        <w:tblLayout w:type="fixed"/>
        <w:tblInd w:w="1460" w:type="dxa"/>
        <w:tblCellMar>
          <w:top w:w="0" w:type="dxa"/>
          <w:left w:w="0" w:type="dxa"/>
          <w:bottom w:w="0" w:type="dxa"/>
          <w:right w:w="0" w:type="dxa"/>
        </w:tblCellMar>
      </w:tblPr>
      <w:tr>
        <w:trPr>
          <w:trHeight w:val="216"/>
        </w:trPr>
        <w:tc>
          <w:tcPr>
            <w:tcW w:w="4680" w:type="dxa"/>
            <w:vAlign w:val="bottom"/>
          </w:tcPr>
          <w:p>
            <w:pPr>
              <w:jc w:val="center"/>
              <w:ind w:right="1919"/>
              <w:spacing w:after="0"/>
              <w:rPr>
                <w:sz w:val="20"/>
                <w:szCs w:val="20"/>
                <w:color w:val="auto"/>
              </w:rPr>
            </w:pPr>
            <w:r>
              <w:rPr>
                <w:rFonts w:ascii="Arial" w:cs="Arial" w:eastAsia="Arial" w:hAnsi="Arial"/>
                <w:sz w:val="18"/>
                <w:szCs w:val="18"/>
                <w:b w:val="1"/>
                <w:bCs w:val="1"/>
                <w:color w:val="auto"/>
                <w:w w:val="99"/>
              </w:rPr>
              <w:t>321 Harrison Avenue, Suite 900</w:t>
            </w:r>
          </w:p>
        </w:tc>
        <w:tc>
          <w:tcPr>
            <w:tcW w:w="2600" w:type="dxa"/>
            <w:vAlign w:val="bottom"/>
          </w:tcPr>
          <w:p>
            <w:pPr>
              <w:spacing w:after="0"/>
              <w:rPr>
                <w:sz w:val="18"/>
                <w:szCs w:val="18"/>
                <w:color w:val="auto"/>
              </w:rPr>
            </w:pPr>
          </w:p>
        </w:tc>
      </w:tr>
      <w:tr>
        <w:trPr>
          <w:trHeight w:val="217"/>
        </w:trPr>
        <w:tc>
          <w:tcPr>
            <w:tcW w:w="4680" w:type="dxa"/>
            <w:vAlign w:val="bottom"/>
          </w:tcPr>
          <w:p>
            <w:pPr>
              <w:jc w:val="center"/>
              <w:ind w:right="1899"/>
              <w:spacing w:after="0"/>
              <w:rPr>
                <w:sz w:val="20"/>
                <w:szCs w:val="20"/>
                <w:color w:val="auto"/>
              </w:rPr>
            </w:pPr>
            <w:r>
              <w:rPr>
                <w:rFonts w:ascii="Arial" w:cs="Arial" w:eastAsia="Arial" w:hAnsi="Arial"/>
                <w:sz w:val="18"/>
                <w:szCs w:val="18"/>
                <w:b w:val="1"/>
                <w:bCs w:val="1"/>
                <w:color w:val="auto"/>
              </w:rPr>
              <w:t>Boston, Massachusetts</w:t>
            </w:r>
          </w:p>
        </w:tc>
        <w:tc>
          <w:tcPr>
            <w:tcW w:w="2600" w:type="dxa"/>
            <w:vAlign w:val="bottom"/>
          </w:tcPr>
          <w:p>
            <w:pPr>
              <w:jc w:val="right"/>
              <w:spacing w:after="0"/>
              <w:rPr>
                <w:sz w:val="20"/>
                <w:szCs w:val="20"/>
                <w:color w:val="auto"/>
              </w:rPr>
            </w:pPr>
            <w:r>
              <w:rPr>
                <w:rFonts w:ascii="Arial" w:cs="Arial" w:eastAsia="Arial" w:hAnsi="Arial"/>
                <w:sz w:val="18"/>
                <w:szCs w:val="18"/>
                <w:b w:val="1"/>
                <w:bCs w:val="1"/>
                <w:color w:val="auto"/>
              </w:rPr>
              <w:t>02118</w:t>
            </w:r>
          </w:p>
        </w:tc>
      </w:tr>
      <w:tr>
        <w:trPr>
          <w:trHeight w:val="172"/>
        </w:trPr>
        <w:tc>
          <w:tcPr>
            <w:tcW w:w="4680" w:type="dxa"/>
            <w:vAlign w:val="bottom"/>
          </w:tcPr>
          <w:p>
            <w:pPr>
              <w:jc w:val="center"/>
              <w:ind w:right="1899"/>
              <w:spacing w:after="0"/>
              <w:rPr>
                <w:sz w:val="20"/>
                <w:szCs w:val="20"/>
                <w:color w:val="auto"/>
              </w:rPr>
            </w:pPr>
            <w:r>
              <w:rPr>
                <w:rFonts w:ascii="Arial" w:cs="Arial" w:eastAsia="Arial" w:hAnsi="Arial"/>
                <w:sz w:val="13"/>
                <w:szCs w:val="13"/>
                <w:b w:val="1"/>
                <w:bCs w:val="1"/>
                <w:color w:val="auto"/>
                <w:w w:val="96"/>
              </w:rPr>
              <w:t>(Address of principal executive offices)</w:t>
            </w:r>
          </w:p>
        </w:tc>
        <w:tc>
          <w:tcPr>
            <w:tcW w:w="2600" w:type="dxa"/>
            <w:vAlign w:val="bottom"/>
          </w:tcPr>
          <w:p>
            <w:pPr>
              <w:jc w:val="center"/>
              <w:ind w:left="1904"/>
              <w:spacing w:after="0"/>
              <w:rPr>
                <w:sz w:val="20"/>
                <w:szCs w:val="20"/>
                <w:color w:val="auto"/>
              </w:rPr>
            </w:pPr>
            <w:r>
              <w:rPr>
                <w:rFonts w:ascii="Arial" w:cs="Arial" w:eastAsia="Arial" w:hAnsi="Arial"/>
                <w:sz w:val="13"/>
                <w:szCs w:val="13"/>
                <w:b w:val="1"/>
                <w:bCs w:val="1"/>
                <w:color w:val="auto"/>
                <w:w w:val="96"/>
              </w:rPr>
              <w:t>(Zip Code)</w:t>
            </w:r>
          </w:p>
        </w:tc>
      </w:tr>
    </w:tbl>
    <w:p>
      <w:pPr>
        <w:spacing w:after="0" w:line="30" w:lineRule="exact"/>
        <w:rPr>
          <w:sz w:val="24"/>
          <w:szCs w:val="24"/>
          <w:color w:val="auto"/>
        </w:rPr>
      </w:pPr>
    </w:p>
    <w:p>
      <w:pPr>
        <w:ind w:left="2740"/>
        <w:spacing w:after="0"/>
        <w:rPr>
          <w:sz w:val="20"/>
          <w:szCs w:val="20"/>
          <w:color w:val="auto"/>
        </w:rPr>
      </w:pPr>
      <w:r>
        <w:rPr>
          <w:rFonts w:ascii="Arial" w:cs="Arial" w:eastAsia="Arial" w:hAnsi="Arial"/>
          <w:sz w:val="18"/>
          <w:szCs w:val="18"/>
          <w:b w:val="1"/>
          <w:bCs w:val="1"/>
          <w:color w:val="auto"/>
        </w:rPr>
        <w:t>Registrant’s telephone number, including area code: (617) 949-2643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94615</wp:posOffset>
            </wp:positionV>
            <wp:extent cx="142303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spacing w:after="0" w:line="210" w:lineRule="exact"/>
        <w:rPr>
          <w:sz w:val="24"/>
          <w:szCs w:val="24"/>
          <w:color w:val="auto"/>
        </w:rPr>
      </w:pPr>
    </w:p>
    <w:p>
      <w:pPr>
        <w:ind w:left="600"/>
        <w:spacing w:after="0"/>
        <w:rPr>
          <w:sz w:val="20"/>
          <w:szCs w:val="20"/>
          <w:color w:val="auto"/>
        </w:rPr>
      </w:pPr>
      <w:r>
        <w:rPr>
          <w:rFonts w:ascii="Arial" w:cs="Arial" w:eastAsia="Arial" w:hAnsi="Arial"/>
          <w:sz w:val="16"/>
          <w:szCs w:val="16"/>
          <w:color w:val="auto"/>
        </w:rPr>
        <w:t>Securities registered pursuant to Section 12(b) of the Act:</w:t>
      </w:r>
    </w:p>
    <w:p>
      <w:pPr>
        <w:spacing w:after="0" w:line="91" w:lineRule="exact"/>
        <w:rPr>
          <w:sz w:val="24"/>
          <w:szCs w:val="24"/>
          <w:color w:val="auto"/>
        </w:rPr>
      </w:pPr>
    </w:p>
    <w:tbl>
      <w:tblPr>
        <w:tblLayout w:type="fixed"/>
        <w:tblInd w:w="0" w:type="dxa"/>
        <w:tblCellMar>
          <w:top w:w="0" w:type="dxa"/>
          <w:left w:w="0" w:type="dxa"/>
          <w:bottom w:w="0" w:type="dxa"/>
          <w:right w:w="0" w:type="dxa"/>
        </w:tblCellMar>
      </w:tblPr>
      <w:tr>
        <w:trPr>
          <w:trHeight w:val="162"/>
        </w:trPr>
        <w:tc>
          <w:tcPr>
            <w:tcW w:w="4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80" w:type="dxa"/>
            <w:vAlign w:val="bottom"/>
          </w:tcPr>
          <w:p>
            <w:pPr>
              <w:jc w:val="center"/>
              <w:spacing w:after="0"/>
              <w:rPr>
                <w:sz w:val="20"/>
                <w:szCs w:val="20"/>
                <w:color w:val="auto"/>
              </w:rPr>
            </w:pPr>
            <w:r>
              <w:rPr>
                <w:rFonts w:ascii="Arial" w:cs="Arial" w:eastAsia="Arial" w:hAnsi="Arial"/>
                <w:sz w:val="14"/>
                <w:szCs w:val="14"/>
                <w:b w:val="1"/>
                <w:bCs w:val="1"/>
                <w:color w:val="auto"/>
              </w:rPr>
              <w:t>Trading</w:t>
            </w:r>
          </w:p>
        </w:tc>
        <w:tc>
          <w:tcPr>
            <w:tcW w:w="120" w:type="dxa"/>
            <w:vAlign w:val="bottom"/>
          </w:tcPr>
          <w:p>
            <w:pPr>
              <w:spacing w:after="0"/>
              <w:rPr>
                <w:sz w:val="14"/>
                <w:szCs w:val="14"/>
                <w:color w:val="auto"/>
              </w:rPr>
            </w:pPr>
          </w:p>
        </w:tc>
        <w:tc>
          <w:tcPr>
            <w:tcW w:w="5040" w:type="dxa"/>
            <w:vAlign w:val="bottom"/>
          </w:tcPr>
          <w:p>
            <w:pPr>
              <w:spacing w:after="0"/>
              <w:rPr>
                <w:sz w:val="14"/>
                <w:szCs w:val="14"/>
                <w:color w:val="auto"/>
              </w:rPr>
            </w:pPr>
          </w:p>
        </w:tc>
      </w:tr>
      <w:tr>
        <w:trPr>
          <w:trHeight w:val="171"/>
        </w:trPr>
        <w:tc>
          <w:tcPr>
            <w:tcW w:w="42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Title of each class</w:t>
            </w:r>
          </w:p>
        </w:tc>
        <w:tc>
          <w:tcPr>
            <w:tcW w:w="120" w:type="dxa"/>
            <w:vAlign w:val="bottom"/>
          </w:tcPr>
          <w:p>
            <w:pPr>
              <w:spacing w:after="0"/>
              <w:rPr>
                <w:sz w:val="14"/>
                <w:szCs w:val="14"/>
                <w:color w:val="auto"/>
              </w:rPr>
            </w:pPr>
          </w:p>
        </w:tc>
        <w:tc>
          <w:tcPr>
            <w:tcW w:w="16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Symbol(s)</w:t>
            </w:r>
          </w:p>
        </w:tc>
        <w:tc>
          <w:tcPr>
            <w:tcW w:w="120" w:type="dxa"/>
            <w:vAlign w:val="bottom"/>
          </w:tcPr>
          <w:p>
            <w:pPr>
              <w:spacing w:after="0"/>
              <w:rPr>
                <w:sz w:val="14"/>
                <w:szCs w:val="14"/>
                <w:color w:val="auto"/>
              </w:rPr>
            </w:pPr>
          </w:p>
        </w:tc>
        <w:tc>
          <w:tcPr>
            <w:tcW w:w="50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Name of each exchange on which registered</w:t>
            </w:r>
          </w:p>
        </w:tc>
      </w:tr>
      <w:tr>
        <w:trPr>
          <w:trHeight w:val="208"/>
        </w:trPr>
        <w:tc>
          <w:tcPr>
            <w:tcW w:w="4280" w:type="dxa"/>
            <w:vAlign w:val="bottom"/>
          </w:tcPr>
          <w:p>
            <w:pPr>
              <w:jc w:val="center"/>
              <w:spacing w:after="0"/>
              <w:rPr>
                <w:sz w:val="20"/>
                <w:szCs w:val="20"/>
                <w:color w:val="auto"/>
              </w:rPr>
            </w:pPr>
            <w:r>
              <w:rPr>
                <w:rFonts w:ascii="Arial" w:cs="Arial" w:eastAsia="Arial" w:hAnsi="Arial"/>
                <w:sz w:val="16"/>
                <w:szCs w:val="16"/>
                <w:color w:val="auto"/>
              </w:rPr>
              <w:t>Common stock, par value $0.0001 per share</w:t>
            </w:r>
          </w:p>
        </w:tc>
        <w:tc>
          <w:tcPr>
            <w:tcW w:w="120" w:type="dxa"/>
            <w:vAlign w:val="bottom"/>
          </w:tcPr>
          <w:p>
            <w:pPr>
              <w:spacing w:after="0"/>
              <w:rPr>
                <w:sz w:val="18"/>
                <w:szCs w:val="18"/>
                <w:color w:val="auto"/>
              </w:rPr>
            </w:pPr>
          </w:p>
        </w:tc>
        <w:tc>
          <w:tcPr>
            <w:tcW w:w="1680" w:type="dxa"/>
            <w:vAlign w:val="bottom"/>
          </w:tcPr>
          <w:p>
            <w:pPr>
              <w:jc w:val="center"/>
              <w:spacing w:after="0"/>
              <w:rPr>
                <w:sz w:val="20"/>
                <w:szCs w:val="20"/>
                <w:color w:val="auto"/>
              </w:rPr>
            </w:pPr>
            <w:r>
              <w:rPr>
                <w:rFonts w:ascii="Arial" w:cs="Arial" w:eastAsia="Arial" w:hAnsi="Arial"/>
                <w:sz w:val="16"/>
                <w:szCs w:val="16"/>
                <w:color w:val="auto"/>
              </w:rPr>
              <w:t>GLUE</w:t>
            </w:r>
          </w:p>
        </w:tc>
        <w:tc>
          <w:tcPr>
            <w:tcW w:w="120" w:type="dxa"/>
            <w:vAlign w:val="bottom"/>
          </w:tcPr>
          <w:p>
            <w:pPr>
              <w:spacing w:after="0"/>
              <w:rPr>
                <w:sz w:val="18"/>
                <w:szCs w:val="18"/>
                <w:color w:val="auto"/>
              </w:rPr>
            </w:pPr>
          </w:p>
        </w:tc>
        <w:tc>
          <w:tcPr>
            <w:tcW w:w="5040" w:type="dxa"/>
            <w:vAlign w:val="bottom"/>
          </w:tcPr>
          <w:p>
            <w:pPr>
              <w:jc w:val="center"/>
              <w:spacing w:after="0"/>
              <w:rPr>
                <w:sz w:val="20"/>
                <w:szCs w:val="20"/>
                <w:color w:val="auto"/>
              </w:rPr>
            </w:pPr>
            <w:r>
              <w:rPr>
                <w:rFonts w:ascii="Arial" w:cs="Arial" w:eastAsia="Arial" w:hAnsi="Arial"/>
                <w:sz w:val="16"/>
                <w:szCs w:val="16"/>
                <w:color w:val="auto"/>
              </w:rPr>
              <w:t>The Nasdaq Global Select Market</w:t>
            </w:r>
          </w:p>
        </w:tc>
      </w:tr>
    </w:tbl>
    <w:p>
      <w:pPr>
        <w:spacing w:after="0" w:line="68" w:lineRule="exact"/>
        <w:rPr>
          <w:sz w:val="24"/>
          <w:szCs w:val="24"/>
          <w:color w:val="auto"/>
        </w:rPr>
      </w:pPr>
    </w:p>
    <w:p>
      <w:pPr>
        <w:ind w:right="120" w:firstLine="599"/>
        <w:spacing w:after="0" w:line="205" w:lineRule="exact"/>
        <w:rPr>
          <w:sz w:val="20"/>
          <w:szCs w:val="20"/>
          <w:color w:val="auto"/>
        </w:rPr>
      </w:pPr>
      <w:r>
        <w:rPr>
          <w:rFonts w:ascii="Arial" w:cs="Arial" w:eastAsia="Arial" w:hAnsi="Arial"/>
          <w:sz w:val="16"/>
          <w:szCs w:val="16"/>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p>
    <w:p>
      <w:pPr>
        <w:spacing w:after="0" w:line="34" w:lineRule="exact"/>
        <w:rPr>
          <w:sz w:val="24"/>
          <w:szCs w:val="24"/>
          <w:color w:val="auto"/>
        </w:rPr>
      </w:pPr>
    </w:p>
    <w:p>
      <w:pPr>
        <w:jc w:val="both"/>
        <w:ind w:right="40" w:firstLine="599"/>
        <w:spacing w:after="0" w:line="205" w:lineRule="exact"/>
        <w:rPr>
          <w:sz w:val="20"/>
          <w:szCs w:val="20"/>
          <w:color w:val="auto"/>
        </w:rPr>
      </w:pPr>
      <w:r>
        <w:rPr>
          <w:rFonts w:ascii="Arial" w:cs="Arial" w:eastAsia="Arial" w:hAnsi="Arial"/>
          <w:sz w:val="16"/>
          <w:szCs w:val="16"/>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p>
    <w:p>
      <w:pPr>
        <w:spacing w:after="0" w:line="34" w:lineRule="exact"/>
        <w:rPr>
          <w:sz w:val="24"/>
          <w:szCs w:val="24"/>
          <w:color w:val="auto"/>
        </w:rPr>
      </w:pPr>
    </w:p>
    <w:p>
      <w:pPr>
        <w:ind w:right="80" w:firstLine="599"/>
        <w:spacing w:after="0" w:line="266"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pacing w:after="0" w:line="1" w:lineRule="exact"/>
        <w:rPr>
          <w:sz w:val="24"/>
          <w:szCs w:val="24"/>
          <w:color w:val="auto"/>
        </w:rPr>
      </w:pPr>
    </w:p>
    <w:tbl>
      <w:tblPr>
        <w:tblLayout w:type="fixed"/>
        <w:tblInd w:w="0" w:type="dxa"/>
        <w:tblCellMar>
          <w:top w:w="0" w:type="dxa"/>
          <w:left w:w="0" w:type="dxa"/>
          <w:bottom w:w="0" w:type="dxa"/>
          <w:right w:w="0" w:type="dxa"/>
        </w:tblCellMar>
      </w:tblPr>
      <w:tr>
        <w:trPr>
          <w:trHeight w:val="203"/>
        </w:trPr>
        <w:tc>
          <w:tcPr>
            <w:tcW w:w="2260" w:type="dxa"/>
            <w:vAlign w:val="bottom"/>
          </w:tcPr>
          <w:p>
            <w:pPr>
              <w:spacing w:after="0"/>
              <w:rPr>
                <w:sz w:val="20"/>
                <w:szCs w:val="20"/>
                <w:color w:val="auto"/>
              </w:rPr>
            </w:pPr>
            <w:r>
              <w:rPr>
                <w:rFonts w:ascii="Arial" w:cs="Arial" w:eastAsia="Arial" w:hAnsi="Arial"/>
                <w:sz w:val="16"/>
                <w:szCs w:val="16"/>
                <w:color w:val="auto"/>
              </w:rPr>
              <w:t>Large accelerated filer</w:t>
            </w:r>
          </w:p>
        </w:tc>
        <w:tc>
          <w:tcPr>
            <w:tcW w:w="3340" w:type="dxa"/>
            <w:vAlign w:val="bottom"/>
          </w:tcPr>
          <w:p>
            <w:pPr>
              <w:ind w:left="660"/>
              <w:spacing w:after="0" w:line="161" w:lineRule="exact"/>
              <w:rPr>
                <w:sz w:val="20"/>
                <w:szCs w:val="20"/>
                <w:color w:val="auto"/>
              </w:rPr>
            </w:pPr>
            <w:r>
              <w:rPr>
                <w:rFonts w:ascii="MS PGothic" w:cs="MS PGothic" w:eastAsia="MS PGothic" w:hAnsi="MS PGothic"/>
                <w:sz w:val="16"/>
                <w:szCs w:val="16"/>
                <w:color w:val="auto"/>
              </w:rPr>
              <w:t>☐</w:t>
            </w:r>
          </w:p>
        </w:tc>
        <w:tc>
          <w:tcPr>
            <w:tcW w:w="4940" w:type="dxa"/>
            <w:vAlign w:val="bottom"/>
          </w:tcPr>
          <w:p>
            <w:pPr>
              <w:ind w:left="2520"/>
              <w:spacing w:after="0"/>
              <w:rPr>
                <w:sz w:val="20"/>
                <w:szCs w:val="20"/>
                <w:color w:val="auto"/>
              </w:rPr>
            </w:pPr>
            <w:r>
              <w:rPr>
                <w:rFonts w:ascii="Arial" w:cs="Arial" w:eastAsia="Arial" w:hAnsi="Arial"/>
                <w:sz w:val="16"/>
                <w:szCs w:val="16"/>
                <w:color w:val="auto"/>
              </w:rPr>
              <w:t>Accelerated filer</w:t>
            </w:r>
          </w:p>
        </w:tc>
        <w:tc>
          <w:tcPr>
            <w:tcW w:w="620" w:type="dxa"/>
            <w:vAlign w:val="bottom"/>
          </w:tcPr>
          <w:p>
            <w:pPr>
              <w:ind w:left="48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203"/>
        </w:trPr>
        <w:tc>
          <w:tcPr>
            <w:tcW w:w="2260" w:type="dxa"/>
            <w:vAlign w:val="bottom"/>
          </w:tcPr>
          <w:p>
            <w:pPr>
              <w:spacing w:after="0"/>
              <w:rPr>
                <w:sz w:val="20"/>
                <w:szCs w:val="20"/>
                <w:color w:val="auto"/>
              </w:rPr>
            </w:pPr>
            <w:r>
              <w:rPr>
                <w:rFonts w:ascii="Arial" w:cs="Arial" w:eastAsia="Arial" w:hAnsi="Arial"/>
                <w:sz w:val="16"/>
                <w:szCs w:val="16"/>
                <w:color w:val="auto"/>
              </w:rPr>
              <w:t>Non-accelerated filer</w:t>
            </w:r>
          </w:p>
        </w:tc>
        <w:tc>
          <w:tcPr>
            <w:tcW w:w="3340" w:type="dxa"/>
            <w:vAlign w:val="bottom"/>
          </w:tcPr>
          <w:p>
            <w:pPr>
              <w:ind w:left="660"/>
              <w:spacing w:after="0" w:line="161" w:lineRule="exact"/>
              <w:rPr>
                <w:sz w:val="20"/>
                <w:szCs w:val="20"/>
                <w:color w:val="auto"/>
              </w:rPr>
            </w:pPr>
            <w:r>
              <w:rPr>
                <w:rFonts w:ascii="MS PGothic" w:cs="MS PGothic" w:eastAsia="MS PGothic" w:hAnsi="MS PGothic"/>
                <w:sz w:val="16"/>
                <w:szCs w:val="16"/>
                <w:color w:val="auto"/>
              </w:rPr>
              <w:t>☒</w:t>
            </w:r>
          </w:p>
        </w:tc>
        <w:tc>
          <w:tcPr>
            <w:tcW w:w="4940" w:type="dxa"/>
            <w:vAlign w:val="bottom"/>
          </w:tcPr>
          <w:p>
            <w:pPr>
              <w:ind w:left="2520"/>
              <w:spacing w:after="0"/>
              <w:rPr>
                <w:sz w:val="20"/>
                <w:szCs w:val="20"/>
                <w:color w:val="auto"/>
              </w:rPr>
            </w:pPr>
            <w:r>
              <w:rPr>
                <w:rFonts w:ascii="Arial" w:cs="Arial" w:eastAsia="Arial" w:hAnsi="Arial"/>
                <w:sz w:val="16"/>
                <w:szCs w:val="16"/>
                <w:color w:val="auto"/>
              </w:rPr>
              <w:t>Smaller reporting company</w:t>
            </w:r>
          </w:p>
        </w:tc>
        <w:tc>
          <w:tcPr>
            <w:tcW w:w="620" w:type="dxa"/>
            <w:vAlign w:val="bottom"/>
          </w:tcPr>
          <w:p>
            <w:pPr>
              <w:ind w:left="48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272"/>
        </w:trPr>
        <w:tc>
          <w:tcPr>
            <w:tcW w:w="2260" w:type="dxa"/>
            <w:vAlign w:val="bottom"/>
          </w:tcPr>
          <w:p>
            <w:pPr>
              <w:spacing w:after="0"/>
              <w:rPr>
                <w:sz w:val="23"/>
                <w:szCs w:val="23"/>
                <w:color w:val="auto"/>
              </w:rPr>
            </w:pPr>
          </w:p>
        </w:tc>
        <w:tc>
          <w:tcPr>
            <w:tcW w:w="3340" w:type="dxa"/>
            <w:vAlign w:val="bottom"/>
          </w:tcPr>
          <w:p>
            <w:pPr>
              <w:spacing w:after="0"/>
              <w:rPr>
                <w:sz w:val="23"/>
                <w:szCs w:val="23"/>
                <w:color w:val="auto"/>
              </w:rPr>
            </w:pPr>
          </w:p>
        </w:tc>
        <w:tc>
          <w:tcPr>
            <w:tcW w:w="4940" w:type="dxa"/>
            <w:vAlign w:val="bottom"/>
          </w:tcPr>
          <w:p>
            <w:pPr>
              <w:ind w:left="2520"/>
              <w:spacing w:after="0"/>
              <w:rPr>
                <w:sz w:val="20"/>
                <w:szCs w:val="20"/>
                <w:color w:val="auto"/>
              </w:rPr>
            </w:pPr>
            <w:r>
              <w:rPr>
                <w:rFonts w:ascii="Arial" w:cs="Arial" w:eastAsia="Arial" w:hAnsi="Arial"/>
                <w:sz w:val="16"/>
                <w:szCs w:val="16"/>
                <w:color w:val="auto"/>
              </w:rPr>
              <w:t>Emerging growth company</w:t>
            </w:r>
          </w:p>
        </w:tc>
        <w:tc>
          <w:tcPr>
            <w:tcW w:w="620" w:type="dxa"/>
            <w:vAlign w:val="bottom"/>
          </w:tcPr>
          <w:p>
            <w:pPr>
              <w:ind w:left="480"/>
              <w:spacing w:after="0" w:line="161" w:lineRule="exact"/>
              <w:rPr>
                <w:sz w:val="20"/>
                <w:szCs w:val="20"/>
                <w:color w:val="auto"/>
              </w:rPr>
            </w:pPr>
            <w:r>
              <w:rPr>
                <w:rFonts w:ascii="MS PGothic" w:cs="MS PGothic" w:eastAsia="MS PGothic" w:hAnsi="MS PGothic"/>
                <w:sz w:val="16"/>
                <w:szCs w:val="16"/>
                <w:color w:val="auto"/>
                <w:w w:val="74"/>
              </w:rPr>
              <w:t>☒</w:t>
            </w:r>
          </w:p>
        </w:tc>
      </w:tr>
    </w:tbl>
    <w:p>
      <w:pPr>
        <w:spacing w:after="0" w:line="47" w:lineRule="exact"/>
        <w:rPr>
          <w:sz w:val="24"/>
          <w:szCs w:val="24"/>
          <w:color w:val="auto"/>
        </w:rPr>
      </w:pPr>
    </w:p>
    <w:p>
      <w:pPr>
        <w:ind w:right="60" w:firstLine="599"/>
        <w:spacing w:after="0" w:line="213" w:lineRule="exact"/>
        <w:rPr>
          <w:sz w:val="20"/>
          <w:szCs w:val="20"/>
          <w:color w:val="auto"/>
        </w:rPr>
      </w:pPr>
      <w:r>
        <w:rPr>
          <w:rFonts w:ascii="Arial" w:cs="Arial" w:eastAsia="Arial" w:hAnsi="Arial"/>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12" w:lineRule="exact"/>
        <w:rPr>
          <w:sz w:val="24"/>
          <w:szCs w:val="24"/>
          <w:color w:val="auto"/>
        </w:rPr>
      </w:pPr>
    </w:p>
    <w:p>
      <w:pPr>
        <w:ind w:left="600" w:right="1180"/>
        <w:spacing w:after="0" w:line="260" w:lineRule="exact"/>
        <w:rPr>
          <w:sz w:val="20"/>
          <w:szCs w:val="20"/>
          <w:color w:val="auto"/>
        </w:rPr>
      </w:pPr>
      <w:r>
        <w:rPr>
          <w:rFonts w:ascii="Arial" w:cs="Arial" w:eastAsia="Arial" w:hAnsi="Arial"/>
          <w:sz w:val="16"/>
          <w:szCs w:val="16"/>
          <w:color w:val="auto"/>
        </w:rPr>
        <w:t xml:space="preserve">Indicate by check mark whether the registrant is a shell company (as defined in Rule 12b-2 of the Exchange Act).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r>
        <w:rPr>
          <w:rFonts w:ascii="Arial" w:cs="Arial" w:eastAsia="Arial" w:hAnsi="Arial"/>
          <w:sz w:val="16"/>
          <w:szCs w:val="16"/>
          <w:color w:val="auto"/>
        </w:rPr>
        <w:t xml:space="preserve"> As of May 1, 2026, the registrant had 84,479,418 shares of common stock, $0.0001 per share,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897890</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78740</wp:posOffset>
            </wp:positionV>
            <wp:extent cx="713232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95885</wp:posOffset>
            </wp:positionV>
            <wp:extent cx="71323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1162" w:right="339" w:bottom="1440" w:gutter="0" w:footer="0" w:header="0"/>
          <w:type w:val="continuous"/>
        </w:sectPr>
      </w:pPr>
    </w:p>
    <w:bookmarkStart w:id="1" w:name="page2"/>
    <w:bookmarkEnd w:id="1"/>
    <w:p>
      <w:pPr>
        <w:spacing w:after="0"/>
        <w:rPr>
          <w:sz w:val="20"/>
          <w:szCs w:val="20"/>
          <w:color w:val="auto"/>
        </w:rPr>
      </w:pPr>
      <w:r>
        <w:rPr>
          <w:rFonts w:ascii="Arial" w:cs="Arial" w:eastAsia="Arial" w:hAnsi="Arial"/>
          <w:sz w:val="22"/>
          <w:szCs w:val="22"/>
          <w:b w:val="1"/>
          <w:bCs w:val="1"/>
          <w:color w:val="auto"/>
        </w:rPr>
        <w:t>Special note regarding forward-looking statements</w:t>
      </w:r>
    </w:p>
    <w:p>
      <w:pPr>
        <w:spacing w:after="0" w:line="108" w:lineRule="exact"/>
        <w:rPr>
          <w:sz w:val="20"/>
          <w:szCs w:val="20"/>
          <w:color w:val="auto"/>
        </w:rPr>
      </w:pPr>
    </w:p>
    <w:p>
      <w:pPr>
        <w:ind w:right="60"/>
        <w:spacing w:after="0"/>
        <w:rPr>
          <w:sz w:val="20"/>
          <w:szCs w:val="20"/>
          <w:color w:val="auto"/>
        </w:rPr>
      </w:pPr>
      <w:r>
        <w:rPr>
          <w:rFonts w:ascii="Arial" w:cs="Arial" w:eastAsia="Arial" w:hAnsi="Arial"/>
          <w:sz w:val="18"/>
          <w:szCs w:val="18"/>
          <w:color w:val="auto"/>
        </w:rPr>
        <w:t>This Quarterly Report on Form 10-Q, or Quarterly Report, contains forward-looking statements which are made pursuant to the safe harbor provisions of Section 27A of the Securities Act of 1933, as amended, or the or the Securities Act, and Section 21E of the Securities Exchange Act of 1934, as amended, or the Exchange Act. All statements other than statements of historical facts contained in this Quarterly Report are forward-looking statements. In some cases, you can identify forward-looking statements by terminology such as “may”, “will”, “should”, “expects”, “intends”, “plans”, “anticipates”, “believes”, “estimates”, “predicts”, “potential”, “continue” or the negative of these terms or other comparable terminology. These statements are not guarantees of future results or performance and involve substantial risks and uncertainties. Forward-looking statements in this Quarterly Report include, but are not limited to, statements about:</w:t>
      </w:r>
    </w:p>
    <w:p>
      <w:pPr>
        <w:spacing w:after="0" w:line="77" w:lineRule="exact"/>
        <w:rPr>
          <w:sz w:val="20"/>
          <w:szCs w:val="20"/>
          <w:color w:val="auto"/>
        </w:rPr>
      </w:pPr>
    </w:p>
    <w:p>
      <w:pPr>
        <w:ind w:left="520" w:right="80" w:hanging="512"/>
        <w:spacing w:after="0" w:line="246" w:lineRule="auto"/>
        <w:tabs>
          <w:tab w:leader="none" w:pos="520" w:val="left"/>
        </w:tabs>
        <w:numPr>
          <w:ilvl w:val="0"/>
          <w:numId w:val="3"/>
        </w:numPr>
        <w:rPr>
          <w:rFonts w:ascii="Times New Roman" w:cs="Times New Roman" w:eastAsia="Times New Roman" w:hAnsi="Times New Roman"/>
          <w:sz w:val="18"/>
          <w:szCs w:val="18"/>
          <w:color w:val="auto"/>
        </w:rPr>
      </w:pPr>
      <w:r>
        <w:rPr>
          <w:rFonts w:ascii="Arial" w:cs="Arial" w:eastAsia="Arial" w:hAnsi="Arial"/>
          <w:sz w:val="18"/>
          <w:szCs w:val="18"/>
          <w:color w:val="auto"/>
        </w:rPr>
        <w:t>the initiation, timing, progress, results, costs, and any expectations and/or predictions of success of our current and future research and development programs and preclinical studies, including our expectations for our molecular glue degraders, or MGDs, molecules, including our GSPT1-directed MGD MRT-2359, our out-licensed VAV1-directed MGD MRT-6160, our NEK7-directed MGDs, including MRT-8102, and our CDK2 and CCNE1 MGDs;</w:t>
      </w:r>
    </w:p>
    <w:p>
      <w:pPr>
        <w:spacing w:after="0" w:line="68" w:lineRule="exact"/>
        <w:rPr>
          <w:rFonts w:ascii="Times New Roman" w:cs="Times New Roman" w:eastAsia="Times New Roman" w:hAnsi="Times New Roman"/>
          <w:sz w:val="18"/>
          <w:szCs w:val="18"/>
          <w:color w:val="auto"/>
        </w:rPr>
      </w:pPr>
    </w:p>
    <w:p>
      <w:pPr>
        <w:ind w:left="520" w:right="60" w:hanging="512"/>
        <w:spacing w:after="0" w:line="246" w:lineRule="auto"/>
        <w:tabs>
          <w:tab w:leader="none" w:pos="520" w:val="left"/>
        </w:tabs>
        <w:numPr>
          <w:ilvl w:val="0"/>
          <w:numId w:val="3"/>
        </w:numPr>
        <w:rPr>
          <w:rFonts w:ascii="Times New Roman" w:cs="Times New Roman" w:eastAsia="Times New Roman" w:hAnsi="Times New Roman"/>
          <w:sz w:val="18"/>
          <w:szCs w:val="18"/>
          <w:color w:val="auto"/>
        </w:rPr>
      </w:pPr>
      <w:r>
        <w:rPr>
          <w:rFonts w:ascii="Arial" w:cs="Arial" w:eastAsia="Arial" w:hAnsi="Arial"/>
          <w:sz w:val="18"/>
          <w:szCs w:val="18"/>
          <w:color w:val="auto"/>
        </w:rPr>
        <w:t>the initiation, timing, progress, results, costs, and any expectations and/or predictions of success of our current and any future clinical trials, including our clinical trials for our GSPT1-directed MGD MRT-2359, our NEK7 directed MGD MRT-8102, and for our out-licensed VAV1 directed MGD MRT-6160, including statements regarding the nature of or the timing for when any results of any clinical trials will become available;</w:t>
      </w:r>
    </w:p>
    <w:p>
      <w:pPr>
        <w:spacing w:after="0" w:line="74" w:lineRule="exact"/>
        <w:rPr>
          <w:rFonts w:ascii="Times New Roman" w:cs="Times New Roman" w:eastAsia="Times New Roman" w:hAnsi="Times New Roman"/>
          <w:sz w:val="18"/>
          <w:szCs w:val="18"/>
          <w:color w:val="auto"/>
        </w:rPr>
      </w:pPr>
    </w:p>
    <w:p>
      <w:pPr>
        <w:ind w:left="520" w:right="260" w:hanging="512"/>
        <w:spacing w:after="0" w:line="229" w:lineRule="auto"/>
        <w:tabs>
          <w:tab w:leader="none" w:pos="520" w:val="left"/>
        </w:tabs>
        <w:numPr>
          <w:ilvl w:val="0"/>
          <w:numId w:val="3"/>
        </w:numPr>
        <w:rPr>
          <w:rFonts w:ascii="Times New Roman" w:cs="Times New Roman" w:eastAsia="Times New Roman" w:hAnsi="Times New Roman"/>
          <w:sz w:val="18"/>
          <w:szCs w:val="18"/>
          <w:color w:val="auto"/>
        </w:rPr>
      </w:pPr>
      <w:r>
        <w:rPr>
          <w:rFonts w:ascii="Arial" w:cs="Arial" w:eastAsia="Arial" w:hAnsi="Arial"/>
          <w:sz w:val="18"/>
          <w:szCs w:val="18"/>
          <w:color w:val="auto"/>
        </w:rPr>
        <w:t>our ability to continue to develop our proprietary discovery engine, called QuEEN</w:t>
      </w:r>
      <w:r>
        <w:rPr>
          <w:rFonts w:ascii="Arial" w:cs="Arial" w:eastAsia="Arial" w:hAnsi="Arial"/>
          <w:sz w:val="24"/>
          <w:szCs w:val="24"/>
          <w:color w:val="auto"/>
          <w:vertAlign w:val="superscript"/>
        </w:rPr>
        <w:t>TM</w:t>
      </w:r>
      <w:r>
        <w:rPr>
          <w:rFonts w:ascii="Arial" w:cs="Arial" w:eastAsia="Arial" w:hAnsi="Arial"/>
          <w:sz w:val="18"/>
          <w:szCs w:val="18"/>
          <w:color w:val="auto"/>
        </w:rPr>
        <w:t>, and to expand our proteomics and translational medicine capabilities;</w:t>
      </w:r>
    </w:p>
    <w:p>
      <w:pPr>
        <w:spacing w:after="0" w:line="73"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3"/>
        </w:numPr>
        <w:rPr>
          <w:rFonts w:ascii="Times New Roman" w:cs="Times New Roman" w:eastAsia="Times New Roman" w:hAnsi="Times New Roman"/>
          <w:sz w:val="18"/>
          <w:szCs w:val="18"/>
          <w:color w:val="auto"/>
        </w:rPr>
      </w:pPr>
      <w:r>
        <w:rPr>
          <w:rFonts w:ascii="Arial" w:cs="Arial" w:eastAsia="Arial" w:hAnsi="Arial"/>
          <w:sz w:val="18"/>
          <w:szCs w:val="18"/>
          <w:color w:val="auto"/>
        </w:rPr>
        <w:t>the potential advantages of our discovery engine technology and product candidates;</w:t>
      </w:r>
    </w:p>
    <w:p>
      <w:pPr>
        <w:spacing w:after="0" w:line="116" w:lineRule="exact"/>
        <w:rPr>
          <w:rFonts w:ascii="Times New Roman" w:cs="Times New Roman" w:eastAsia="Times New Roman" w:hAnsi="Times New Roman"/>
          <w:sz w:val="18"/>
          <w:szCs w:val="18"/>
          <w:color w:val="auto"/>
        </w:rPr>
      </w:pPr>
    </w:p>
    <w:p>
      <w:pPr>
        <w:ind w:left="520" w:right="940" w:hanging="512"/>
        <w:spacing w:after="0" w:line="270" w:lineRule="auto"/>
        <w:tabs>
          <w:tab w:leader="none" w:pos="520" w:val="left"/>
        </w:tabs>
        <w:numPr>
          <w:ilvl w:val="0"/>
          <w:numId w:val="3"/>
        </w:numPr>
        <w:rPr>
          <w:rFonts w:ascii="Times New Roman" w:cs="Times New Roman" w:eastAsia="Times New Roman" w:hAnsi="Times New Roman"/>
          <w:sz w:val="18"/>
          <w:szCs w:val="18"/>
          <w:color w:val="auto"/>
        </w:rPr>
      </w:pPr>
      <w:r>
        <w:rPr>
          <w:rFonts w:ascii="Arial" w:cs="Arial" w:eastAsia="Arial" w:hAnsi="Arial"/>
          <w:sz w:val="18"/>
          <w:szCs w:val="18"/>
          <w:color w:val="auto"/>
        </w:rPr>
        <w:t>the extent to which our scientific approach and discovery engine technology may target proteins that have been considered undruggable or inadequately drugged;</w:t>
      </w:r>
    </w:p>
    <w:p>
      <w:pPr>
        <w:spacing w:after="0" w:line="46" w:lineRule="exact"/>
        <w:rPr>
          <w:rFonts w:ascii="Times New Roman" w:cs="Times New Roman" w:eastAsia="Times New Roman" w:hAnsi="Times New Roman"/>
          <w:sz w:val="18"/>
          <w:szCs w:val="18"/>
          <w:color w:val="auto"/>
        </w:rPr>
      </w:pPr>
    </w:p>
    <w:p>
      <w:pPr>
        <w:ind w:left="520" w:hanging="512"/>
        <w:spacing w:after="0" w:line="270" w:lineRule="auto"/>
        <w:tabs>
          <w:tab w:leader="none" w:pos="520" w:val="left"/>
        </w:tabs>
        <w:numPr>
          <w:ilvl w:val="0"/>
          <w:numId w:val="3"/>
        </w:numPr>
        <w:rPr>
          <w:rFonts w:ascii="Times New Roman" w:cs="Times New Roman" w:eastAsia="Times New Roman" w:hAnsi="Times New Roman"/>
          <w:sz w:val="18"/>
          <w:szCs w:val="18"/>
          <w:color w:val="auto"/>
        </w:rPr>
      </w:pPr>
      <w:r>
        <w:rPr>
          <w:rFonts w:ascii="Arial" w:cs="Arial" w:eastAsia="Arial" w:hAnsi="Arial"/>
          <w:sz w:val="18"/>
          <w:szCs w:val="18"/>
          <w:color w:val="auto"/>
        </w:rPr>
        <w:t>our plans to submit Investigational New Drug, or IND applications to the U.S. Food and Drug Administration, or the FDA for current and future product candidates;</w:t>
      </w:r>
    </w:p>
    <w:p>
      <w:pPr>
        <w:spacing w:after="0" w:line="46" w:lineRule="exact"/>
        <w:rPr>
          <w:rFonts w:ascii="Times New Roman" w:cs="Times New Roman" w:eastAsia="Times New Roman" w:hAnsi="Times New Roman"/>
          <w:sz w:val="18"/>
          <w:szCs w:val="18"/>
          <w:color w:val="auto"/>
        </w:rPr>
      </w:pPr>
    </w:p>
    <w:p>
      <w:pPr>
        <w:ind w:left="520" w:right="240" w:hanging="512"/>
        <w:spacing w:after="0" w:line="246" w:lineRule="auto"/>
        <w:tabs>
          <w:tab w:leader="none" w:pos="520" w:val="left"/>
        </w:tabs>
        <w:numPr>
          <w:ilvl w:val="0"/>
          <w:numId w:val="3"/>
        </w:numPr>
        <w:rPr>
          <w:rFonts w:ascii="Times New Roman" w:cs="Times New Roman" w:eastAsia="Times New Roman" w:hAnsi="Times New Roman"/>
          <w:sz w:val="18"/>
          <w:szCs w:val="18"/>
          <w:color w:val="auto"/>
        </w:rPr>
      </w:pPr>
      <w:r>
        <w:rPr>
          <w:rFonts w:ascii="Arial" w:cs="Arial" w:eastAsia="Arial" w:hAnsi="Arial"/>
          <w:sz w:val="18"/>
          <w:szCs w:val="18"/>
          <w:color w:val="auto"/>
        </w:rPr>
        <w:t>the potential benefits of strategic collaborations and our ability to enter into strategic collaborations with third parties who have the expertise to enable us to further develop our biological targets, product candidates and discovery engine technologies, including our agreements with Novartis AG, or Novartis, for MRT-6160 and other discovery programs and our agreement with F. Hoffmann-La Roche Ltd., or Roche Basel, and Hoffmann-La Roche Inc., or Roche US, and together with Roche Basel referred herein as Roche;</w:t>
      </w:r>
    </w:p>
    <w:p>
      <w:pPr>
        <w:spacing w:after="0" w:line="68"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3"/>
        </w:numPr>
        <w:rPr>
          <w:rFonts w:ascii="Times New Roman" w:cs="Times New Roman" w:eastAsia="Times New Roman" w:hAnsi="Times New Roman"/>
          <w:sz w:val="18"/>
          <w:szCs w:val="18"/>
          <w:color w:val="auto"/>
        </w:rPr>
      </w:pPr>
      <w:r>
        <w:rPr>
          <w:rFonts w:ascii="Arial" w:cs="Arial" w:eastAsia="Arial" w:hAnsi="Arial"/>
          <w:sz w:val="18"/>
          <w:szCs w:val="18"/>
          <w:color w:val="auto"/>
        </w:rPr>
        <w:t>our ability to obtain and maintain regulatory approval of our product candidates;</w:t>
      </w:r>
    </w:p>
    <w:p>
      <w:pPr>
        <w:spacing w:after="0" w:line="116"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3"/>
        </w:numPr>
        <w:rPr>
          <w:rFonts w:ascii="Times New Roman" w:cs="Times New Roman" w:eastAsia="Times New Roman" w:hAnsi="Times New Roman"/>
          <w:sz w:val="18"/>
          <w:szCs w:val="18"/>
          <w:color w:val="auto"/>
        </w:rPr>
      </w:pPr>
      <w:r>
        <w:rPr>
          <w:rFonts w:ascii="Arial" w:cs="Arial" w:eastAsia="Arial" w:hAnsi="Arial"/>
          <w:sz w:val="18"/>
          <w:szCs w:val="18"/>
          <w:color w:val="auto"/>
        </w:rPr>
        <w:t>our ability to maintain and expand, including through third-party vendors, our library of MGDs;</w:t>
      </w:r>
    </w:p>
    <w:p>
      <w:pPr>
        <w:spacing w:after="0" w:line="116" w:lineRule="exact"/>
        <w:rPr>
          <w:rFonts w:ascii="Times New Roman" w:cs="Times New Roman" w:eastAsia="Times New Roman" w:hAnsi="Times New Roman"/>
          <w:sz w:val="18"/>
          <w:szCs w:val="18"/>
          <w:color w:val="auto"/>
        </w:rPr>
      </w:pPr>
    </w:p>
    <w:p>
      <w:pPr>
        <w:ind w:left="520" w:right="220" w:hanging="512"/>
        <w:spacing w:after="0" w:line="270" w:lineRule="auto"/>
        <w:tabs>
          <w:tab w:leader="none" w:pos="520" w:val="left"/>
        </w:tabs>
        <w:numPr>
          <w:ilvl w:val="0"/>
          <w:numId w:val="3"/>
        </w:numPr>
        <w:rPr>
          <w:rFonts w:ascii="Times New Roman" w:cs="Times New Roman" w:eastAsia="Times New Roman" w:hAnsi="Times New Roman"/>
          <w:sz w:val="18"/>
          <w:szCs w:val="18"/>
          <w:color w:val="auto"/>
        </w:rPr>
      </w:pPr>
      <w:r>
        <w:rPr>
          <w:rFonts w:ascii="Arial" w:cs="Arial" w:eastAsia="Arial" w:hAnsi="Arial"/>
          <w:sz w:val="18"/>
          <w:szCs w:val="18"/>
          <w:color w:val="auto"/>
        </w:rPr>
        <w:t>our ability to manufacture, including through third-party manufacturers, our product candidates for preclinical use, future clinical trials and commercial use, if approved;</w:t>
      </w:r>
    </w:p>
    <w:p>
      <w:pPr>
        <w:spacing w:after="0" w:line="46" w:lineRule="exact"/>
        <w:rPr>
          <w:rFonts w:ascii="Times New Roman" w:cs="Times New Roman" w:eastAsia="Times New Roman" w:hAnsi="Times New Roman"/>
          <w:sz w:val="18"/>
          <w:szCs w:val="18"/>
          <w:color w:val="auto"/>
        </w:rPr>
      </w:pPr>
    </w:p>
    <w:p>
      <w:pPr>
        <w:ind w:left="520" w:right="260" w:hanging="512"/>
        <w:spacing w:after="0" w:line="270" w:lineRule="auto"/>
        <w:tabs>
          <w:tab w:leader="none" w:pos="520" w:val="left"/>
        </w:tabs>
        <w:numPr>
          <w:ilvl w:val="0"/>
          <w:numId w:val="3"/>
        </w:numPr>
        <w:rPr>
          <w:rFonts w:ascii="Times New Roman" w:cs="Times New Roman" w:eastAsia="Times New Roman" w:hAnsi="Times New Roman"/>
          <w:sz w:val="18"/>
          <w:szCs w:val="18"/>
          <w:color w:val="auto"/>
        </w:rPr>
      </w:pPr>
      <w:r>
        <w:rPr>
          <w:rFonts w:ascii="Arial" w:cs="Arial" w:eastAsia="Arial" w:hAnsi="Arial"/>
          <w:sz w:val="18"/>
          <w:szCs w:val="18"/>
          <w:color w:val="auto"/>
        </w:rPr>
        <w:t>our ability to commercialize our product candidates, including our ability to establish sales, marketing and distribution capabilities for our product candidates;</w:t>
      </w:r>
    </w:p>
    <w:p>
      <w:pPr>
        <w:spacing w:after="0" w:line="46"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3"/>
        </w:numPr>
        <w:rPr>
          <w:rFonts w:ascii="Times New Roman" w:cs="Times New Roman" w:eastAsia="Times New Roman" w:hAnsi="Times New Roman"/>
          <w:sz w:val="18"/>
          <w:szCs w:val="18"/>
          <w:color w:val="auto"/>
        </w:rPr>
      </w:pPr>
      <w:r>
        <w:rPr>
          <w:rFonts w:ascii="Arial" w:cs="Arial" w:eastAsia="Arial" w:hAnsi="Arial"/>
          <w:sz w:val="18"/>
          <w:szCs w:val="18"/>
          <w:color w:val="auto"/>
        </w:rPr>
        <w:t>the rate and degree of market acceptance of our product candidates;</w:t>
      </w:r>
    </w:p>
    <w:p>
      <w:pPr>
        <w:spacing w:after="0" w:line="116"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3"/>
        </w:numPr>
        <w:rPr>
          <w:rFonts w:ascii="Times New Roman" w:cs="Times New Roman" w:eastAsia="Times New Roman" w:hAnsi="Times New Roman"/>
          <w:sz w:val="18"/>
          <w:szCs w:val="18"/>
          <w:color w:val="auto"/>
        </w:rPr>
      </w:pPr>
      <w:r>
        <w:rPr>
          <w:rFonts w:ascii="Arial" w:cs="Arial" w:eastAsia="Arial" w:hAnsi="Arial"/>
          <w:sz w:val="18"/>
          <w:szCs w:val="18"/>
          <w:color w:val="auto"/>
        </w:rPr>
        <w:t>the size and growth potential of the markets for our product candidates, and our ability to serve those markets;</w:t>
      </w:r>
    </w:p>
    <w:p>
      <w:pPr>
        <w:spacing w:after="0" w:line="116"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3"/>
        </w:numPr>
        <w:rPr>
          <w:rFonts w:ascii="Times New Roman" w:cs="Times New Roman" w:eastAsia="Times New Roman" w:hAnsi="Times New Roman"/>
          <w:sz w:val="18"/>
          <w:szCs w:val="18"/>
          <w:color w:val="auto"/>
        </w:rPr>
      </w:pPr>
      <w:r>
        <w:rPr>
          <w:rFonts w:ascii="Arial" w:cs="Arial" w:eastAsia="Arial" w:hAnsi="Arial"/>
          <w:sz w:val="18"/>
          <w:szCs w:val="18"/>
          <w:color w:val="auto"/>
        </w:rPr>
        <w:t>our ability to establish and maintain intellectual property rights covering our current and future product candidates and technologies;</w:t>
      </w:r>
    </w:p>
    <w:p>
      <w:pPr>
        <w:spacing w:after="0" w:line="116"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3"/>
        </w:numPr>
        <w:rPr>
          <w:rFonts w:ascii="Times New Roman" w:cs="Times New Roman" w:eastAsia="Times New Roman" w:hAnsi="Times New Roman"/>
          <w:sz w:val="18"/>
          <w:szCs w:val="18"/>
          <w:color w:val="auto"/>
        </w:rPr>
      </w:pPr>
      <w:r>
        <w:rPr>
          <w:rFonts w:ascii="Arial" w:cs="Arial" w:eastAsia="Arial" w:hAnsi="Arial"/>
          <w:sz w:val="18"/>
          <w:szCs w:val="18"/>
          <w:color w:val="auto"/>
        </w:rPr>
        <w:t>the implementation of our business model and strategic plans for our business, product candidates, and technology;</w:t>
      </w:r>
    </w:p>
    <w:p>
      <w:pPr>
        <w:spacing w:after="0" w:line="116"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3"/>
        </w:numPr>
        <w:rPr>
          <w:rFonts w:ascii="Times New Roman" w:cs="Times New Roman" w:eastAsia="Times New Roman" w:hAnsi="Times New Roman"/>
          <w:sz w:val="18"/>
          <w:szCs w:val="18"/>
          <w:color w:val="auto"/>
        </w:rPr>
      </w:pPr>
      <w:r>
        <w:rPr>
          <w:rFonts w:ascii="Arial" w:cs="Arial" w:eastAsia="Arial" w:hAnsi="Arial"/>
          <w:sz w:val="18"/>
          <w:szCs w:val="18"/>
          <w:color w:val="auto"/>
        </w:rPr>
        <w:t>estimates of our future expenses, revenues, capital requirements, and our needs for additional capital;</w:t>
      </w:r>
    </w:p>
    <w:p>
      <w:pPr>
        <w:spacing w:after="0" w:line="116" w:lineRule="exact"/>
        <w:rPr>
          <w:rFonts w:ascii="Times New Roman" w:cs="Times New Roman" w:eastAsia="Times New Roman" w:hAnsi="Times New Roman"/>
          <w:sz w:val="18"/>
          <w:szCs w:val="18"/>
          <w:color w:val="auto"/>
        </w:rPr>
      </w:pPr>
    </w:p>
    <w:p>
      <w:pPr>
        <w:ind w:left="520" w:right="380" w:hanging="512"/>
        <w:spacing w:after="0" w:line="270" w:lineRule="auto"/>
        <w:tabs>
          <w:tab w:leader="none" w:pos="520" w:val="left"/>
        </w:tabs>
        <w:numPr>
          <w:ilvl w:val="0"/>
          <w:numId w:val="3"/>
        </w:numPr>
        <w:rPr>
          <w:rFonts w:ascii="Times New Roman" w:cs="Times New Roman" w:eastAsia="Times New Roman" w:hAnsi="Times New Roman"/>
          <w:sz w:val="18"/>
          <w:szCs w:val="18"/>
          <w:color w:val="auto"/>
        </w:rPr>
      </w:pPr>
      <w:r>
        <w:rPr>
          <w:rFonts w:ascii="Arial" w:cs="Arial" w:eastAsia="Arial" w:hAnsi="Arial"/>
          <w:sz w:val="18"/>
          <w:szCs w:val="18"/>
          <w:color w:val="auto"/>
        </w:rPr>
        <w:t>our expected use of proceeds from sales of our common stock in "at-the-market" offerings and other offerings, and the period over which such proceeds, together with existing cash, will be sufficient to meet our operating needs;</w:t>
      </w:r>
    </w:p>
    <w:p>
      <w:pPr>
        <w:spacing w:after="0" w:line="46" w:lineRule="exact"/>
        <w:rPr>
          <w:rFonts w:ascii="Times New Roman" w:cs="Times New Roman" w:eastAsia="Times New Roman" w:hAnsi="Times New Roman"/>
          <w:sz w:val="18"/>
          <w:szCs w:val="18"/>
          <w:color w:val="auto"/>
        </w:rPr>
      </w:pPr>
    </w:p>
    <w:p>
      <w:pPr>
        <w:ind w:left="520" w:right="620" w:hanging="512"/>
        <w:spacing w:after="0" w:line="270" w:lineRule="auto"/>
        <w:tabs>
          <w:tab w:leader="none" w:pos="520" w:val="left"/>
        </w:tabs>
        <w:numPr>
          <w:ilvl w:val="0"/>
          <w:numId w:val="3"/>
        </w:numPr>
        <w:rPr>
          <w:rFonts w:ascii="Times New Roman" w:cs="Times New Roman" w:eastAsia="Times New Roman" w:hAnsi="Times New Roman"/>
          <w:sz w:val="18"/>
          <w:szCs w:val="18"/>
          <w:color w:val="auto"/>
        </w:rPr>
      </w:pPr>
      <w:r>
        <w:rPr>
          <w:rFonts w:ascii="Arial" w:cs="Arial" w:eastAsia="Arial" w:hAnsi="Arial"/>
          <w:sz w:val="18"/>
          <w:szCs w:val="18"/>
          <w:color w:val="auto"/>
        </w:rPr>
        <w:t>our ability to obtain funding for our operations necessary to complete further development and commercialization of our product candidates;</w:t>
      </w:r>
    </w:p>
    <w:p>
      <w:pPr>
        <w:spacing w:after="0" w:line="46"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3"/>
        </w:numPr>
        <w:rPr>
          <w:rFonts w:ascii="Times New Roman" w:cs="Times New Roman" w:eastAsia="Times New Roman" w:hAnsi="Times New Roman"/>
          <w:sz w:val="18"/>
          <w:szCs w:val="18"/>
          <w:color w:val="auto"/>
        </w:rPr>
      </w:pPr>
      <w:r>
        <w:rPr>
          <w:rFonts w:ascii="Arial" w:cs="Arial" w:eastAsia="Arial" w:hAnsi="Arial"/>
          <w:sz w:val="18"/>
          <w:szCs w:val="18"/>
          <w:color w:val="auto"/>
        </w:rPr>
        <w:t>our financial performance;</w:t>
      </w: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8" w:right="339" w:bottom="1440" w:gutter="0" w:footer="0" w:header="0"/>
        </w:sectPr>
      </w:pPr>
    </w:p>
    <w:bookmarkStart w:id="2" w:name="page3"/>
    <w:bookmarkEnd w:id="2"/>
    <w:p>
      <w:pPr>
        <w:ind w:left="520" w:hanging="512"/>
        <w:spacing w:after="0"/>
        <w:tabs>
          <w:tab w:leader="none" w:pos="520" w:val="left"/>
        </w:tabs>
        <w:numPr>
          <w:ilvl w:val="0"/>
          <w:numId w:val="4"/>
        </w:numPr>
        <w:rPr>
          <w:rFonts w:ascii="Times New Roman" w:cs="Times New Roman" w:eastAsia="Times New Roman" w:hAnsi="Times New Roman"/>
          <w:sz w:val="18"/>
          <w:szCs w:val="18"/>
          <w:color w:val="auto"/>
        </w:rPr>
      </w:pPr>
      <w:r>
        <w:rPr>
          <w:rFonts w:ascii="Arial" w:cs="Arial" w:eastAsia="Arial" w:hAnsi="Arial"/>
          <w:sz w:val="18"/>
          <w:szCs w:val="18"/>
          <w:color w:val="auto"/>
        </w:rPr>
        <w:t>developments in laws and regulations in the United States, or the U.S., and foreign countries;</w:t>
      </w:r>
    </w:p>
    <w:p>
      <w:pPr>
        <w:spacing w:after="0" w:line="116"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4"/>
        </w:numPr>
        <w:rPr>
          <w:rFonts w:ascii="Times New Roman" w:cs="Times New Roman" w:eastAsia="Times New Roman" w:hAnsi="Times New Roman"/>
          <w:sz w:val="18"/>
          <w:szCs w:val="18"/>
          <w:color w:val="auto"/>
        </w:rPr>
      </w:pPr>
      <w:r>
        <w:rPr>
          <w:rFonts w:ascii="Arial" w:cs="Arial" w:eastAsia="Arial" w:hAnsi="Arial"/>
          <w:sz w:val="18"/>
          <w:szCs w:val="18"/>
          <w:color w:val="auto"/>
        </w:rPr>
        <w:t>the success of competing therapies that are or may become available;</w:t>
      </w:r>
    </w:p>
    <w:p>
      <w:pPr>
        <w:spacing w:after="0" w:line="116"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4"/>
        </w:numPr>
        <w:rPr>
          <w:rFonts w:ascii="Times New Roman" w:cs="Times New Roman" w:eastAsia="Times New Roman" w:hAnsi="Times New Roman"/>
          <w:sz w:val="18"/>
          <w:szCs w:val="18"/>
          <w:color w:val="auto"/>
        </w:rPr>
      </w:pPr>
      <w:r>
        <w:rPr>
          <w:rFonts w:ascii="Arial" w:cs="Arial" w:eastAsia="Arial" w:hAnsi="Arial"/>
          <w:sz w:val="18"/>
          <w:szCs w:val="18"/>
          <w:color w:val="auto"/>
        </w:rPr>
        <w:t>our ability to attract and retain key scientific or management personnel;</w:t>
      </w:r>
    </w:p>
    <w:p>
      <w:pPr>
        <w:spacing w:after="0" w:line="116" w:lineRule="exact"/>
        <w:rPr>
          <w:rFonts w:ascii="Times New Roman" w:cs="Times New Roman" w:eastAsia="Times New Roman" w:hAnsi="Times New Roman"/>
          <w:sz w:val="18"/>
          <w:szCs w:val="18"/>
          <w:color w:val="auto"/>
        </w:rPr>
      </w:pPr>
    </w:p>
    <w:p>
      <w:pPr>
        <w:ind w:left="520" w:right="20" w:hanging="512"/>
        <w:spacing w:after="0" w:line="252" w:lineRule="auto"/>
        <w:tabs>
          <w:tab w:leader="none" w:pos="520" w:val="left"/>
        </w:tabs>
        <w:numPr>
          <w:ilvl w:val="0"/>
          <w:numId w:val="4"/>
        </w:numPr>
        <w:rPr>
          <w:rFonts w:ascii="Times New Roman" w:cs="Times New Roman" w:eastAsia="Times New Roman" w:hAnsi="Times New Roman"/>
          <w:sz w:val="18"/>
          <w:szCs w:val="18"/>
          <w:color w:val="auto"/>
        </w:rPr>
      </w:pPr>
      <w:r>
        <w:rPr>
          <w:rFonts w:ascii="Arial" w:cs="Arial" w:eastAsia="Arial" w:hAnsi="Arial"/>
          <w:sz w:val="18"/>
          <w:szCs w:val="18"/>
          <w:color w:val="auto"/>
        </w:rPr>
        <w:t>the effect of global economic uncertainty and financial market volatility caused by economic effects of rising inflation and interest rates, global health crises, geopolitical events, elections, changes in international trade relationships and military conflicts on any of the foregoing or other aspects of our business or operations;</w:t>
      </w:r>
    </w:p>
    <w:p>
      <w:pPr>
        <w:spacing w:after="0" w:line="62" w:lineRule="exact"/>
        <w:rPr>
          <w:rFonts w:ascii="Times New Roman" w:cs="Times New Roman" w:eastAsia="Times New Roman" w:hAnsi="Times New Roman"/>
          <w:sz w:val="18"/>
          <w:szCs w:val="18"/>
          <w:color w:val="auto"/>
        </w:rPr>
      </w:pPr>
    </w:p>
    <w:p>
      <w:pPr>
        <w:ind w:left="520" w:right="60" w:hanging="512"/>
        <w:spacing w:after="0" w:line="252" w:lineRule="auto"/>
        <w:tabs>
          <w:tab w:leader="none" w:pos="520" w:val="left"/>
        </w:tabs>
        <w:numPr>
          <w:ilvl w:val="0"/>
          <w:numId w:val="4"/>
        </w:numPr>
        <w:rPr>
          <w:rFonts w:ascii="Times New Roman" w:cs="Times New Roman" w:eastAsia="Times New Roman" w:hAnsi="Times New Roman"/>
          <w:sz w:val="18"/>
          <w:szCs w:val="18"/>
          <w:color w:val="auto"/>
        </w:rPr>
      </w:pPr>
      <w:r>
        <w:rPr>
          <w:rFonts w:ascii="Arial" w:cs="Arial" w:eastAsia="Arial" w:hAnsi="Arial"/>
          <w:sz w:val="18"/>
          <w:szCs w:val="18"/>
          <w:color w:val="auto"/>
        </w:rPr>
        <w:t>the effect of any geopolitical conflicts or new or increased international tariffs, including mitigation efforts and economic effects, on any of the foregoing or other aspects of our business operations, including but not limited to our preclinical studies, ongoing clinical trials and future clinical trials; and</w:t>
      </w:r>
    </w:p>
    <w:p>
      <w:pPr>
        <w:spacing w:after="0" w:line="62" w:lineRule="exact"/>
        <w:rPr>
          <w:rFonts w:ascii="Times New Roman" w:cs="Times New Roman" w:eastAsia="Times New Roman" w:hAnsi="Times New Roman"/>
          <w:sz w:val="18"/>
          <w:szCs w:val="18"/>
          <w:color w:val="auto"/>
        </w:rPr>
      </w:pPr>
    </w:p>
    <w:p>
      <w:pPr>
        <w:ind w:left="520" w:hanging="512"/>
        <w:spacing w:after="0" w:line="252" w:lineRule="auto"/>
        <w:tabs>
          <w:tab w:leader="none" w:pos="520" w:val="left"/>
        </w:tabs>
        <w:numPr>
          <w:ilvl w:val="0"/>
          <w:numId w:val="4"/>
        </w:numPr>
        <w:rPr>
          <w:rFonts w:ascii="Times New Roman" w:cs="Times New Roman" w:eastAsia="Times New Roman" w:hAnsi="Times New Roman"/>
          <w:sz w:val="18"/>
          <w:szCs w:val="18"/>
          <w:color w:val="auto"/>
        </w:rPr>
      </w:pPr>
      <w:r>
        <w:rPr>
          <w:rFonts w:ascii="Arial" w:cs="Arial" w:eastAsia="Arial" w:hAnsi="Arial"/>
          <w:sz w:val="18"/>
          <w:szCs w:val="18"/>
          <w:color w:val="auto"/>
        </w:rPr>
        <w:t>other risks and uncertainties, including those listed under the section entitled “Risk factors" and those included in "Part 1, Item 1A, Risk Factors" in our Annual Report on Form 10-K for the year ended December 31, 2025, or our 2025 Annual Report, filed with the Securities and Exchange Commission, or the SEC, on March 17, 2026.</w:t>
      </w:r>
    </w:p>
    <w:p>
      <w:pPr>
        <w:spacing w:after="0" w:line="63" w:lineRule="exact"/>
        <w:rPr>
          <w:sz w:val="20"/>
          <w:szCs w:val="20"/>
          <w:color w:val="auto"/>
        </w:rPr>
      </w:pPr>
    </w:p>
    <w:p>
      <w:pPr>
        <w:ind w:right="60"/>
        <w:spacing w:after="0" w:line="242" w:lineRule="auto"/>
        <w:rPr>
          <w:sz w:val="20"/>
          <w:szCs w:val="20"/>
          <w:color w:val="auto"/>
        </w:rPr>
      </w:pPr>
      <w:r>
        <w:rPr>
          <w:rFonts w:ascii="Arial" w:cs="Arial" w:eastAsia="Arial" w:hAnsi="Arial"/>
          <w:sz w:val="18"/>
          <w:szCs w:val="18"/>
          <w:color w:val="auto"/>
        </w:rPr>
        <w:t>Any forward-looking statements in this Quarterly Report reflect our current views with respect to future events and with respect to our future financial performance, and involve known and unknown risks, uncertainties and other factors that may cause our actual results, performance or achievements to be materially different from any future results, performance or achievements expressed or implied by these forward-looking statements. Factors that may cause actual results to differ materially from current expectations include, among other things, those described under Part II, Item 1A, “Risk Factors” and elsewhere in this Quarterly Report. Given these uncertainties, you should not place undue reliance on these forward-looking statements.</w:t>
      </w:r>
    </w:p>
    <w:p>
      <w:pPr>
        <w:spacing w:after="0" w:line="71" w:lineRule="exact"/>
        <w:rPr>
          <w:sz w:val="20"/>
          <w:szCs w:val="20"/>
          <w:color w:val="auto"/>
        </w:rPr>
      </w:pPr>
    </w:p>
    <w:p>
      <w:pPr>
        <w:ind w:right="60"/>
        <w:spacing w:after="0" w:line="239" w:lineRule="auto"/>
        <w:rPr>
          <w:sz w:val="20"/>
          <w:szCs w:val="20"/>
          <w:color w:val="auto"/>
        </w:rPr>
      </w:pPr>
      <w:r>
        <w:rPr>
          <w:rFonts w:ascii="Arial" w:cs="Arial" w:eastAsia="Arial" w:hAnsi="Arial"/>
          <w:sz w:val="18"/>
          <w:szCs w:val="18"/>
          <w:color w:val="auto"/>
        </w:rPr>
        <w:t>All of our forward-looking statements are as of the date of this Quarterly Report only. In each case, actual results may differ materially from such forward-looking information. We can give no assurance that such expectations or forward-looking statements will prove to be correct. An occurrence of or any material adverse change in one or more of the risk factors or risks and uncertainties referred to in this Quarterly Report or included in our other public disclosures or our other periodic reports or other documents or filings filed with or furnished to the SEC could materially and adversely affect our business, prospects, financial condition and results of operations. Except as required by law, we do not undertake or plan to update or revise any such forward-looking statements to reflect actual results, changes in plans, assumptions, estimates or projections or other circumstances affecting such forward-looking statements occurring after the date of this Quarterly Report, even if such results, changes or circumstances make it clear that any forward-looking information will not be realized. Any public statements or disclosures by us following this Quarterly Report that modify or impact any of the forward-looking statements contained in this Quarterly Report will be deemed to modify or supersede such statements in this Quarterly Report.</w:t>
      </w:r>
    </w:p>
    <w:p>
      <w:pPr>
        <w:spacing w:after="0" w:line="72" w:lineRule="exact"/>
        <w:rPr>
          <w:sz w:val="20"/>
          <w:szCs w:val="20"/>
          <w:color w:val="auto"/>
        </w:rPr>
      </w:pPr>
    </w:p>
    <w:p>
      <w:pPr>
        <w:ind w:right="40"/>
        <w:spacing w:after="0"/>
        <w:rPr>
          <w:sz w:val="20"/>
          <w:szCs w:val="20"/>
          <w:color w:val="auto"/>
        </w:rPr>
      </w:pPr>
      <w:r>
        <w:rPr>
          <w:rFonts w:ascii="Arial" w:cs="Arial" w:eastAsia="Arial" w:hAnsi="Arial"/>
          <w:sz w:val="18"/>
          <w:szCs w:val="18"/>
          <w:color w:val="auto"/>
        </w:rPr>
        <w:t>We may from time to time provide estimates, projections and other information concerning our industry, the general business environment, and the markets for certain diseases, including estimates regarding the potential size of those markets and the estimated incidence and prevalence of certain medical conditions. Information that is based on estimates, forecasts, projections, market research or similar methodologies is inherently subject to uncertainties, and actual events, circumstances or numbers, including actual disease prevalence rates and market size, may differ materially from the information reflected in this Quarterly Report. Unless otherwise expressly stated, we obtained this industry, business information, market data, prevalence information and other data from reports, research surveys, studies and similar data prepared by market research firms and other third parties, industry, medical and general publications, government data, and similar sources, in some cases applying our own assumptions and analysis that may, in the future, prove not to have been accurate.</w:t>
      </w:r>
    </w:p>
    <w:p>
      <w:pPr>
        <w:spacing w:after="0" w:line="7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TRADEMARKS</w:t>
      </w:r>
    </w:p>
    <w:p>
      <w:pPr>
        <w:spacing w:after="0" w:line="104" w:lineRule="exact"/>
        <w:rPr>
          <w:sz w:val="20"/>
          <w:szCs w:val="20"/>
          <w:color w:val="auto"/>
        </w:rPr>
      </w:pPr>
    </w:p>
    <w:p>
      <w:pPr>
        <w:ind w:right="360"/>
        <w:spacing w:after="0" w:line="271" w:lineRule="auto"/>
        <w:rPr>
          <w:sz w:val="20"/>
          <w:szCs w:val="20"/>
          <w:color w:val="auto"/>
        </w:rPr>
      </w:pPr>
      <w:r>
        <w:rPr>
          <w:rFonts w:ascii="Arial" w:cs="Arial" w:eastAsia="Arial" w:hAnsi="Arial"/>
          <w:sz w:val="18"/>
          <w:szCs w:val="18"/>
          <w:color w:val="auto"/>
        </w:rPr>
        <w:t>Solely for convenience, our trademarks and trade names in this report are sometimes referred to without the ® and ™ symbols, but such references should not be construed as any indicator that we will not assert, to the fullest extent under applicable law, our rights thereto.</w:t>
      </w:r>
    </w:p>
    <w:p>
      <w:pPr>
        <w:spacing w:after="0" w:line="26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20" w:right="359" w:bottom="1440" w:gutter="0" w:footer="0" w:header="0"/>
        </w:sectPr>
      </w:pPr>
    </w:p>
    <w:bookmarkStart w:id="3" w:name="page4"/>
    <w:bookmarkEnd w:id="3"/>
    <w:p>
      <w:pPr>
        <w:jc w:val="center"/>
        <w:spacing w:after="0"/>
        <w:rPr>
          <w:sz w:val="20"/>
          <w:szCs w:val="20"/>
          <w:color w:val="auto"/>
        </w:rPr>
      </w:pPr>
      <w:r>
        <w:rPr>
          <w:rFonts w:ascii="Arial" w:cs="Arial" w:eastAsia="Arial" w:hAnsi="Arial"/>
          <w:sz w:val="22"/>
          <w:szCs w:val="22"/>
          <w:b w:val="1"/>
          <w:bCs w:val="1"/>
          <w:color w:val="auto"/>
        </w:rPr>
        <w:t>Table of Contents</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221"/>
        </w:trPr>
        <w:tc>
          <w:tcPr>
            <w:tcW w:w="116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PART I.</w:t>
            </w:r>
          </w:p>
        </w:tc>
        <w:tc>
          <w:tcPr>
            <w:tcW w:w="9300" w:type="dxa"/>
            <w:vAlign w:val="bottom"/>
            <w:gridSpan w:val="19"/>
            <w:vMerge w:val="restart"/>
          </w:tcPr>
          <w:p>
            <w:pPr>
              <w:spacing w:after="0"/>
              <w:rPr>
                <w:sz w:val="20"/>
                <w:szCs w:val="20"/>
                <w:color w:val="auto"/>
              </w:rPr>
            </w:pPr>
            <w:r>
              <w:rPr>
                <w:rFonts w:ascii="Arial" w:cs="Arial" w:eastAsia="Arial" w:hAnsi="Arial"/>
                <w:sz w:val="18"/>
                <w:szCs w:val="18"/>
                <w:color w:val="0000FF"/>
              </w:rPr>
              <w:t>FINANCIAL INFORMATION</w:t>
            </w:r>
          </w:p>
        </w:tc>
        <w:tc>
          <w:tcPr>
            <w:tcW w:w="78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w w:val="97"/>
              </w:rPr>
              <w:t>Page</w:t>
            </w:r>
          </w:p>
        </w:tc>
        <w:tc>
          <w:tcPr>
            <w:tcW w:w="0" w:type="dxa"/>
            <w:vAlign w:val="bottom"/>
          </w:tcPr>
          <w:p>
            <w:pPr>
              <w:spacing w:after="0"/>
              <w:rPr>
                <w:sz w:val="1"/>
                <w:szCs w:val="1"/>
                <w:color w:val="auto"/>
              </w:rPr>
            </w:pPr>
          </w:p>
        </w:tc>
      </w:tr>
      <w:tr>
        <w:trPr>
          <w:trHeight w:val="169"/>
        </w:trPr>
        <w:tc>
          <w:tcPr>
            <w:tcW w:w="1160" w:type="dxa"/>
            <w:vAlign w:val="bottom"/>
            <w:gridSpan w:val="2"/>
            <w:vMerge w:val="continue"/>
          </w:tcPr>
          <w:p>
            <w:pPr>
              <w:spacing w:after="0"/>
              <w:rPr>
                <w:sz w:val="14"/>
                <w:szCs w:val="14"/>
                <w:color w:val="auto"/>
              </w:rPr>
            </w:pPr>
          </w:p>
        </w:tc>
        <w:tc>
          <w:tcPr>
            <w:tcW w:w="9300" w:type="dxa"/>
            <w:vAlign w:val="bottom"/>
            <w:gridSpan w:val="19"/>
            <w:vMerge w:val="continue"/>
          </w:tcPr>
          <w:p>
            <w:pPr>
              <w:spacing w:after="0"/>
              <w:rPr>
                <w:sz w:val="14"/>
                <w:szCs w:val="14"/>
                <w:color w:val="auto"/>
              </w:rPr>
            </w:pPr>
          </w:p>
        </w:tc>
        <w:tc>
          <w:tcPr>
            <w:tcW w:w="780" w:type="dxa"/>
            <w:vAlign w:val="bottom"/>
          </w:tcPr>
          <w:p>
            <w:pPr>
              <w:jc w:val="right"/>
              <w:spacing w:after="0" w:line="169" w:lineRule="exact"/>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0"/>
        </w:trPr>
        <w:tc>
          <w:tcPr>
            <w:tcW w:w="1160" w:type="dxa"/>
            <w:vAlign w:val="bottom"/>
            <w:gridSpan w:val="2"/>
            <w:vMerge w:val="restart"/>
          </w:tcPr>
          <w:p>
            <w:pPr>
              <w:spacing w:after="0" w:line="202" w:lineRule="exact"/>
              <w:rPr>
                <w:sz w:val="20"/>
                <w:szCs w:val="20"/>
                <w:color w:val="auto"/>
              </w:rPr>
            </w:pPr>
            <w:r>
              <w:rPr>
                <w:rFonts w:ascii="Arial" w:cs="Arial" w:eastAsia="Arial" w:hAnsi="Arial"/>
                <w:sz w:val="18"/>
                <w:szCs w:val="18"/>
                <w:color w:val="auto"/>
              </w:rPr>
              <w:t>Item 1.</w:t>
            </w:r>
          </w:p>
        </w:tc>
        <w:tc>
          <w:tcPr>
            <w:tcW w:w="20" w:type="dxa"/>
            <w:vAlign w:val="bottom"/>
            <w:vMerge w:val="restart"/>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40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00" w:type="dxa"/>
            <w:vAlign w:val="bottom"/>
            <w:tcBorders>
              <w:left w:val="single" w:sz="8" w:color="0000FF"/>
            </w:tcBorders>
            <w:shd w:val="clear" w:color="auto" w:fill="0000FF"/>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780" w:type="dxa"/>
            <w:vAlign w:val="bottom"/>
            <w:vMerge w:val="restart"/>
          </w:tcPr>
          <w:p>
            <w:pPr>
              <w:jc w:val="right"/>
              <w:spacing w:after="0" w:line="202" w:lineRule="exact"/>
              <w:rPr>
                <w:sz w:val="20"/>
                <w:szCs w:val="20"/>
                <w:color w:val="auto"/>
              </w:rPr>
            </w:pPr>
            <w:r>
              <w:rPr>
                <w:rFonts w:ascii="Arial" w:cs="Arial" w:eastAsia="Arial" w:hAnsi="Arial"/>
                <w:sz w:val="18"/>
                <w:szCs w:val="18"/>
                <w:color w:val="auto"/>
              </w:rPr>
              <w:t>1</w:t>
            </w:r>
          </w:p>
        </w:tc>
        <w:tc>
          <w:tcPr>
            <w:tcW w:w="0" w:type="dxa"/>
            <w:vAlign w:val="bottom"/>
          </w:tcPr>
          <w:p>
            <w:pPr>
              <w:spacing w:after="0" w:line="20" w:lineRule="exact"/>
              <w:rPr>
                <w:sz w:val="1"/>
                <w:szCs w:val="1"/>
                <w:color w:val="auto"/>
              </w:rPr>
            </w:pPr>
          </w:p>
        </w:tc>
      </w:tr>
      <w:tr>
        <w:trPr>
          <w:trHeight w:val="183"/>
        </w:trPr>
        <w:tc>
          <w:tcPr>
            <w:tcW w:w="1160" w:type="dxa"/>
            <w:vAlign w:val="bottom"/>
            <w:gridSpan w:val="2"/>
            <w:vMerge w:val="continue"/>
          </w:tcPr>
          <w:p>
            <w:pPr>
              <w:spacing w:after="0"/>
              <w:rPr>
                <w:sz w:val="15"/>
                <w:szCs w:val="15"/>
                <w:color w:val="auto"/>
              </w:rPr>
            </w:pPr>
          </w:p>
        </w:tc>
        <w:tc>
          <w:tcPr>
            <w:tcW w:w="20" w:type="dxa"/>
            <w:vAlign w:val="bottom"/>
            <w:vMerge w:val="continue"/>
          </w:tcPr>
          <w:p>
            <w:pPr>
              <w:spacing w:after="0"/>
              <w:rPr>
                <w:sz w:val="15"/>
                <w:szCs w:val="15"/>
                <w:color w:val="auto"/>
              </w:rPr>
            </w:pPr>
          </w:p>
        </w:tc>
        <w:tc>
          <w:tcPr>
            <w:tcW w:w="9280" w:type="dxa"/>
            <w:vAlign w:val="bottom"/>
            <w:gridSpan w:val="18"/>
          </w:tcPr>
          <w:p>
            <w:pPr>
              <w:spacing w:after="0" w:line="182" w:lineRule="exact"/>
              <w:rPr>
                <w:sz w:val="20"/>
                <w:szCs w:val="20"/>
                <w:color w:val="auto"/>
              </w:rPr>
            </w:pPr>
            <w:r>
              <w:rPr>
                <w:rFonts w:ascii="Arial" w:cs="Arial" w:eastAsia="Arial" w:hAnsi="Arial"/>
                <w:sz w:val="18"/>
                <w:szCs w:val="18"/>
                <w:color w:val="0000FF"/>
              </w:rPr>
              <w:t>Financial Statements (Unaudited)</w:t>
            </w:r>
          </w:p>
        </w:tc>
        <w:tc>
          <w:tcPr>
            <w:tcW w:w="7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8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40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00" w:type="dxa"/>
            <w:vAlign w:val="bottom"/>
            <w:tcBorders>
              <w:left w:val="single" w:sz="8" w:color="0000FF"/>
            </w:tcBorders>
            <w:gridSpan w:val="2"/>
            <w:shd w:val="clear" w:color="auto" w:fill="0000FF"/>
          </w:tcPr>
          <w:p>
            <w:pPr>
              <w:spacing w:after="0" w:line="20" w:lineRule="exact"/>
              <w:rPr>
                <w:sz w:val="1"/>
                <w:szCs w:val="1"/>
                <w:color w:val="auto"/>
              </w:rPr>
            </w:pPr>
          </w:p>
        </w:tc>
        <w:tc>
          <w:tcPr>
            <w:tcW w:w="140" w:type="dxa"/>
            <w:vAlign w:val="bottom"/>
            <w:tcBorders>
              <w:right w:val="single" w:sz="8" w:color="0000EE"/>
            </w:tcBorders>
            <w:shd w:val="clear" w:color="auto" w:fill="0000FF"/>
          </w:tcPr>
          <w:p>
            <w:pPr>
              <w:spacing w:after="0" w:line="20" w:lineRule="exact"/>
              <w:rPr>
                <w:sz w:val="1"/>
                <w:szCs w:val="1"/>
                <w:color w:val="auto"/>
              </w:rPr>
            </w:pPr>
          </w:p>
        </w:tc>
        <w:tc>
          <w:tcPr>
            <w:tcW w:w="6620" w:type="dxa"/>
            <w:vAlign w:val="bottom"/>
            <w:gridSpan w:val="9"/>
            <w:vMerge w:val="restart"/>
          </w:tcPr>
          <w:p>
            <w:pPr>
              <w:ind w:left="80"/>
              <w:spacing w:after="0" w:line="202" w:lineRule="exact"/>
              <w:rPr>
                <w:sz w:val="20"/>
                <w:szCs w:val="20"/>
                <w:color w:val="auto"/>
              </w:rPr>
            </w:pPr>
            <w:r>
              <w:rPr>
                <w:rFonts w:ascii="Arial" w:cs="Arial" w:eastAsia="Arial" w:hAnsi="Arial"/>
                <w:sz w:val="18"/>
                <w:szCs w:val="18"/>
                <w:color w:val="0000FF"/>
              </w:rPr>
              <w:t>Sheets (Unaudited)</w:t>
            </w:r>
          </w:p>
        </w:tc>
        <w:tc>
          <w:tcPr>
            <w:tcW w:w="780" w:type="dxa"/>
            <w:vAlign w:val="bottom"/>
            <w:vMerge w:val="restart"/>
          </w:tcPr>
          <w:p>
            <w:pPr>
              <w:jc w:val="right"/>
              <w:spacing w:after="0" w:line="202" w:lineRule="exact"/>
              <w:rPr>
                <w:sz w:val="20"/>
                <w:szCs w:val="20"/>
                <w:color w:val="auto"/>
              </w:rPr>
            </w:pPr>
            <w:r>
              <w:rPr>
                <w:rFonts w:ascii="Arial" w:cs="Arial" w:eastAsia="Arial" w:hAnsi="Arial"/>
                <w:sz w:val="18"/>
                <w:szCs w:val="18"/>
                <w:color w:val="auto"/>
              </w:rPr>
              <w:t>1</w:t>
            </w:r>
          </w:p>
        </w:tc>
        <w:tc>
          <w:tcPr>
            <w:tcW w:w="0" w:type="dxa"/>
            <w:vAlign w:val="bottom"/>
          </w:tcPr>
          <w:p>
            <w:pPr>
              <w:spacing w:after="0" w:line="20" w:lineRule="exact"/>
              <w:rPr>
                <w:sz w:val="1"/>
                <w:szCs w:val="1"/>
                <w:color w:val="auto"/>
              </w:rPr>
            </w:pPr>
          </w:p>
        </w:tc>
      </w:tr>
      <w:tr>
        <w:trPr>
          <w:trHeight w:val="183"/>
        </w:trPr>
        <w:tc>
          <w:tcPr>
            <w:tcW w:w="8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680" w:type="dxa"/>
            <w:vAlign w:val="bottom"/>
            <w:gridSpan w:val="10"/>
          </w:tcPr>
          <w:p>
            <w:pPr>
              <w:spacing w:after="0" w:line="182" w:lineRule="exact"/>
              <w:rPr>
                <w:sz w:val="20"/>
                <w:szCs w:val="20"/>
                <w:color w:val="auto"/>
              </w:rPr>
            </w:pPr>
            <w:r>
              <w:rPr>
                <w:rFonts w:ascii="Arial" w:cs="Arial" w:eastAsia="Arial" w:hAnsi="Arial"/>
                <w:sz w:val="18"/>
                <w:szCs w:val="18"/>
                <w:color w:val="0000FF"/>
                <w:w w:val="96"/>
              </w:rPr>
              <w:t>Condensed Consolidated Balance</w:t>
            </w:r>
          </w:p>
        </w:tc>
        <w:tc>
          <w:tcPr>
            <w:tcW w:w="6620" w:type="dxa"/>
            <w:vAlign w:val="bottom"/>
            <w:gridSpan w:val="9"/>
            <w:vMerge w:val="continue"/>
          </w:tcPr>
          <w:p>
            <w:pPr>
              <w:spacing w:after="0"/>
              <w:rPr>
                <w:sz w:val="15"/>
                <w:szCs w:val="15"/>
                <w:color w:val="auto"/>
              </w:rPr>
            </w:pPr>
          </w:p>
        </w:tc>
        <w:tc>
          <w:tcPr>
            <w:tcW w:w="7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8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40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00" w:type="dxa"/>
            <w:vAlign w:val="bottom"/>
            <w:tcBorders>
              <w:left w:val="single" w:sz="8" w:color="0000FF"/>
            </w:tcBorders>
            <w:gridSpan w:val="2"/>
            <w:shd w:val="clear" w:color="auto" w:fill="0000FF"/>
          </w:tcPr>
          <w:p>
            <w:pPr>
              <w:spacing w:after="0" w:line="20" w:lineRule="exact"/>
              <w:rPr>
                <w:sz w:val="1"/>
                <w:szCs w:val="1"/>
                <w:color w:val="auto"/>
              </w:rPr>
            </w:pPr>
          </w:p>
        </w:tc>
        <w:tc>
          <w:tcPr>
            <w:tcW w:w="1780" w:type="dxa"/>
            <w:vAlign w:val="bottom"/>
            <w:gridSpan w:val="2"/>
            <w:shd w:val="clear" w:color="auto" w:fill="0000FF"/>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780" w:type="dxa"/>
            <w:vAlign w:val="bottom"/>
            <w:vMerge w:val="restart"/>
          </w:tcPr>
          <w:p>
            <w:pPr>
              <w:jc w:val="right"/>
              <w:spacing w:after="0" w:line="202" w:lineRule="exact"/>
              <w:rPr>
                <w:sz w:val="20"/>
                <w:szCs w:val="20"/>
                <w:color w:val="auto"/>
              </w:rPr>
            </w:pPr>
            <w:r>
              <w:rPr>
                <w:rFonts w:ascii="Arial" w:cs="Arial" w:eastAsia="Arial" w:hAnsi="Arial"/>
                <w:sz w:val="18"/>
                <w:szCs w:val="18"/>
                <w:color w:val="auto"/>
              </w:rPr>
              <w:t>2</w:t>
            </w:r>
          </w:p>
        </w:tc>
        <w:tc>
          <w:tcPr>
            <w:tcW w:w="0" w:type="dxa"/>
            <w:vAlign w:val="bottom"/>
          </w:tcPr>
          <w:p>
            <w:pPr>
              <w:spacing w:after="0" w:line="20" w:lineRule="exact"/>
              <w:rPr>
                <w:sz w:val="1"/>
                <w:szCs w:val="1"/>
                <w:color w:val="auto"/>
              </w:rPr>
            </w:pPr>
          </w:p>
        </w:tc>
      </w:tr>
      <w:tr>
        <w:trPr>
          <w:trHeight w:val="183"/>
        </w:trPr>
        <w:tc>
          <w:tcPr>
            <w:tcW w:w="8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9300" w:type="dxa"/>
            <w:vAlign w:val="bottom"/>
            <w:gridSpan w:val="19"/>
          </w:tcPr>
          <w:p>
            <w:pPr>
              <w:spacing w:after="0" w:line="182" w:lineRule="exact"/>
              <w:rPr>
                <w:sz w:val="20"/>
                <w:szCs w:val="20"/>
                <w:color w:val="auto"/>
              </w:rPr>
            </w:pPr>
            <w:r>
              <w:rPr>
                <w:rFonts w:ascii="Arial" w:cs="Arial" w:eastAsia="Arial" w:hAnsi="Arial"/>
                <w:sz w:val="18"/>
                <w:szCs w:val="18"/>
                <w:color w:val="0000FF"/>
              </w:rPr>
              <w:t>Condensed Consolidated Statements of Operations and Comprehensive (Loss) Income (Unaudited)</w:t>
            </w:r>
          </w:p>
        </w:tc>
        <w:tc>
          <w:tcPr>
            <w:tcW w:w="7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8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40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00" w:type="dxa"/>
            <w:vAlign w:val="bottom"/>
            <w:tcBorders>
              <w:left w:val="single" w:sz="8" w:color="0000FF"/>
            </w:tcBorders>
            <w:gridSpan w:val="2"/>
            <w:shd w:val="clear" w:color="auto" w:fill="0000FF"/>
          </w:tcPr>
          <w:p>
            <w:pPr>
              <w:spacing w:after="0" w:line="20" w:lineRule="exact"/>
              <w:rPr>
                <w:sz w:val="1"/>
                <w:szCs w:val="1"/>
                <w:color w:val="auto"/>
              </w:rPr>
            </w:pPr>
          </w:p>
        </w:tc>
        <w:tc>
          <w:tcPr>
            <w:tcW w:w="2160" w:type="dxa"/>
            <w:vAlign w:val="bottom"/>
            <w:gridSpan w:val="3"/>
            <w:shd w:val="clear" w:color="auto" w:fill="0000FF"/>
          </w:tcPr>
          <w:p>
            <w:pPr>
              <w:spacing w:after="0" w:line="20" w:lineRule="exact"/>
              <w:rPr>
                <w:sz w:val="1"/>
                <w:szCs w:val="1"/>
                <w:color w:val="auto"/>
              </w:rPr>
            </w:pPr>
          </w:p>
        </w:tc>
        <w:tc>
          <w:tcPr>
            <w:tcW w:w="480" w:type="dxa"/>
            <w:vAlign w:val="bottom"/>
            <w:tcBorders>
              <w:right w:val="single" w:sz="8" w:color="0000FF"/>
            </w:tcBorders>
            <w:shd w:val="clear" w:color="auto" w:fill="0000FF"/>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240" w:type="dxa"/>
            <w:vAlign w:val="bottom"/>
            <w:shd w:val="clear" w:color="auto" w:fill="0000FF"/>
          </w:tcPr>
          <w:p>
            <w:pPr>
              <w:spacing w:after="0" w:line="20" w:lineRule="exact"/>
              <w:rPr>
                <w:sz w:val="1"/>
                <w:szCs w:val="1"/>
                <w:color w:val="auto"/>
              </w:rPr>
            </w:pPr>
          </w:p>
        </w:tc>
        <w:tc>
          <w:tcPr>
            <w:tcW w:w="8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360" w:type="dxa"/>
            <w:vAlign w:val="bottom"/>
            <w:vMerge w:val="restart"/>
          </w:tcPr>
          <w:p>
            <w:pPr>
              <w:spacing w:after="0" w:line="20" w:lineRule="exact"/>
              <w:rPr>
                <w:sz w:val="1"/>
                <w:szCs w:val="1"/>
                <w:color w:val="auto"/>
              </w:rPr>
            </w:pPr>
          </w:p>
        </w:tc>
        <w:tc>
          <w:tcPr>
            <w:tcW w:w="780" w:type="dxa"/>
            <w:vAlign w:val="bottom"/>
            <w:vMerge w:val="restart"/>
          </w:tcPr>
          <w:p>
            <w:pPr>
              <w:jc w:val="right"/>
              <w:spacing w:after="0" w:line="202" w:lineRule="exact"/>
              <w:rPr>
                <w:sz w:val="20"/>
                <w:szCs w:val="20"/>
                <w:color w:val="auto"/>
              </w:rPr>
            </w:pPr>
            <w:r>
              <w:rPr>
                <w:rFonts w:ascii="Arial" w:cs="Arial" w:eastAsia="Arial" w:hAnsi="Arial"/>
                <w:sz w:val="18"/>
                <w:szCs w:val="18"/>
                <w:color w:val="auto"/>
              </w:rPr>
              <w:t>3</w:t>
            </w:r>
          </w:p>
        </w:tc>
        <w:tc>
          <w:tcPr>
            <w:tcW w:w="0" w:type="dxa"/>
            <w:vAlign w:val="bottom"/>
          </w:tcPr>
          <w:p>
            <w:pPr>
              <w:spacing w:after="0" w:line="20" w:lineRule="exact"/>
              <w:rPr>
                <w:sz w:val="1"/>
                <w:szCs w:val="1"/>
                <w:color w:val="auto"/>
              </w:rPr>
            </w:pPr>
          </w:p>
        </w:tc>
      </w:tr>
      <w:tr>
        <w:trPr>
          <w:trHeight w:val="183"/>
        </w:trPr>
        <w:tc>
          <w:tcPr>
            <w:tcW w:w="8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7940" w:type="dxa"/>
            <w:vAlign w:val="bottom"/>
            <w:gridSpan w:val="18"/>
          </w:tcPr>
          <w:p>
            <w:pPr>
              <w:spacing w:after="0" w:line="182" w:lineRule="exact"/>
              <w:rPr>
                <w:sz w:val="20"/>
                <w:szCs w:val="20"/>
                <w:color w:val="auto"/>
              </w:rPr>
            </w:pPr>
            <w:r>
              <w:rPr>
                <w:rFonts w:ascii="Arial" w:cs="Arial" w:eastAsia="Arial" w:hAnsi="Arial"/>
                <w:sz w:val="18"/>
                <w:szCs w:val="18"/>
                <w:color w:val="0000FF"/>
              </w:rPr>
              <w:t>Condensed Consolidated Statements of Stockholders’ Equity (Unaudited)</w:t>
            </w:r>
          </w:p>
        </w:tc>
        <w:tc>
          <w:tcPr>
            <w:tcW w:w="1360" w:type="dxa"/>
            <w:vAlign w:val="bottom"/>
            <w:vMerge w:val="continue"/>
          </w:tcPr>
          <w:p>
            <w:pPr>
              <w:spacing w:after="0"/>
              <w:rPr>
                <w:sz w:val="15"/>
                <w:szCs w:val="15"/>
                <w:color w:val="auto"/>
              </w:rPr>
            </w:pPr>
          </w:p>
        </w:tc>
        <w:tc>
          <w:tcPr>
            <w:tcW w:w="7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8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5840" w:type="dxa"/>
            <w:vAlign w:val="bottom"/>
            <w:tcBorders>
              <w:top w:val="single" w:sz="8" w:color="0000FF"/>
            </w:tcBorders>
            <w:gridSpan w:val="15"/>
          </w:tcPr>
          <w:p>
            <w:pPr>
              <w:spacing w:after="0" w:line="182" w:lineRule="exact"/>
              <w:rPr>
                <w:sz w:val="20"/>
                <w:szCs w:val="20"/>
                <w:color w:val="auto"/>
              </w:rPr>
            </w:pPr>
            <w:r>
              <w:rPr>
                <w:rFonts w:ascii="Arial" w:cs="Arial" w:eastAsia="Arial" w:hAnsi="Arial"/>
                <w:sz w:val="18"/>
                <w:szCs w:val="18"/>
                <w:color w:val="0000FF"/>
              </w:rPr>
              <w:t>Condensed Consolidated Statements of Cash Flows (Unaudited)</w:t>
            </w:r>
          </w:p>
        </w:tc>
        <w:tc>
          <w:tcPr>
            <w:tcW w:w="12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380" w:type="dxa"/>
            <w:vAlign w:val="bottom"/>
            <w:gridSpan w:val="2"/>
          </w:tcPr>
          <w:p>
            <w:pPr>
              <w:spacing w:after="0"/>
              <w:rPr>
                <w:sz w:val="15"/>
                <w:szCs w:val="15"/>
                <w:color w:val="auto"/>
              </w:rPr>
            </w:pPr>
          </w:p>
        </w:tc>
        <w:tc>
          <w:tcPr>
            <w:tcW w:w="780" w:type="dxa"/>
            <w:vAlign w:val="bottom"/>
          </w:tcPr>
          <w:p>
            <w:pPr>
              <w:jc w:val="right"/>
              <w:spacing w:after="0" w:line="182" w:lineRule="exact"/>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0"/>
        </w:trPr>
        <w:tc>
          <w:tcPr>
            <w:tcW w:w="8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40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00" w:type="dxa"/>
            <w:vAlign w:val="bottom"/>
            <w:tcBorders>
              <w:left w:val="single" w:sz="8" w:color="0000FF"/>
            </w:tcBorders>
            <w:gridSpan w:val="2"/>
            <w:shd w:val="clear" w:color="auto" w:fill="0000FF"/>
          </w:tcPr>
          <w:p>
            <w:pPr>
              <w:spacing w:after="0" w:line="20" w:lineRule="exact"/>
              <w:rPr>
                <w:sz w:val="1"/>
                <w:szCs w:val="1"/>
                <w:color w:val="auto"/>
              </w:rPr>
            </w:pPr>
          </w:p>
        </w:tc>
        <w:tc>
          <w:tcPr>
            <w:tcW w:w="2160" w:type="dxa"/>
            <w:vAlign w:val="bottom"/>
            <w:gridSpan w:val="3"/>
            <w:shd w:val="clear" w:color="auto" w:fill="0000FF"/>
          </w:tcPr>
          <w:p>
            <w:pPr>
              <w:spacing w:after="0" w:line="20" w:lineRule="exact"/>
              <w:rPr>
                <w:sz w:val="1"/>
                <w:szCs w:val="1"/>
                <w:color w:val="auto"/>
              </w:rPr>
            </w:pPr>
          </w:p>
        </w:tc>
        <w:tc>
          <w:tcPr>
            <w:tcW w:w="480" w:type="dxa"/>
            <w:vAlign w:val="bottom"/>
            <w:tcBorders>
              <w:right w:val="single" w:sz="8" w:color="0000EE"/>
            </w:tcBorders>
            <w:shd w:val="clear" w:color="auto" w:fill="0000FF"/>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320" w:type="dxa"/>
            <w:vAlign w:val="bottom"/>
            <w:gridSpan w:val="2"/>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380" w:type="dxa"/>
            <w:vAlign w:val="bottom"/>
            <w:gridSpan w:val="2"/>
          </w:tcPr>
          <w:p>
            <w:pPr>
              <w:spacing w:after="0" w:line="20" w:lineRule="exact"/>
              <w:rPr>
                <w:sz w:val="1"/>
                <w:szCs w:val="1"/>
                <w:color w:val="auto"/>
              </w:rPr>
            </w:pPr>
          </w:p>
        </w:tc>
        <w:tc>
          <w:tcPr>
            <w:tcW w:w="780" w:type="dxa"/>
            <w:vAlign w:val="bottom"/>
            <w:vMerge w:val="restart"/>
          </w:tcPr>
          <w:p>
            <w:pPr>
              <w:jc w:val="right"/>
              <w:spacing w:after="0" w:line="202" w:lineRule="exact"/>
              <w:rPr>
                <w:sz w:val="20"/>
                <w:szCs w:val="20"/>
                <w:color w:val="auto"/>
              </w:rPr>
            </w:pPr>
            <w:r>
              <w:rPr>
                <w:rFonts w:ascii="Arial" w:cs="Arial" w:eastAsia="Arial" w:hAnsi="Arial"/>
                <w:sz w:val="18"/>
                <w:szCs w:val="18"/>
                <w:color w:val="auto"/>
              </w:rPr>
              <w:t>5</w:t>
            </w:r>
          </w:p>
        </w:tc>
        <w:tc>
          <w:tcPr>
            <w:tcW w:w="0" w:type="dxa"/>
            <w:vAlign w:val="bottom"/>
          </w:tcPr>
          <w:p>
            <w:pPr>
              <w:spacing w:after="0" w:line="20" w:lineRule="exact"/>
              <w:rPr>
                <w:sz w:val="1"/>
                <w:szCs w:val="1"/>
                <w:color w:val="auto"/>
              </w:rPr>
            </w:pPr>
          </w:p>
        </w:tc>
      </w:tr>
      <w:tr>
        <w:trPr>
          <w:trHeight w:val="183"/>
        </w:trPr>
        <w:tc>
          <w:tcPr>
            <w:tcW w:w="8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9300" w:type="dxa"/>
            <w:vAlign w:val="bottom"/>
            <w:gridSpan w:val="19"/>
          </w:tcPr>
          <w:p>
            <w:pPr>
              <w:spacing w:after="0" w:line="182" w:lineRule="exact"/>
              <w:rPr>
                <w:sz w:val="20"/>
                <w:szCs w:val="20"/>
                <w:color w:val="auto"/>
              </w:rPr>
            </w:pPr>
            <w:r>
              <w:rPr>
                <w:rFonts w:ascii="Arial" w:cs="Arial" w:eastAsia="Arial" w:hAnsi="Arial"/>
                <w:sz w:val="18"/>
                <w:szCs w:val="18"/>
                <w:color w:val="0000FF"/>
              </w:rPr>
              <w:t>Notes to the Condensed Consolidated Financial Statements (Unaudited)</w:t>
            </w:r>
          </w:p>
        </w:tc>
        <w:tc>
          <w:tcPr>
            <w:tcW w:w="7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160" w:type="dxa"/>
            <w:vAlign w:val="bottom"/>
            <w:gridSpan w:val="2"/>
            <w:vMerge w:val="restart"/>
          </w:tcPr>
          <w:p>
            <w:pPr>
              <w:spacing w:after="0" w:line="202" w:lineRule="exact"/>
              <w:rPr>
                <w:sz w:val="20"/>
                <w:szCs w:val="20"/>
                <w:color w:val="auto"/>
              </w:rPr>
            </w:pPr>
            <w:r>
              <w:rPr>
                <w:rFonts w:ascii="Arial" w:cs="Arial" w:eastAsia="Arial" w:hAnsi="Arial"/>
                <w:sz w:val="18"/>
                <w:szCs w:val="18"/>
                <w:color w:val="auto"/>
              </w:rPr>
              <w:t>Item 2.</w:t>
            </w:r>
          </w:p>
        </w:tc>
        <w:tc>
          <w:tcPr>
            <w:tcW w:w="20" w:type="dxa"/>
            <w:vAlign w:val="bottom"/>
            <w:shd w:val="clear" w:color="auto" w:fill="0000EE"/>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40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00" w:type="dxa"/>
            <w:vAlign w:val="bottom"/>
            <w:tcBorders>
              <w:left w:val="single" w:sz="8" w:color="0000FF"/>
            </w:tcBorders>
            <w:gridSpan w:val="2"/>
            <w:shd w:val="clear" w:color="auto" w:fill="0000FF"/>
          </w:tcPr>
          <w:p>
            <w:pPr>
              <w:spacing w:after="0" w:line="20" w:lineRule="exact"/>
              <w:rPr>
                <w:sz w:val="1"/>
                <w:szCs w:val="1"/>
                <w:color w:val="auto"/>
              </w:rPr>
            </w:pPr>
          </w:p>
        </w:tc>
        <w:tc>
          <w:tcPr>
            <w:tcW w:w="2160" w:type="dxa"/>
            <w:vAlign w:val="bottom"/>
            <w:gridSpan w:val="3"/>
            <w:shd w:val="clear" w:color="auto" w:fill="0000FF"/>
          </w:tcPr>
          <w:p>
            <w:pPr>
              <w:spacing w:after="0" w:line="20" w:lineRule="exact"/>
              <w:rPr>
                <w:sz w:val="1"/>
                <w:szCs w:val="1"/>
                <w:color w:val="auto"/>
              </w:rPr>
            </w:pPr>
          </w:p>
        </w:tc>
        <w:tc>
          <w:tcPr>
            <w:tcW w:w="1060" w:type="dxa"/>
            <w:vAlign w:val="bottom"/>
            <w:gridSpan w:val="2"/>
            <w:shd w:val="clear" w:color="auto" w:fill="0000FF"/>
          </w:tcPr>
          <w:p>
            <w:pPr>
              <w:spacing w:after="0" w:line="20" w:lineRule="exact"/>
              <w:rPr>
                <w:sz w:val="1"/>
                <w:szCs w:val="1"/>
                <w:color w:val="auto"/>
              </w:rPr>
            </w:pPr>
          </w:p>
        </w:tc>
        <w:tc>
          <w:tcPr>
            <w:tcW w:w="1320" w:type="dxa"/>
            <w:vAlign w:val="bottom"/>
            <w:gridSpan w:val="2"/>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380" w:type="dxa"/>
            <w:vAlign w:val="bottom"/>
            <w:gridSpan w:val="2"/>
          </w:tcPr>
          <w:p>
            <w:pPr>
              <w:spacing w:after="0" w:line="20" w:lineRule="exact"/>
              <w:rPr>
                <w:sz w:val="1"/>
                <w:szCs w:val="1"/>
                <w:color w:val="auto"/>
              </w:rPr>
            </w:pPr>
          </w:p>
        </w:tc>
        <w:tc>
          <w:tcPr>
            <w:tcW w:w="780" w:type="dxa"/>
            <w:vAlign w:val="bottom"/>
            <w:vMerge w:val="restart"/>
          </w:tcPr>
          <w:p>
            <w:pPr>
              <w:jc w:val="right"/>
              <w:spacing w:after="0" w:line="202" w:lineRule="exact"/>
              <w:rPr>
                <w:sz w:val="20"/>
                <w:szCs w:val="20"/>
                <w:color w:val="auto"/>
              </w:rPr>
            </w:pPr>
            <w:r>
              <w:rPr>
                <w:rFonts w:ascii="Arial" w:cs="Arial" w:eastAsia="Arial" w:hAnsi="Arial"/>
                <w:sz w:val="18"/>
                <w:szCs w:val="18"/>
                <w:color w:val="auto"/>
              </w:rPr>
              <w:t>19</w:t>
            </w:r>
          </w:p>
        </w:tc>
        <w:tc>
          <w:tcPr>
            <w:tcW w:w="0" w:type="dxa"/>
            <w:vAlign w:val="bottom"/>
          </w:tcPr>
          <w:p>
            <w:pPr>
              <w:spacing w:after="0" w:line="20" w:lineRule="exact"/>
              <w:rPr>
                <w:sz w:val="1"/>
                <w:szCs w:val="1"/>
                <w:color w:val="auto"/>
              </w:rPr>
            </w:pPr>
          </w:p>
        </w:tc>
      </w:tr>
      <w:tr>
        <w:trPr>
          <w:trHeight w:val="183"/>
        </w:trPr>
        <w:tc>
          <w:tcPr>
            <w:tcW w:w="1160" w:type="dxa"/>
            <w:vAlign w:val="bottom"/>
            <w:gridSpan w:val="2"/>
            <w:vMerge w:val="continue"/>
          </w:tcPr>
          <w:p>
            <w:pPr>
              <w:spacing w:after="0"/>
              <w:rPr>
                <w:sz w:val="15"/>
                <w:szCs w:val="15"/>
                <w:color w:val="auto"/>
              </w:rPr>
            </w:pPr>
          </w:p>
        </w:tc>
        <w:tc>
          <w:tcPr>
            <w:tcW w:w="9300" w:type="dxa"/>
            <w:vAlign w:val="bottom"/>
            <w:gridSpan w:val="19"/>
          </w:tcPr>
          <w:p>
            <w:pPr>
              <w:spacing w:after="0" w:line="182" w:lineRule="exact"/>
              <w:rPr>
                <w:sz w:val="20"/>
                <w:szCs w:val="20"/>
                <w:color w:val="auto"/>
              </w:rPr>
            </w:pPr>
            <w:r>
              <w:rPr>
                <w:rFonts w:ascii="Arial" w:cs="Arial" w:eastAsia="Arial" w:hAnsi="Arial"/>
                <w:sz w:val="18"/>
                <w:szCs w:val="18"/>
                <w:color w:val="0000FF"/>
              </w:rPr>
              <w:t>Management’s Discussion and Analysis of Financial Condition and Results of Operations</w:t>
            </w:r>
          </w:p>
        </w:tc>
        <w:tc>
          <w:tcPr>
            <w:tcW w:w="7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160" w:type="dxa"/>
            <w:vAlign w:val="bottom"/>
            <w:gridSpan w:val="2"/>
            <w:vMerge w:val="restart"/>
          </w:tcPr>
          <w:p>
            <w:pPr>
              <w:spacing w:after="0" w:line="202" w:lineRule="exact"/>
              <w:rPr>
                <w:sz w:val="20"/>
                <w:szCs w:val="20"/>
                <w:color w:val="auto"/>
              </w:rPr>
            </w:pPr>
            <w:r>
              <w:rPr>
                <w:rFonts w:ascii="Arial" w:cs="Arial" w:eastAsia="Arial" w:hAnsi="Arial"/>
                <w:sz w:val="18"/>
                <w:szCs w:val="18"/>
                <w:color w:val="auto"/>
              </w:rPr>
              <w:t>Item 3.</w:t>
            </w:r>
          </w:p>
        </w:tc>
        <w:tc>
          <w:tcPr>
            <w:tcW w:w="20" w:type="dxa"/>
            <w:vAlign w:val="bottom"/>
            <w:shd w:val="clear" w:color="auto" w:fill="0000EE"/>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40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00" w:type="dxa"/>
            <w:vAlign w:val="bottom"/>
            <w:tcBorders>
              <w:left w:val="single" w:sz="8" w:color="0000FF"/>
            </w:tcBorders>
            <w:gridSpan w:val="2"/>
            <w:shd w:val="clear" w:color="auto" w:fill="0000FF"/>
          </w:tcPr>
          <w:p>
            <w:pPr>
              <w:spacing w:after="0" w:line="20" w:lineRule="exact"/>
              <w:rPr>
                <w:sz w:val="1"/>
                <w:szCs w:val="1"/>
                <w:color w:val="auto"/>
              </w:rPr>
            </w:pPr>
          </w:p>
        </w:tc>
        <w:tc>
          <w:tcPr>
            <w:tcW w:w="2160" w:type="dxa"/>
            <w:vAlign w:val="bottom"/>
            <w:gridSpan w:val="3"/>
            <w:shd w:val="clear" w:color="auto" w:fill="0000FF"/>
          </w:tcPr>
          <w:p>
            <w:pPr>
              <w:spacing w:after="0" w:line="20" w:lineRule="exact"/>
              <w:rPr>
                <w:sz w:val="1"/>
                <w:szCs w:val="1"/>
                <w:color w:val="auto"/>
              </w:rPr>
            </w:pPr>
          </w:p>
        </w:tc>
        <w:tc>
          <w:tcPr>
            <w:tcW w:w="2380" w:type="dxa"/>
            <w:vAlign w:val="bottom"/>
            <w:gridSpan w:val="4"/>
            <w:shd w:val="clear" w:color="auto" w:fill="0000FF"/>
          </w:tcPr>
          <w:p>
            <w:pPr>
              <w:spacing w:after="0" w:line="20" w:lineRule="exact"/>
              <w:rPr>
                <w:sz w:val="1"/>
                <w:szCs w:val="1"/>
                <w:color w:val="auto"/>
              </w:rPr>
            </w:pPr>
          </w:p>
        </w:tc>
        <w:tc>
          <w:tcPr>
            <w:tcW w:w="840" w:type="dxa"/>
            <w:vAlign w:val="bottom"/>
            <w:vMerge w:val="restart"/>
          </w:tcPr>
          <w:p>
            <w:pPr>
              <w:spacing w:after="0" w:line="20" w:lineRule="exact"/>
              <w:rPr>
                <w:sz w:val="1"/>
                <w:szCs w:val="1"/>
                <w:color w:val="auto"/>
              </w:rPr>
            </w:pPr>
          </w:p>
        </w:tc>
        <w:tc>
          <w:tcPr>
            <w:tcW w:w="1380" w:type="dxa"/>
            <w:vAlign w:val="bottom"/>
            <w:gridSpan w:val="2"/>
            <w:vMerge w:val="restart"/>
          </w:tcPr>
          <w:p>
            <w:pPr>
              <w:spacing w:after="0" w:line="20" w:lineRule="exact"/>
              <w:rPr>
                <w:sz w:val="1"/>
                <w:szCs w:val="1"/>
                <w:color w:val="auto"/>
              </w:rPr>
            </w:pPr>
          </w:p>
        </w:tc>
        <w:tc>
          <w:tcPr>
            <w:tcW w:w="780" w:type="dxa"/>
            <w:vAlign w:val="bottom"/>
            <w:vMerge w:val="restart"/>
          </w:tcPr>
          <w:p>
            <w:pPr>
              <w:jc w:val="right"/>
              <w:spacing w:after="0" w:line="202" w:lineRule="exact"/>
              <w:rPr>
                <w:sz w:val="20"/>
                <w:szCs w:val="20"/>
                <w:color w:val="auto"/>
              </w:rPr>
            </w:pPr>
            <w:r>
              <w:rPr>
                <w:rFonts w:ascii="Arial" w:cs="Arial" w:eastAsia="Arial" w:hAnsi="Arial"/>
                <w:sz w:val="18"/>
                <w:szCs w:val="18"/>
                <w:color w:val="auto"/>
              </w:rPr>
              <w:t>28</w:t>
            </w:r>
          </w:p>
        </w:tc>
        <w:tc>
          <w:tcPr>
            <w:tcW w:w="0" w:type="dxa"/>
            <w:vAlign w:val="bottom"/>
          </w:tcPr>
          <w:p>
            <w:pPr>
              <w:spacing w:after="0" w:line="20" w:lineRule="exact"/>
              <w:rPr>
                <w:sz w:val="1"/>
                <w:szCs w:val="1"/>
                <w:color w:val="auto"/>
              </w:rPr>
            </w:pPr>
          </w:p>
        </w:tc>
      </w:tr>
      <w:tr>
        <w:trPr>
          <w:trHeight w:val="183"/>
        </w:trPr>
        <w:tc>
          <w:tcPr>
            <w:tcW w:w="1160" w:type="dxa"/>
            <w:vAlign w:val="bottom"/>
            <w:gridSpan w:val="2"/>
            <w:vMerge w:val="continue"/>
          </w:tcPr>
          <w:p>
            <w:pPr>
              <w:spacing w:after="0"/>
              <w:rPr>
                <w:sz w:val="15"/>
                <w:szCs w:val="15"/>
                <w:color w:val="auto"/>
              </w:rPr>
            </w:pPr>
          </w:p>
        </w:tc>
        <w:tc>
          <w:tcPr>
            <w:tcW w:w="7080" w:type="dxa"/>
            <w:vAlign w:val="bottom"/>
            <w:gridSpan w:val="16"/>
          </w:tcPr>
          <w:p>
            <w:pPr>
              <w:spacing w:after="0" w:line="182" w:lineRule="exact"/>
              <w:rPr>
                <w:sz w:val="20"/>
                <w:szCs w:val="20"/>
                <w:color w:val="auto"/>
              </w:rPr>
            </w:pPr>
            <w:r>
              <w:rPr>
                <w:rFonts w:ascii="Arial" w:cs="Arial" w:eastAsia="Arial" w:hAnsi="Arial"/>
                <w:sz w:val="18"/>
                <w:szCs w:val="18"/>
                <w:color w:val="0000FF"/>
              </w:rPr>
              <w:t>Quantitative and Qualitative Disclosures About Market Risk</w:t>
            </w:r>
          </w:p>
        </w:tc>
        <w:tc>
          <w:tcPr>
            <w:tcW w:w="840" w:type="dxa"/>
            <w:vAlign w:val="bottom"/>
            <w:vMerge w:val="continue"/>
          </w:tcPr>
          <w:p>
            <w:pPr>
              <w:spacing w:after="0"/>
              <w:rPr>
                <w:sz w:val="15"/>
                <w:szCs w:val="15"/>
                <w:color w:val="auto"/>
              </w:rPr>
            </w:pPr>
          </w:p>
        </w:tc>
        <w:tc>
          <w:tcPr>
            <w:tcW w:w="1380" w:type="dxa"/>
            <w:vAlign w:val="bottom"/>
            <w:gridSpan w:val="2"/>
            <w:vMerge w:val="continue"/>
          </w:tcPr>
          <w:p>
            <w:pPr>
              <w:spacing w:after="0"/>
              <w:rPr>
                <w:sz w:val="15"/>
                <w:szCs w:val="15"/>
                <w:color w:val="auto"/>
              </w:rPr>
            </w:pPr>
          </w:p>
        </w:tc>
        <w:tc>
          <w:tcPr>
            <w:tcW w:w="7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160" w:type="dxa"/>
            <w:vAlign w:val="bottom"/>
            <w:gridSpan w:val="2"/>
            <w:vMerge w:val="restart"/>
          </w:tcPr>
          <w:p>
            <w:pPr>
              <w:spacing w:after="0" w:line="202" w:lineRule="exact"/>
              <w:rPr>
                <w:sz w:val="20"/>
                <w:szCs w:val="20"/>
                <w:color w:val="auto"/>
              </w:rPr>
            </w:pPr>
            <w:r>
              <w:rPr>
                <w:rFonts w:ascii="Arial" w:cs="Arial" w:eastAsia="Arial" w:hAnsi="Arial"/>
                <w:sz w:val="18"/>
                <w:szCs w:val="18"/>
                <w:color w:val="auto"/>
              </w:rPr>
              <w:t>Item 4.</w:t>
            </w:r>
          </w:p>
        </w:tc>
        <w:tc>
          <w:tcPr>
            <w:tcW w:w="20" w:type="dxa"/>
            <w:vAlign w:val="bottom"/>
            <w:shd w:val="clear" w:color="auto" w:fill="0000EE"/>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40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00" w:type="dxa"/>
            <w:vAlign w:val="bottom"/>
            <w:tcBorders>
              <w:left w:val="single" w:sz="8" w:color="0000FF"/>
            </w:tcBorders>
            <w:gridSpan w:val="2"/>
            <w:shd w:val="clear" w:color="auto" w:fill="0000FF"/>
          </w:tcPr>
          <w:p>
            <w:pPr>
              <w:spacing w:after="0" w:line="20" w:lineRule="exact"/>
              <w:rPr>
                <w:sz w:val="1"/>
                <w:szCs w:val="1"/>
                <w:color w:val="auto"/>
              </w:rPr>
            </w:pPr>
          </w:p>
        </w:tc>
        <w:tc>
          <w:tcPr>
            <w:tcW w:w="2160" w:type="dxa"/>
            <w:vAlign w:val="bottom"/>
            <w:gridSpan w:val="3"/>
            <w:shd w:val="clear" w:color="auto" w:fill="0000FF"/>
          </w:tcPr>
          <w:p>
            <w:pPr>
              <w:spacing w:after="0" w:line="20" w:lineRule="exact"/>
              <w:rPr>
                <w:sz w:val="1"/>
                <w:szCs w:val="1"/>
                <w:color w:val="auto"/>
              </w:rPr>
            </w:pPr>
          </w:p>
        </w:tc>
        <w:tc>
          <w:tcPr>
            <w:tcW w:w="3220" w:type="dxa"/>
            <w:vAlign w:val="bottom"/>
            <w:gridSpan w:val="5"/>
            <w:vMerge w:val="restart"/>
          </w:tcPr>
          <w:p>
            <w:pPr>
              <w:spacing w:after="0" w:line="20" w:lineRule="exact"/>
              <w:rPr>
                <w:sz w:val="1"/>
                <w:szCs w:val="1"/>
                <w:color w:val="auto"/>
              </w:rPr>
            </w:pPr>
          </w:p>
        </w:tc>
        <w:tc>
          <w:tcPr>
            <w:tcW w:w="1380" w:type="dxa"/>
            <w:vAlign w:val="bottom"/>
            <w:gridSpan w:val="2"/>
            <w:vMerge w:val="restart"/>
          </w:tcPr>
          <w:p>
            <w:pPr>
              <w:spacing w:after="0" w:line="20" w:lineRule="exact"/>
              <w:rPr>
                <w:sz w:val="1"/>
                <w:szCs w:val="1"/>
                <w:color w:val="auto"/>
              </w:rPr>
            </w:pPr>
          </w:p>
        </w:tc>
        <w:tc>
          <w:tcPr>
            <w:tcW w:w="780" w:type="dxa"/>
            <w:vAlign w:val="bottom"/>
            <w:vMerge w:val="restart"/>
          </w:tcPr>
          <w:p>
            <w:pPr>
              <w:jc w:val="right"/>
              <w:spacing w:after="0" w:line="202" w:lineRule="exact"/>
              <w:rPr>
                <w:sz w:val="20"/>
                <w:szCs w:val="20"/>
                <w:color w:val="auto"/>
              </w:rPr>
            </w:pPr>
            <w:r>
              <w:rPr>
                <w:rFonts w:ascii="Arial" w:cs="Arial" w:eastAsia="Arial" w:hAnsi="Arial"/>
                <w:sz w:val="18"/>
                <w:szCs w:val="18"/>
                <w:color w:val="auto"/>
              </w:rPr>
              <w:t>28</w:t>
            </w:r>
          </w:p>
        </w:tc>
        <w:tc>
          <w:tcPr>
            <w:tcW w:w="0" w:type="dxa"/>
            <w:vAlign w:val="bottom"/>
          </w:tcPr>
          <w:p>
            <w:pPr>
              <w:spacing w:after="0" w:line="20" w:lineRule="exact"/>
              <w:rPr>
                <w:sz w:val="1"/>
                <w:szCs w:val="1"/>
                <w:color w:val="auto"/>
              </w:rPr>
            </w:pPr>
          </w:p>
        </w:tc>
      </w:tr>
      <w:tr>
        <w:trPr>
          <w:trHeight w:val="183"/>
        </w:trPr>
        <w:tc>
          <w:tcPr>
            <w:tcW w:w="1160" w:type="dxa"/>
            <w:vAlign w:val="bottom"/>
            <w:gridSpan w:val="2"/>
            <w:vMerge w:val="continue"/>
          </w:tcPr>
          <w:p>
            <w:pPr>
              <w:spacing w:after="0"/>
              <w:rPr>
                <w:sz w:val="15"/>
                <w:szCs w:val="15"/>
                <w:color w:val="auto"/>
              </w:rPr>
            </w:pPr>
          </w:p>
        </w:tc>
        <w:tc>
          <w:tcPr>
            <w:tcW w:w="4700" w:type="dxa"/>
            <w:vAlign w:val="bottom"/>
            <w:gridSpan w:val="12"/>
          </w:tcPr>
          <w:p>
            <w:pPr>
              <w:spacing w:after="0" w:line="182" w:lineRule="exact"/>
              <w:rPr>
                <w:sz w:val="20"/>
                <w:szCs w:val="20"/>
                <w:color w:val="auto"/>
              </w:rPr>
            </w:pPr>
            <w:r>
              <w:rPr>
                <w:rFonts w:ascii="Arial" w:cs="Arial" w:eastAsia="Arial" w:hAnsi="Arial"/>
                <w:sz w:val="18"/>
                <w:szCs w:val="18"/>
                <w:color w:val="0000FF"/>
              </w:rPr>
              <w:t>Controls and Procedures</w:t>
            </w:r>
          </w:p>
        </w:tc>
        <w:tc>
          <w:tcPr>
            <w:tcW w:w="3220" w:type="dxa"/>
            <w:vAlign w:val="bottom"/>
            <w:gridSpan w:val="5"/>
            <w:vMerge w:val="continue"/>
          </w:tcPr>
          <w:p>
            <w:pPr>
              <w:spacing w:after="0"/>
              <w:rPr>
                <w:sz w:val="15"/>
                <w:szCs w:val="15"/>
                <w:color w:val="auto"/>
              </w:rPr>
            </w:pPr>
          </w:p>
        </w:tc>
        <w:tc>
          <w:tcPr>
            <w:tcW w:w="1380" w:type="dxa"/>
            <w:vAlign w:val="bottom"/>
            <w:gridSpan w:val="2"/>
            <w:vMerge w:val="continue"/>
          </w:tcPr>
          <w:p>
            <w:pPr>
              <w:spacing w:after="0"/>
              <w:rPr>
                <w:sz w:val="15"/>
                <w:szCs w:val="15"/>
                <w:color w:val="auto"/>
              </w:rPr>
            </w:pPr>
          </w:p>
        </w:tc>
        <w:tc>
          <w:tcPr>
            <w:tcW w:w="7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8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40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00" w:type="dxa"/>
            <w:vAlign w:val="bottom"/>
            <w:tcBorders>
              <w:left w:val="single" w:sz="8" w:color="0000FF"/>
            </w:tcBorders>
            <w:gridSpan w:val="2"/>
          </w:tcPr>
          <w:p>
            <w:pPr>
              <w:spacing w:after="0" w:line="20" w:lineRule="exact"/>
              <w:rPr>
                <w:sz w:val="1"/>
                <w:szCs w:val="1"/>
                <w:color w:val="auto"/>
              </w:rPr>
            </w:pPr>
          </w:p>
        </w:tc>
        <w:tc>
          <w:tcPr>
            <w:tcW w:w="5380" w:type="dxa"/>
            <w:vAlign w:val="bottom"/>
            <w:gridSpan w:val="8"/>
          </w:tcPr>
          <w:p>
            <w:pPr>
              <w:spacing w:after="0" w:line="20" w:lineRule="exact"/>
              <w:rPr>
                <w:sz w:val="1"/>
                <w:szCs w:val="1"/>
                <w:color w:val="auto"/>
              </w:rPr>
            </w:pPr>
          </w:p>
        </w:tc>
        <w:tc>
          <w:tcPr>
            <w:tcW w:w="1380" w:type="dxa"/>
            <w:vAlign w:val="bottom"/>
            <w:gridSpan w:val="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8"/>
        </w:trPr>
        <w:tc>
          <w:tcPr>
            <w:tcW w:w="1160" w:type="dxa"/>
            <w:vAlign w:val="bottom"/>
            <w:gridSpan w:val="2"/>
          </w:tcPr>
          <w:p>
            <w:pPr>
              <w:spacing w:after="0"/>
              <w:rPr>
                <w:sz w:val="20"/>
                <w:szCs w:val="20"/>
                <w:color w:val="auto"/>
              </w:rPr>
            </w:pPr>
            <w:r>
              <w:rPr>
                <w:rFonts w:ascii="Arial" w:cs="Arial" w:eastAsia="Arial" w:hAnsi="Arial"/>
                <w:sz w:val="18"/>
                <w:szCs w:val="18"/>
                <w:b w:val="1"/>
                <w:bCs w:val="1"/>
                <w:color w:val="auto"/>
              </w:rPr>
              <w:t>PART II.</w:t>
            </w:r>
          </w:p>
        </w:tc>
        <w:tc>
          <w:tcPr>
            <w:tcW w:w="9300" w:type="dxa"/>
            <w:vAlign w:val="bottom"/>
            <w:gridSpan w:val="19"/>
          </w:tcPr>
          <w:p>
            <w:pPr>
              <w:spacing w:after="0"/>
              <w:rPr>
                <w:sz w:val="20"/>
                <w:szCs w:val="20"/>
                <w:color w:val="auto"/>
              </w:rPr>
            </w:pPr>
            <w:r>
              <w:rPr>
                <w:rFonts w:ascii="Arial" w:cs="Arial" w:eastAsia="Arial" w:hAnsi="Arial"/>
                <w:sz w:val="18"/>
                <w:szCs w:val="18"/>
                <w:color w:val="0000FF"/>
              </w:rPr>
              <w:t>OTHER INFORMATION</w:t>
            </w:r>
          </w:p>
        </w:tc>
        <w:tc>
          <w:tcPr>
            <w:tcW w:w="780" w:type="dxa"/>
            <w:vAlign w:val="bottom"/>
          </w:tcPr>
          <w:p>
            <w:pPr>
              <w:jc w:val="right"/>
              <w:spacing w:after="0"/>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20"/>
        </w:trPr>
        <w:tc>
          <w:tcPr>
            <w:tcW w:w="1160" w:type="dxa"/>
            <w:vAlign w:val="bottom"/>
            <w:gridSpan w:val="2"/>
            <w:vMerge w:val="restart"/>
          </w:tcPr>
          <w:p>
            <w:pPr>
              <w:spacing w:after="0" w:line="202" w:lineRule="exact"/>
              <w:rPr>
                <w:sz w:val="20"/>
                <w:szCs w:val="20"/>
                <w:color w:val="auto"/>
              </w:rPr>
            </w:pPr>
            <w:r>
              <w:rPr>
                <w:rFonts w:ascii="Arial" w:cs="Arial" w:eastAsia="Arial" w:hAnsi="Arial"/>
                <w:sz w:val="18"/>
                <w:szCs w:val="18"/>
                <w:color w:val="auto"/>
              </w:rPr>
              <w:t>Item 1.</w:t>
            </w:r>
          </w:p>
        </w:tc>
        <w:tc>
          <w:tcPr>
            <w:tcW w:w="20" w:type="dxa"/>
            <w:vAlign w:val="bottom"/>
            <w:shd w:val="clear" w:color="auto" w:fill="0000EE"/>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40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00" w:type="dxa"/>
            <w:vAlign w:val="bottom"/>
            <w:gridSpan w:val="2"/>
            <w:vMerge w:val="restart"/>
          </w:tcPr>
          <w:p>
            <w:pPr>
              <w:spacing w:after="0" w:line="20" w:lineRule="exact"/>
              <w:rPr>
                <w:sz w:val="1"/>
                <w:szCs w:val="1"/>
                <w:color w:val="auto"/>
              </w:rPr>
            </w:pPr>
          </w:p>
        </w:tc>
        <w:tc>
          <w:tcPr>
            <w:tcW w:w="5380" w:type="dxa"/>
            <w:vAlign w:val="bottom"/>
            <w:gridSpan w:val="8"/>
            <w:vMerge w:val="restart"/>
          </w:tcPr>
          <w:p>
            <w:pPr>
              <w:spacing w:after="0" w:line="20" w:lineRule="exact"/>
              <w:rPr>
                <w:sz w:val="1"/>
                <w:szCs w:val="1"/>
                <w:color w:val="auto"/>
              </w:rPr>
            </w:pPr>
          </w:p>
        </w:tc>
        <w:tc>
          <w:tcPr>
            <w:tcW w:w="1380" w:type="dxa"/>
            <w:vAlign w:val="bottom"/>
            <w:gridSpan w:val="2"/>
            <w:vMerge w:val="restart"/>
          </w:tcPr>
          <w:p>
            <w:pPr>
              <w:spacing w:after="0" w:line="20" w:lineRule="exact"/>
              <w:rPr>
                <w:sz w:val="1"/>
                <w:szCs w:val="1"/>
                <w:color w:val="auto"/>
              </w:rPr>
            </w:pPr>
          </w:p>
        </w:tc>
        <w:tc>
          <w:tcPr>
            <w:tcW w:w="780" w:type="dxa"/>
            <w:vAlign w:val="bottom"/>
            <w:vMerge w:val="restart"/>
          </w:tcPr>
          <w:p>
            <w:pPr>
              <w:jc w:val="right"/>
              <w:spacing w:after="0" w:line="202" w:lineRule="exact"/>
              <w:rPr>
                <w:sz w:val="20"/>
                <w:szCs w:val="20"/>
                <w:color w:val="auto"/>
              </w:rPr>
            </w:pPr>
            <w:r>
              <w:rPr>
                <w:rFonts w:ascii="Arial" w:cs="Arial" w:eastAsia="Arial" w:hAnsi="Arial"/>
                <w:sz w:val="18"/>
                <w:szCs w:val="18"/>
                <w:color w:val="auto"/>
              </w:rPr>
              <w:t>29</w:t>
            </w:r>
          </w:p>
        </w:tc>
        <w:tc>
          <w:tcPr>
            <w:tcW w:w="0" w:type="dxa"/>
            <w:vAlign w:val="bottom"/>
          </w:tcPr>
          <w:p>
            <w:pPr>
              <w:spacing w:after="0" w:line="20" w:lineRule="exact"/>
              <w:rPr>
                <w:sz w:val="1"/>
                <w:szCs w:val="1"/>
                <w:color w:val="auto"/>
              </w:rPr>
            </w:pPr>
          </w:p>
        </w:tc>
      </w:tr>
      <w:tr>
        <w:trPr>
          <w:trHeight w:val="183"/>
        </w:trPr>
        <w:tc>
          <w:tcPr>
            <w:tcW w:w="1160" w:type="dxa"/>
            <w:vAlign w:val="bottom"/>
            <w:gridSpan w:val="2"/>
            <w:vMerge w:val="continue"/>
          </w:tcPr>
          <w:p>
            <w:pPr>
              <w:spacing w:after="0"/>
              <w:rPr>
                <w:sz w:val="15"/>
                <w:szCs w:val="15"/>
                <w:color w:val="auto"/>
              </w:rPr>
            </w:pPr>
          </w:p>
        </w:tc>
        <w:tc>
          <w:tcPr>
            <w:tcW w:w="1940" w:type="dxa"/>
            <w:vAlign w:val="bottom"/>
            <w:gridSpan w:val="7"/>
          </w:tcPr>
          <w:p>
            <w:pPr>
              <w:spacing w:after="0" w:line="182" w:lineRule="exact"/>
              <w:rPr>
                <w:sz w:val="20"/>
                <w:szCs w:val="20"/>
                <w:color w:val="auto"/>
              </w:rPr>
            </w:pPr>
            <w:r>
              <w:rPr>
                <w:rFonts w:ascii="Arial" w:cs="Arial" w:eastAsia="Arial" w:hAnsi="Arial"/>
                <w:sz w:val="18"/>
                <w:szCs w:val="18"/>
                <w:color w:val="0000FF"/>
              </w:rPr>
              <w:t>Legal Proceedings</w:t>
            </w:r>
          </w:p>
        </w:tc>
        <w:tc>
          <w:tcPr>
            <w:tcW w:w="600" w:type="dxa"/>
            <w:vAlign w:val="bottom"/>
            <w:gridSpan w:val="2"/>
            <w:vMerge w:val="continue"/>
          </w:tcPr>
          <w:p>
            <w:pPr>
              <w:spacing w:after="0"/>
              <w:rPr>
                <w:sz w:val="15"/>
                <w:szCs w:val="15"/>
                <w:color w:val="auto"/>
              </w:rPr>
            </w:pPr>
          </w:p>
        </w:tc>
        <w:tc>
          <w:tcPr>
            <w:tcW w:w="5380" w:type="dxa"/>
            <w:vAlign w:val="bottom"/>
            <w:gridSpan w:val="8"/>
            <w:vMerge w:val="continue"/>
          </w:tcPr>
          <w:p>
            <w:pPr>
              <w:spacing w:after="0"/>
              <w:rPr>
                <w:sz w:val="15"/>
                <w:szCs w:val="15"/>
                <w:color w:val="auto"/>
              </w:rPr>
            </w:pPr>
          </w:p>
        </w:tc>
        <w:tc>
          <w:tcPr>
            <w:tcW w:w="1380" w:type="dxa"/>
            <w:vAlign w:val="bottom"/>
            <w:gridSpan w:val="2"/>
            <w:vMerge w:val="continue"/>
          </w:tcPr>
          <w:p>
            <w:pPr>
              <w:spacing w:after="0"/>
              <w:rPr>
                <w:sz w:val="15"/>
                <w:szCs w:val="15"/>
                <w:color w:val="auto"/>
              </w:rPr>
            </w:pPr>
          </w:p>
        </w:tc>
        <w:tc>
          <w:tcPr>
            <w:tcW w:w="7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160" w:type="dxa"/>
            <w:vAlign w:val="bottom"/>
            <w:gridSpan w:val="2"/>
            <w:vMerge w:val="restart"/>
          </w:tcPr>
          <w:p>
            <w:pPr>
              <w:spacing w:after="0" w:line="202" w:lineRule="exact"/>
              <w:rPr>
                <w:sz w:val="20"/>
                <w:szCs w:val="20"/>
                <w:color w:val="auto"/>
              </w:rPr>
            </w:pPr>
            <w:r>
              <w:rPr>
                <w:rFonts w:ascii="Arial" w:cs="Arial" w:eastAsia="Arial" w:hAnsi="Arial"/>
                <w:sz w:val="18"/>
                <w:szCs w:val="18"/>
                <w:color w:val="auto"/>
              </w:rPr>
              <w:t>Item 1A.</w:t>
            </w:r>
          </w:p>
        </w:tc>
        <w:tc>
          <w:tcPr>
            <w:tcW w:w="20" w:type="dxa"/>
            <w:vAlign w:val="bottom"/>
            <w:shd w:val="clear" w:color="auto" w:fill="0000EE"/>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40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40" w:type="dxa"/>
            <w:vAlign w:val="bottom"/>
            <w:vMerge w:val="restart"/>
          </w:tcPr>
          <w:p>
            <w:pPr>
              <w:spacing w:after="0" w:line="20" w:lineRule="exact"/>
              <w:rPr>
                <w:sz w:val="1"/>
                <w:szCs w:val="1"/>
                <w:color w:val="auto"/>
              </w:rPr>
            </w:pPr>
          </w:p>
        </w:tc>
        <w:tc>
          <w:tcPr>
            <w:tcW w:w="620" w:type="dxa"/>
            <w:vAlign w:val="bottom"/>
            <w:gridSpan w:val="3"/>
            <w:vMerge w:val="restart"/>
          </w:tcPr>
          <w:p>
            <w:pPr>
              <w:spacing w:after="0" w:line="20" w:lineRule="exact"/>
              <w:rPr>
                <w:sz w:val="1"/>
                <w:szCs w:val="1"/>
                <w:color w:val="auto"/>
              </w:rPr>
            </w:pPr>
          </w:p>
        </w:tc>
        <w:tc>
          <w:tcPr>
            <w:tcW w:w="5380" w:type="dxa"/>
            <w:vAlign w:val="bottom"/>
            <w:gridSpan w:val="8"/>
            <w:vMerge w:val="restart"/>
          </w:tcPr>
          <w:p>
            <w:pPr>
              <w:spacing w:after="0" w:line="20" w:lineRule="exact"/>
              <w:rPr>
                <w:sz w:val="1"/>
                <w:szCs w:val="1"/>
                <w:color w:val="auto"/>
              </w:rPr>
            </w:pPr>
          </w:p>
        </w:tc>
        <w:tc>
          <w:tcPr>
            <w:tcW w:w="1380" w:type="dxa"/>
            <w:vAlign w:val="bottom"/>
            <w:gridSpan w:val="2"/>
            <w:vMerge w:val="restart"/>
          </w:tcPr>
          <w:p>
            <w:pPr>
              <w:spacing w:after="0" w:line="20" w:lineRule="exact"/>
              <w:rPr>
                <w:sz w:val="1"/>
                <w:szCs w:val="1"/>
                <w:color w:val="auto"/>
              </w:rPr>
            </w:pPr>
          </w:p>
        </w:tc>
        <w:tc>
          <w:tcPr>
            <w:tcW w:w="780" w:type="dxa"/>
            <w:vAlign w:val="bottom"/>
            <w:vMerge w:val="restart"/>
          </w:tcPr>
          <w:p>
            <w:pPr>
              <w:jc w:val="right"/>
              <w:spacing w:after="0" w:line="202" w:lineRule="exact"/>
              <w:rPr>
                <w:sz w:val="20"/>
                <w:szCs w:val="20"/>
                <w:color w:val="auto"/>
              </w:rPr>
            </w:pPr>
            <w:r>
              <w:rPr>
                <w:rFonts w:ascii="Arial" w:cs="Arial" w:eastAsia="Arial" w:hAnsi="Arial"/>
                <w:sz w:val="18"/>
                <w:szCs w:val="18"/>
                <w:color w:val="auto"/>
              </w:rPr>
              <w:t>29</w:t>
            </w:r>
          </w:p>
        </w:tc>
        <w:tc>
          <w:tcPr>
            <w:tcW w:w="0" w:type="dxa"/>
            <w:vAlign w:val="bottom"/>
          </w:tcPr>
          <w:p>
            <w:pPr>
              <w:spacing w:after="0" w:line="20" w:lineRule="exact"/>
              <w:rPr>
                <w:sz w:val="1"/>
                <w:szCs w:val="1"/>
                <w:color w:val="auto"/>
              </w:rPr>
            </w:pPr>
          </w:p>
        </w:tc>
      </w:tr>
      <w:tr>
        <w:trPr>
          <w:trHeight w:val="183"/>
        </w:trPr>
        <w:tc>
          <w:tcPr>
            <w:tcW w:w="1160" w:type="dxa"/>
            <w:vAlign w:val="bottom"/>
            <w:gridSpan w:val="2"/>
            <w:vMerge w:val="continue"/>
          </w:tcPr>
          <w:p>
            <w:pPr>
              <w:spacing w:after="0"/>
              <w:rPr>
                <w:sz w:val="15"/>
                <w:szCs w:val="15"/>
                <w:color w:val="auto"/>
              </w:rPr>
            </w:pPr>
          </w:p>
        </w:tc>
        <w:tc>
          <w:tcPr>
            <w:tcW w:w="1480" w:type="dxa"/>
            <w:vAlign w:val="bottom"/>
            <w:gridSpan w:val="5"/>
          </w:tcPr>
          <w:p>
            <w:pPr>
              <w:spacing w:after="0" w:line="182" w:lineRule="exact"/>
              <w:rPr>
                <w:sz w:val="20"/>
                <w:szCs w:val="20"/>
                <w:color w:val="auto"/>
              </w:rPr>
            </w:pPr>
            <w:r>
              <w:rPr>
                <w:rFonts w:ascii="Arial" w:cs="Arial" w:eastAsia="Arial" w:hAnsi="Arial"/>
                <w:sz w:val="18"/>
                <w:szCs w:val="18"/>
                <w:color w:val="0000FF"/>
              </w:rPr>
              <w:t>Risk Factors</w:t>
            </w:r>
          </w:p>
        </w:tc>
        <w:tc>
          <w:tcPr>
            <w:tcW w:w="440" w:type="dxa"/>
            <w:vAlign w:val="bottom"/>
            <w:vMerge w:val="continue"/>
          </w:tcPr>
          <w:p>
            <w:pPr>
              <w:spacing w:after="0"/>
              <w:rPr>
                <w:sz w:val="15"/>
                <w:szCs w:val="15"/>
                <w:color w:val="auto"/>
              </w:rPr>
            </w:pPr>
          </w:p>
        </w:tc>
        <w:tc>
          <w:tcPr>
            <w:tcW w:w="620" w:type="dxa"/>
            <w:vAlign w:val="bottom"/>
            <w:gridSpan w:val="3"/>
            <w:vMerge w:val="continue"/>
          </w:tcPr>
          <w:p>
            <w:pPr>
              <w:spacing w:after="0"/>
              <w:rPr>
                <w:sz w:val="15"/>
                <w:szCs w:val="15"/>
                <w:color w:val="auto"/>
              </w:rPr>
            </w:pPr>
          </w:p>
        </w:tc>
        <w:tc>
          <w:tcPr>
            <w:tcW w:w="5380" w:type="dxa"/>
            <w:vAlign w:val="bottom"/>
            <w:gridSpan w:val="8"/>
            <w:vMerge w:val="continue"/>
          </w:tcPr>
          <w:p>
            <w:pPr>
              <w:spacing w:after="0"/>
              <w:rPr>
                <w:sz w:val="15"/>
                <w:szCs w:val="15"/>
                <w:color w:val="auto"/>
              </w:rPr>
            </w:pPr>
          </w:p>
        </w:tc>
        <w:tc>
          <w:tcPr>
            <w:tcW w:w="1380" w:type="dxa"/>
            <w:vAlign w:val="bottom"/>
            <w:gridSpan w:val="2"/>
            <w:vMerge w:val="continue"/>
          </w:tcPr>
          <w:p>
            <w:pPr>
              <w:spacing w:after="0"/>
              <w:rPr>
                <w:sz w:val="15"/>
                <w:szCs w:val="15"/>
                <w:color w:val="auto"/>
              </w:rPr>
            </w:pPr>
          </w:p>
        </w:tc>
        <w:tc>
          <w:tcPr>
            <w:tcW w:w="7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160" w:type="dxa"/>
            <w:vAlign w:val="bottom"/>
            <w:gridSpan w:val="2"/>
            <w:vMerge w:val="restart"/>
          </w:tcPr>
          <w:p>
            <w:pPr>
              <w:spacing w:after="0" w:line="202" w:lineRule="exact"/>
              <w:rPr>
                <w:sz w:val="20"/>
                <w:szCs w:val="20"/>
                <w:color w:val="auto"/>
              </w:rPr>
            </w:pPr>
            <w:r>
              <w:rPr>
                <w:rFonts w:ascii="Arial" w:cs="Arial" w:eastAsia="Arial" w:hAnsi="Arial"/>
                <w:sz w:val="18"/>
                <w:szCs w:val="18"/>
                <w:color w:val="auto"/>
              </w:rPr>
              <w:t>Item 2.</w:t>
            </w:r>
          </w:p>
        </w:tc>
        <w:tc>
          <w:tcPr>
            <w:tcW w:w="20" w:type="dxa"/>
            <w:vAlign w:val="bottom"/>
            <w:shd w:val="clear" w:color="auto" w:fill="0000EE"/>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400" w:type="dxa"/>
            <w:vAlign w:val="bottom"/>
            <w:tcBorders>
              <w:right w:val="single" w:sz="8" w:color="0000EE"/>
            </w:tcBorders>
            <w:shd w:val="clear" w:color="auto" w:fill="0000FF"/>
          </w:tcPr>
          <w:p>
            <w:pPr>
              <w:spacing w:after="0" w:line="20" w:lineRule="exact"/>
              <w:rPr>
                <w:sz w:val="1"/>
                <w:szCs w:val="1"/>
                <w:color w:val="auto"/>
              </w:rPr>
            </w:pPr>
          </w:p>
        </w:tc>
        <w:tc>
          <w:tcPr>
            <w:tcW w:w="8280" w:type="dxa"/>
            <w:vAlign w:val="bottom"/>
            <w:gridSpan w:val="16"/>
            <w:vMerge w:val="restart"/>
          </w:tcPr>
          <w:p>
            <w:pPr>
              <w:ind w:left="60"/>
              <w:spacing w:after="0" w:line="202" w:lineRule="exact"/>
              <w:rPr>
                <w:sz w:val="20"/>
                <w:szCs w:val="20"/>
                <w:color w:val="auto"/>
              </w:rPr>
            </w:pPr>
            <w:r>
              <w:rPr>
                <w:rFonts w:ascii="Arial" w:cs="Arial" w:eastAsia="Arial" w:hAnsi="Arial"/>
                <w:sz w:val="18"/>
                <w:szCs w:val="18"/>
                <w:color w:val="0000FF"/>
              </w:rPr>
              <w:t>Sales of Equity Securities, Use of Proceeds and Issuer Purchases of Equity Securities</w:t>
            </w:r>
          </w:p>
        </w:tc>
        <w:tc>
          <w:tcPr>
            <w:tcW w:w="780" w:type="dxa"/>
            <w:vAlign w:val="bottom"/>
            <w:vMerge w:val="restart"/>
          </w:tcPr>
          <w:p>
            <w:pPr>
              <w:jc w:val="right"/>
              <w:spacing w:after="0" w:line="202" w:lineRule="exact"/>
              <w:rPr>
                <w:sz w:val="20"/>
                <w:szCs w:val="20"/>
                <w:color w:val="auto"/>
              </w:rPr>
            </w:pPr>
            <w:r>
              <w:rPr>
                <w:rFonts w:ascii="Arial" w:cs="Arial" w:eastAsia="Arial" w:hAnsi="Arial"/>
                <w:sz w:val="18"/>
                <w:szCs w:val="18"/>
                <w:color w:val="auto"/>
              </w:rPr>
              <w:t>31</w:t>
            </w:r>
          </w:p>
        </w:tc>
        <w:tc>
          <w:tcPr>
            <w:tcW w:w="0" w:type="dxa"/>
            <w:vAlign w:val="bottom"/>
          </w:tcPr>
          <w:p>
            <w:pPr>
              <w:spacing w:after="0" w:line="20" w:lineRule="exact"/>
              <w:rPr>
                <w:sz w:val="1"/>
                <w:szCs w:val="1"/>
                <w:color w:val="auto"/>
              </w:rPr>
            </w:pPr>
          </w:p>
        </w:tc>
      </w:tr>
      <w:tr>
        <w:trPr>
          <w:trHeight w:val="183"/>
        </w:trPr>
        <w:tc>
          <w:tcPr>
            <w:tcW w:w="1160" w:type="dxa"/>
            <w:vAlign w:val="bottom"/>
            <w:gridSpan w:val="2"/>
            <w:vMerge w:val="continue"/>
          </w:tcPr>
          <w:p>
            <w:pPr>
              <w:spacing w:after="0"/>
              <w:rPr>
                <w:sz w:val="15"/>
                <w:szCs w:val="15"/>
                <w:color w:val="auto"/>
              </w:rPr>
            </w:pPr>
          </w:p>
        </w:tc>
        <w:tc>
          <w:tcPr>
            <w:tcW w:w="1020" w:type="dxa"/>
            <w:vAlign w:val="bottom"/>
            <w:gridSpan w:val="3"/>
          </w:tcPr>
          <w:p>
            <w:pPr>
              <w:spacing w:after="0" w:line="182" w:lineRule="exact"/>
              <w:rPr>
                <w:sz w:val="20"/>
                <w:szCs w:val="20"/>
                <w:color w:val="auto"/>
              </w:rPr>
            </w:pPr>
            <w:r>
              <w:rPr>
                <w:rFonts w:ascii="Arial" w:cs="Arial" w:eastAsia="Arial" w:hAnsi="Arial"/>
                <w:sz w:val="18"/>
                <w:szCs w:val="18"/>
                <w:color w:val="0000FF"/>
                <w:w w:val="95"/>
              </w:rPr>
              <w:t>Unregistered</w:t>
            </w:r>
          </w:p>
        </w:tc>
        <w:tc>
          <w:tcPr>
            <w:tcW w:w="8280" w:type="dxa"/>
            <w:vAlign w:val="bottom"/>
            <w:gridSpan w:val="16"/>
            <w:vMerge w:val="continue"/>
          </w:tcPr>
          <w:p>
            <w:pPr>
              <w:spacing w:after="0"/>
              <w:rPr>
                <w:sz w:val="15"/>
                <w:szCs w:val="15"/>
                <w:color w:val="auto"/>
              </w:rPr>
            </w:pPr>
          </w:p>
        </w:tc>
        <w:tc>
          <w:tcPr>
            <w:tcW w:w="7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160" w:type="dxa"/>
            <w:vAlign w:val="bottom"/>
            <w:gridSpan w:val="2"/>
            <w:vMerge w:val="restart"/>
          </w:tcPr>
          <w:p>
            <w:pPr>
              <w:spacing w:after="0" w:line="202" w:lineRule="exact"/>
              <w:rPr>
                <w:sz w:val="20"/>
                <w:szCs w:val="20"/>
                <w:color w:val="auto"/>
              </w:rPr>
            </w:pPr>
            <w:r>
              <w:rPr>
                <w:rFonts w:ascii="Arial" w:cs="Arial" w:eastAsia="Arial" w:hAnsi="Arial"/>
                <w:sz w:val="18"/>
                <w:szCs w:val="18"/>
                <w:color w:val="auto"/>
              </w:rPr>
              <w:t>Item 3.</w:t>
            </w:r>
          </w:p>
        </w:tc>
        <w:tc>
          <w:tcPr>
            <w:tcW w:w="20" w:type="dxa"/>
            <w:vAlign w:val="bottom"/>
            <w:shd w:val="clear" w:color="auto" w:fill="0000EE"/>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780" w:type="dxa"/>
            <w:vAlign w:val="bottom"/>
            <w:gridSpan w:val="2"/>
            <w:shd w:val="clear" w:color="auto" w:fill="0000FF"/>
          </w:tcPr>
          <w:p>
            <w:pPr>
              <w:spacing w:after="0" w:line="20" w:lineRule="exact"/>
              <w:rPr>
                <w:sz w:val="1"/>
                <w:szCs w:val="1"/>
                <w:color w:val="auto"/>
              </w:rPr>
            </w:pPr>
          </w:p>
        </w:tc>
        <w:tc>
          <w:tcPr>
            <w:tcW w:w="520" w:type="dxa"/>
            <w:vAlign w:val="bottom"/>
            <w:gridSpan w:val="2"/>
            <w:shd w:val="clear" w:color="auto" w:fill="0000FF"/>
          </w:tcPr>
          <w:p>
            <w:pPr>
              <w:spacing w:after="0" w:line="20" w:lineRule="exact"/>
              <w:rPr>
                <w:sz w:val="1"/>
                <w:szCs w:val="1"/>
                <w:color w:val="auto"/>
              </w:rPr>
            </w:pPr>
          </w:p>
        </w:tc>
        <w:tc>
          <w:tcPr>
            <w:tcW w:w="620" w:type="dxa"/>
            <w:vAlign w:val="bottom"/>
            <w:gridSpan w:val="3"/>
            <w:shd w:val="clear" w:color="auto" w:fill="0000FF"/>
          </w:tcPr>
          <w:p>
            <w:pPr>
              <w:spacing w:after="0" w:line="20" w:lineRule="exact"/>
              <w:rPr>
                <w:sz w:val="1"/>
                <w:szCs w:val="1"/>
                <w:color w:val="auto"/>
              </w:rPr>
            </w:pPr>
          </w:p>
        </w:tc>
        <w:tc>
          <w:tcPr>
            <w:tcW w:w="5380" w:type="dxa"/>
            <w:vAlign w:val="bottom"/>
            <w:gridSpan w:val="8"/>
            <w:shd w:val="clear" w:color="auto" w:fill="0000FF"/>
          </w:tcPr>
          <w:p>
            <w:pPr>
              <w:spacing w:after="0" w:line="20" w:lineRule="exact"/>
              <w:rPr>
                <w:sz w:val="1"/>
                <w:szCs w:val="1"/>
                <w:color w:val="auto"/>
              </w:rPr>
            </w:pPr>
          </w:p>
        </w:tc>
        <w:tc>
          <w:tcPr>
            <w:tcW w:w="1380" w:type="dxa"/>
            <w:vAlign w:val="bottom"/>
            <w:gridSpan w:val="2"/>
            <w:vMerge w:val="restart"/>
          </w:tcPr>
          <w:p>
            <w:pPr>
              <w:spacing w:after="0" w:line="20" w:lineRule="exact"/>
              <w:rPr>
                <w:sz w:val="1"/>
                <w:szCs w:val="1"/>
                <w:color w:val="auto"/>
              </w:rPr>
            </w:pPr>
          </w:p>
        </w:tc>
        <w:tc>
          <w:tcPr>
            <w:tcW w:w="780" w:type="dxa"/>
            <w:vAlign w:val="bottom"/>
            <w:vMerge w:val="restart"/>
          </w:tcPr>
          <w:p>
            <w:pPr>
              <w:jc w:val="right"/>
              <w:spacing w:after="0" w:line="202" w:lineRule="exact"/>
              <w:rPr>
                <w:sz w:val="20"/>
                <w:szCs w:val="20"/>
                <w:color w:val="auto"/>
              </w:rPr>
            </w:pPr>
            <w:r>
              <w:rPr>
                <w:rFonts w:ascii="Arial" w:cs="Arial" w:eastAsia="Arial" w:hAnsi="Arial"/>
                <w:sz w:val="18"/>
                <w:szCs w:val="18"/>
                <w:color w:val="auto"/>
              </w:rPr>
              <w:t>31</w:t>
            </w:r>
          </w:p>
        </w:tc>
        <w:tc>
          <w:tcPr>
            <w:tcW w:w="0" w:type="dxa"/>
            <w:vAlign w:val="bottom"/>
          </w:tcPr>
          <w:p>
            <w:pPr>
              <w:spacing w:after="0" w:line="20" w:lineRule="exact"/>
              <w:rPr>
                <w:sz w:val="1"/>
                <w:szCs w:val="1"/>
                <w:color w:val="auto"/>
              </w:rPr>
            </w:pPr>
          </w:p>
        </w:tc>
      </w:tr>
      <w:tr>
        <w:trPr>
          <w:trHeight w:val="183"/>
        </w:trPr>
        <w:tc>
          <w:tcPr>
            <w:tcW w:w="1160" w:type="dxa"/>
            <w:vAlign w:val="bottom"/>
            <w:gridSpan w:val="2"/>
            <w:vMerge w:val="continue"/>
          </w:tcPr>
          <w:p>
            <w:pPr>
              <w:spacing w:after="0"/>
              <w:rPr>
                <w:sz w:val="15"/>
                <w:szCs w:val="15"/>
                <w:color w:val="auto"/>
              </w:rPr>
            </w:pPr>
          </w:p>
        </w:tc>
        <w:tc>
          <w:tcPr>
            <w:tcW w:w="7920" w:type="dxa"/>
            <w:vAlign w:val="bottom"/>
            <w:gridSpan w:val="17"/>
          </w:tcPr>
          <w:p>
            <w:pPr>
              <w:spacing w:after="0" w:line="182" w:lineRule="exact"/>
              <w:rPr>
                <w:sz w:val="20"/>
                <w:szCs w:val="20"/>
                <w:color w:val="auto"/>
              </w:rPr>
            </w:pPr>
            <w:r>
              <w:rPr>
                <w:rFonts w:ascii="Arial" w:cs="Arial" w:eastAsia="Arial" w:hAnsi="Arial"/>
                <w:sz w:val="18"/>
                <w:szCs w:val="18"/>
                <w:color w:val="0000FF"/>
              </w:rPr>
              <w:t>Defaults Upon Senior Securities</w:t>
            </w:r>
          </w:p>
        </w:tc>
        <w:tc>
          <w:tcPr>
            <w:tcW w:w="1380" w:type="dxa"/>
            <w:vAlign w:val="bottom"/>
            <w:gridSpan w:val="2"/>
            <w:vMerge w:val="continue"/>
          </w:tcPr>
          <w:p>
            <w:pPr>
              <w:spacing w:after="0"/>
              <w:rPr>
                <w:sz w:val="15"/>
                <w:szCs w:val="15"/>
                <w:color w:val="auto"/>
              </w:rPr>
            </w:pPr>
          </w:p>
        </w:tc>
        <w:tc>
          <w:tcPr>
            <w:tcW w:w="7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160" w:type="dxa"/>
            <w:vAlign w:val="bottom"/>
            <w:gridSpan w:val="2"/>
            <w:vMerge w:val="restart"/>
          </w:tcPr>
          <w:p>
            <w:pPr>
              <w:spacing w:after="0" w:line="202" w:lineRule="exact"/>
              <w:rPr>
                <w:sz w:val="20"/>
                <w:szCs w:val="20"/>
                <w:color w:val="auto"/>
              </w:rPr>
            </w:pPr>
            <w:r>
              <w:rPr>
                <w:rFonts w:ascii="Arial" w:cs="Arial" w:eastAsia="Arial" w:hAnsi="Arial"/>
                <w:sz w:val="18"/>
                <w:szCs w:val="18"/>
                <w:color w:val="auto"/>
              </w:rPr>
              <w:t>Item 4.</w:t>
            </w:r>
          </w:p>
        </w:tc>
        <w:tc>
          <w:tcPr>
            <w:tcW w:w="20" w:type="dxa"/>
            <w:vAlign w:val="bottom"/>
            <w:shd w:val="clear" w:color="auto" w:fill="0000EE"/>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780" w:type="dxa"/>
            <w:vAlign w:val="bottom"/>
            <w:gridSpan w:val="2"/>
            <w:shd w:val="clear" w:color="auto" w:fill="0000FF"/>
          </w:tcPr>
          <w:p>
            <w:pPr>
              <w:spacing w:after="0" w:line="20" w:lineRule="exact"/>
              <w:rPr>
                <w:sz w:val="1"/>
                <w:szCs w:val="1"/>
                <w:color w:val="auto"/>
              </w:rPr>
            </w:pPr>
          </w:p>
        </w:tc>
        <w:tc>
          <w:tcPr>
            <w:tcW w:w="520" w:type="dxa"/>
            <w:vAlign w:val="bottom"/>
            <w:gridSpan w:val="2"/>
            <w:shd w:val="clear" w:color="auto" w:fill="0000FF"/>
          </w:tcPr>
          <w:p>
            <w:pPr>
              <w:spacing w:after="0" w:line="20" w:lineRule="exact"/>
              <w:rPr>
                <w:sz w:val="1"/>
                <w:szCs w:val="1"/>
                <w:color w:val="auto"/>
              </w:rPr>
            </w:pPr>
          </w:p>
        </w:tc>
        <w:tc>
          <w:tcPr>
            <w:tcW w:w="620" w:type="dxa"/>
            <w:vAlign w:val="bottom"/>
            <w:gridSpan w:val="3"/>
            <w:shd w:val="clear" w:color="auto" w:fill="0000FF"/>
          </w:tcPr>
          <w:p>
            <w:pPr>
              <w:spacing w:after="0" w:line="20" w:lineRule="exact"/>
              <w:rPr>
                <w:sz w:val="1"/>
                <w:szCs w:val="1"/>
                <w:color w:val="auto"/>
              </w:rPr>
            </w:pPr>
          </w:p>
        </w:tc>
        <w:tc>
          <w:tcPr>
            <w:tcW w:w="6760" w:type="dxa"/>
            <w:vAlign w:val="bottom"/>
            <w:gridSpan w:val="10"/>
            <w:vMerge w:val="restart"/>
          </w:tcPr>
          <w:p>
            <w:pPr>
              <w:spacing w:after="0" w:line="20" w:lineRule="exact"/>
              <w:rPr>
                <w:sz w:val="1"/>
                <w:szCs w:val="1"/>
                <w:color w:val="auto"/>
              </w:rPr>
            </w:pPr>
          </w:p>
        </w:tc>
        <w:tc>
          <w:tcPr>
            <w:tcW w:w="780" w:type="dxa"/>
            <w:vAlign w:val="bottom"/>
            <w:vMerge w:val="restart"/>
          </w:tcPr>
          <w:p>
            <w:pPr>
              <w:jc w:val="right"/>
              <w:spacing w:after="0" w:line="202" w:lineRule="exact"/>
              <w:rPr>
                <w:sz w:val="20"/>
                <w:szCs w:val="20"/>
                <w:color w:val="auto"/>
              </w:rPr>
            </w:pPr>
            <w:r>
              <w:rPr>
                <w:rFonts w:ascii="Arial" w:cs="Arial" w:eastAsia="Arial" w:hAnsi="Arial"/>
                <w:sz w:val="18"/>
                <w:szCs w:val="18"/>
                <w:color w:val="auto"/>
              </w:rPr>
              <w:t>31</w:t>
            </w:r>
          </w:p>
        </w:tc>
        <w:tc>
          <w:tcPr>
            <w:tcW w:w="0" w:type="dxa"/>
            <w:vAlign w:val="bottom"/>
          </w:tcPr>
          <w:p>
            <w:pPr>
              <w:spacing w:after="0" w:line="20" w:lineRule="exact"/>
              <w:rPr>
                <w:sz w:val="1"/>
                <w:szCs w:val="1"/>
                <w:color w:val="auto"/>
              </w:rPr>
            </w:pPr>
          </w:p>
        </w:tc>
      </w:tr>
      <w:tr>
        <w:trPr>
          <w:trHeight w:val="183"/>
        </w:trPr>
        <w:tc>
          <w:tcPr>
            <w:tcW w:w="1160" w:type="dxa"/>
            <w:vAlign w:val="bottom"/>
            <w:gridSpan w:val="2"/>
            <w:vMerge w:val="continue"/>
          </w:tcPr>
          <w:p>
            <w:pPr>
              <w:spacing w:after="0"/>
              <w:rPr>
                <w:sz w:val="15"/>
                <w:szCs w:val="15"/>
                <w:color w:val="auto"/>
              </w:rPr>
            </w:pPr>
          </w:p>
        </w:tc>
        <w:tc>
          <w:tcPr>
            <w:tcW w:w="2540" w:type="dxa"/>
            <w:vAlign w:val="bottom"/>
            <w:gridSpan w:val="9"/>
          </w:tcPr>
          <w:p>
            <w:pPr>
              <w:spacing w:after="0" w:line="182" w:lineRule="exact"/>
              <w:rPr>
                <w:sz w:val="20"/>
                <w:szCs w:val="20"/>
                <w:color w:val="auto"/>
              </w:rPr>
            </w:pPr>
            <w:r>
              <w:rPr>
                <w:rFonts w:ascii="Arial" w:cs="Arial" w:eastAsia="Arial" w:hAnsi="Arial"/>
                <w:sz w:val="18"/>
                <w:szCs w:val="18"/>
                <w:color w:val="0000FF"/>
              </w:rPr>
              <w:t>Mine Safety Disclosures</w:t>
            </w:r>
          </w:p>
        </w:tc>
        <w:tc>
          <w:tcPr>
            <w:tcW w:w="6760" w:type="dxa"/>
            <w:vAlign w:val="bottom"/>
            <w:gridSpan w:val="10"/>
            <w:vMerge w:val="continue"/>
          </w:tcPr>
          <w:p>
            <w:pPr>
              <w:spacing w:after="0"/>
              <w:rPr>
                <w:sz w:val="15"/>
                <w:szCs w:val="15"/>
                <w:color w:val="auto"/>
              </w:rPr>
            </w:pPr>
          </w:p>
        </w:tc>
        <w:tc>
          <w:tcPr>
            <w:tcW w:w="7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160" w:type="dxa"/>
            <w:vAlign w:val="bottom"/>
            <w:gridSpan w:val="2"/>
            <w:vMerge w:val="restart"/>
          </w:tcPr>
          <w:p>
            <w:pPr>
              <w:spacing w:after="0" w:line="202" w:lineRule="exact"/>
              <w:rPr>
                <w:sz w:val="20"/>
                <w:szCs w:val="20"/>
                <w:color w:val="auto"/>
              </w:rPr>
            </w:pPr>
            <w:r>
              <w:rPr>
                <w:rFonts w:ascii="Arial" w:cs="Arial" w:eastAsia="Arial" w:hAnsi="Arial"/>
                <w:sz w:val="18"/>
                <w:szCs w:val="18"/>
                <w:color w:val="auto"/>
              </w:rPr>
              <w:t>Item 5</w:t>
            </w:r>
          </w:p>
        </w:tc>
        <w:tc>
          <w:tcPr>
            <w:tcW w:w="20" w:type="dxa"/>
            <w:vAlign w:val="bottom"/>
            <w:shd w:val="clear" w:color="auto" w:fill="0000EE"/>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780" w:type="dxa"/>
            <w:vAlign w:val="bottom"/>
            <w:gridSpan w:val="2"/>
            <w:shd w:val="clear" w:color="auto" w:fill="0000FF"/>
          </w:tcPr>
          <w:p>
            <w:pPr>
              <w:spacing w:after="0" w:line="20" w:lineRule="exact"/>
              <w:rPr>
                <w:sz w:val="1"/>
                <w:szCs w:val="1"/>
                <w:color w:val="auto"/>
              </w:rPr>
            </w:pPr>
          </w:p>
        </w:tc>
        <w:tc>
          <w:tcPr>
            <w:tcW w:w="520" w:type="dxa"/>
            <w:vAlign w:val="bottom"/>
            <w:gridSpan w:val="2"/>
            <w:shd w:val="clear" w:color="auto" w:fill="0000FF"/>
          </w:tcPr>
          <w:p>
            <w:pPr>
              <w:spacing w:after="0" w:line="20" w:lineRule="exact"/>
              <w:rPr>
                <w:sz w:val="1"/>
                <w:szCs w:val="1"/>
                <w:color w:val="auto"/>
              </w:rPr>
            </w:pPr>
          </w:p>
        </w:tc>
        <w:tc>
          <w:tcPr>
            <w:tcW w:w="7380" w:type="dxa"/>
            <w:vAlign w:val="bottom"/>
            <w:gridSpan w:val="13"/>
            <w:vMerge w:val="restart"/>
          </w:tcPr>
          <w:p>
            <w:pPr>
              <w:spacing w:after="0" w:line="20" w:lineRule="exact"/>
              <w:rPr>
                <w:sz w:val="1"/>
                <w:szCs w:val="1"/>
                <w:color w:val="auto"/>
              </w:rPr>
            </w:pPr>
          </w:p>
        </w:tc>
        <w:tc>
          <w:tcPr>
            <w:tcW w:w="780" w:type="dxa"/>
            <w:vAlign w:val="bottom"/>
            <w:vMerge w:val="restart"/>
          </w:tcPr>
          <w:p>
            <w:pPr>
              <w:jc w:val="right"/>
              <w:spacing w:after="0" w:line="202" w:lineRule="exact"/>
              <w:rPr>
                <w:sz w:val="20"/>
                <w:szCs w:val="20"/>
                <w:color w:val="auto"/>
              </w:rPr>
            </w:pPr>
            <w:r>
              <w:rPr>
                <w:rFonts w:ascii="Arial" w:cs="Arial" w:eastAsia="Arial" w:hAnsi="Arial"/>
                <w:sz w:val="18"/>
                <w:szCs w:val="18"/>
                <w:color w:val="auto"/>
              </w:rPr>
              <w:t>31</w:t>
            </w:r>
          </w:p>
        </w:tc>
        <w:tc>
          <w:tcPr>
            <w:tcW w:w="0" w:type="dxa"/>
            <w:vAlign w:val="bottom"/>
          </w:tcPr>
          <w:p>
            <w:pPr>
              <w:spacing w:after="0" w:line="20" w:lineRule="exact"/>
              <w:rPr>
                <w:sz w:val="1"/>
                <w:szCs w:val="1"/>
                <w:color w:val="auto"/>
              </w:rPr>
            </w:pPr>
          </w:p>
        </w:tc>
      </w:tr>
      <w:tr>
        <w:trPr>
          <w:trHeight w:val="183"/>
        </w:trPr>
        <w:tc>
          <w:tcPr>
            <w:tcW w:w="1160" w:type="dxa"/>
            <w:vAlign w:val="bottom"/>
            <w:gridSpan w:val="2"/>
            <w:vMerge w:val="continue"/>
          </w:tcPr>
          <w:p>
            <w:pPr>
              <w:spacing w:after="0"/>
              <w:rPr>
                <w:sz w:val="15"/>
                <w:szCs w:val="15"/>
                <w:color w:val="auto"/>
              </w:rPr>
            </w:pPr>
          </w:p>
        </w:tc>
        <w:tc>
          <w:tcPr>
            <w:tcW w:w="1920" w:type="dxa"/>
            <w:vAlign w:val="bottom"/>
            <w:gridSpan w:val="6"/>
          </w:tcPr>
          <w:p>
            <w:pPr>
              <w:spacing w:after="0" w:line="182" w:lineRule="exact"/>
              <w:rPr>
                <w:sz w:val="20"/>
                <w:szCs w:val="20"/>
                <w:color w:val="auto"/>
              </w:rPr>
            </w:pPr>
            <w:r>
              <w:rPr>
                <w:rFonts w:ascii="Arial" w:cs="Arial" w:eastAsia="Arial" w:hAnsi="Arial"/>
                <w:sz w:val="18"/>
                <w:szCs w:val="18"/>
                <w:color w:val="0000FF"/>
              </w:rPr>
              <w:t>Other Information</w:t>
            </w:r>
          </w:p>
        </w:tc>
        <w:tc>
          <w:tcPr>
            <w:tcW w:w="7380" w:type="dxa"/>
            <w:vAlign w:val="bottom"/>
            <w:gridSpan w:val="13"/>
            <w:vMerge w:val="continue"/>
          </w:tcPr>
          <w:p>
            <w:pPr>
              <w:spacing w:after="0"/>
              <w:rPr>
                <w:sz w:val="15"/>
                <w:szCs w:val="15"/>
                <w:color w:val="auto"/>
              </w:rPr>
            </w:pPr>
          </w:p>
        </w:tc>
        <w:tc>
          <w:tcPr>
            <w:tcW w:w="7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160" w:type="dxa"/>
            <w:vAlign w:val="bottom"/>
            <w:gridSpan w:val="2"/>
            <w:vMerge w:val="restart"/>
          </w:tcPr>
          <w:p>
            <w:pPr>
              <w:spacing w:after="0" w:line="202" w:lineRule="exact"/>
              <w:rPr>
                <w:sz w:val="20"/>
                <w:szCs w:val="20"/>
                <w:color w:val="auto"/>
              </w:rPr>
            </w:pPr>
            <w:r>
              <w:rPr>
                <w:rFonts w:ascii="Arial" w:cs="Arial" w:eastAsia="Arial" w:hAnsi="Arial"/>
                <w:sz w:val="18"/>
                <w:szCs w:val="18"/>
                <w:color w:val="auto"/>
              </w:rPr>
              <w:t>Item 6.</w:t>
            </w:r>
          </w:p>
        </w:tc>
        <w:tc>
          <w:tcPr>
            <w:tcW w:w="20" w:type="dxa"/>
            <w:vAlign w:val="bottom"/>
            <w:shd w:val="clear" w:color="auto" w:fill="0000EE"/>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780" w:type="dxa"/>
            <w:vAlign w:val="bottom"/>
            <w:gridSpan w:val="2"/>
            <w:shd w:val="clear" w:color="auto" w:fill="0000FF"/>
          </w:tcPr>
          <w:p>
            <w:pPr>
              <w:spacing w:after="0" w:line="20" w:lineRule="exact"/>
              <w:rPr>
                <w:sz w:val="1"/>
                <w:szCs w:val="1"/>
                <w:color w:val="auto"/>
              </w:rPr>
            </w:pPr>
          </w:p>
        </w:tc>
        <w:tc>
          <w:tcPr>
            <w:tcW w:w="7900" w:type="dxa"/>
            <w:vAlign w:val="bottom"/>
            <w:gridSpan w:val="15"/>
            <w:vMerge w:val="restart"/>
          </w:tcPr>
          <w:p>
            <w:pPr>
              <w:spacing w:after="0" w:line="20" w:lineRule="exact"/>
              <w:rPr>
                <w:sz w:val="1"/>
                <w:szCs w:val="1"/>
                <w:color w:val="auto"/>
              </w:rPr>
            </w:pPr>
          </w:p>
        </w:tc>
        <w:tc>
          <w:tcPr>
            <w:tcW w:w="780" w:type="dxa"/>
            <w:vAlign w:val="bottom"/>
            <w:vMerge w:val="restart"/>
          </w:tcPr>
          <w:p>
            <w:pPr>
              <w:jc w:val="right"/>
              <w:spacing w:after="0" w:line="202" w:lineRule="exact"/>
              <w:rPr>
                <w:sz w:val="20"/>
                <w:szCs w:val="20"/>
                <w:color w:val="auto"/>
              </w:rPr>
            </w:pPr>
            <w:r>
              <w:rPr>
                <w:rFonts w:ascii="Arial" w:cs="Arial" w:eastAsia="Arial" w:hAnsi="Arial"/>
                <w:sz w:val="18"/>
                <w:szCs w:val="18"/>
                <w:color w:val="auto"/>
              </w:rPr>
              <w:t>32</w:t>
            </w:r>
          </w:p>
        </w:tc>
        <w:tc>
          <w:tcPr>
            <w:tcW w:w="0" w:type="dxa"/>
            <w:vAlign w:val="bottom"/>
          </w:tcPr>
          <w:p>
            <w:pPr>
              <w:spacing w:after="0" w:line="20" w:lineRule="exact"/>
              <w:rPr>
                <w:sz w:val="1"/>
                <w:szCs w:val="1"/>
                <w:color w:val="auto"/>
              </w:rPr>
            </w:pPr>
          </w:p>
        </w:tc>
      </w:tr>
      <w:tr>
        <w:trPr>
          <w:trHeight w:val="183"/>
        </w:trPr>
        <w:tc>
          <w:tcPr>
            <w:tcW w:w="1160" w:type="dxa"/>
            <w:vAlign w:val="bottom"/>
            <w:gridSpan w:val="2"/>
            <w:vMerge w:val="continue"/>
          </w:tcPr>
          <w:p>
            <w:pPr>
              <w:spacing w:after="0"/>
              <w:rPr>
                <w:sz w:val="15"/>
                <w:szCs w:val="15"/>
                <w:color w:val="auto"/>
              </w:rPr>
            </w:pPr>
          </w:p>
        </w:tc>
        <w:tc>
          <w:tcPr>
            <w:tcW w:w="1400" w:type="dxa"/>
            <w:vAlign w:val="bottom"/>
            <w:gridSpan w:val="4"/>
          </w:tcPr>
          <w:p>
            <w:pPr>
              <w:spacing w:after="0" w:line="182" w:lineRule="exact"/>
              <w:rPr>
                <w:sz w:val="20"/>
                <w:szCs w:val="20"/>
                <w:color w:val="auto"/>
              </w:rPr>
            </w:pPr>
            <w:r>
              <w:rPr>
                <w:rFonts w:ascii="Arial" w:cs="Arial" w:eastAsia="Arial" w:hAnsi="Arial"/>
                <w:sz w:val="18"/>
                <w:szCs w:val="18"/>
                <w:color w:val="0000FF"/>
              </w:rPr>
              <w:t>Exhibits</w:t>
            </w:r>
          </w:p>
        </w:tc>
        <w:tc>
          <w:tcPr>
            <w:tcW w:w="7900" w:type="dxa"/>
            <w:vAlign w:val="bottom"/>
            <w:gridSpan w:val="15"/>
            <w:vMerge w:val="continue"/>
          </w:tcPr>
          <w:p>
            <w:pPr>
              <w:spacing w:after="0"/>
              <w:rPr>
                <w:sz w:val="15"/>
                <w:szCs w:val="15"/>
                <w:color w:val="auto"/>
              </w:rPr>
            </w:pPr>
          </w:p>
        </w:tc>
        <w:tc>
          <w:tcPr>
            <w:tcW w:w="7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1160" w:type="dxa"/>
            <w:vAlign w:val="bottom"/>
            <w:gridSpan w:val="2"/>
          </w:tcPr>
          <w:p>
            <w:pPr>
              <w:spacing w:after="0" w:line="182" w:lineRule="exact"/>
              <w:rPr>
                <w:sz w:val="20"/>
                <w:szCs w:val="20"/>
                <w:color w:val="auto"/>
              </w:rPr>
            </w:pPr>
            <w:r>
              <w:rPr>
                <w:rFonts w:ascii="Arial" w:cs="Arial" w:eastAsia="Arial" w:hAnsi="Arial"/>
                <w:sz w:val="18"/>
                <w:szCs w:val="18"/>
                <w:color w:val="0000FF"/>
              </w:rPr>
              <w:t>Signatures</w:t>
            </w:r>
          </w:p>
        </w:tc>
        <w:tc>
          <w:tcPr>
            <w:tcW w:w="20" w:type="dxa"/>
            <w:vAlign w:val="bottom"/>
          </w:tcPr>
          <w:p>
            <w:pPr>
              <w:spacing w:after="0"/>
              <w:rPr>
                <w:sz w:val="15"/>
                <w:szCs w:val="15"/>
                <w:color w:val="auto"/>
              </w:rPr>
            </w:pPr>
          </w:p>
        </w:tc>
        <w:tc>
          <w:tcPr>
            <w:tcW w:w="600" w:type="dxa"/>
            <w:vAlign w:val="bottom"/>
            <w:tcBorders>
              <w:top w:val="single" w:sz="8" w:color="0000FF"/>
            </w:tcBorders>
          </w:tcPr>
          <w:p>
            <w:pPr>
              <w:spacing w:after="0"/>
              <w:rPr>
                <w:sz w:val="15"/>
                <w:szCs w:val="15"/>
                <w:color w:val="auto"/>
              </w:rPr>
            </w:pPr>
          </w:p>
        </w:tc>
        <w:tc>
          <w:tcPr>
            <w:tcW w:w="4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6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780" w:type="dxa"/>
            <w:vAlign w:val="bottom"/>
          </w:tcPr>
          <w:p>
            <w:pPr>
              <w:jc w:val="right"/>
              <w:spacing w:after="0" w:line="182" w:lineRule="exact"/>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20"/>
        </w:trPr>
        <w:tc>
          <w:tcPr>
            <w:tcW w:w="860" w:type="dxa"/>
            <w:vAlign w:val="bottom"/>
            <w:shd w:val="clear" w:color="auto" w:fill="0000FF"/>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02" w:right="339" w:bottom="1440" w:gutter="0" w:footer="0" w:header="0"/>
        </w:sectPr>
      </w:pPr>
    </w:p>
    <w:bookmarkStart w:id="4" w:name="page5"/>
    <w:bookmarkEnd w:id="4"/>
    <w:p>
      <w:pPr>
        <w:ind w:left="3380"/>
        <w:spacing w:after="0"/>
        <w:rPr>
          <w:sz w:val="20"/>
          <w:szCs w:val="20"/>
          <w:color w:val="auto"/>
        </w:rPr>
      </w:pPr>
      <w:r>
        <w:rPr>
          <w:rFonts w:ascii="Arial" w:cs="Arial" w:eastAsia="Arial" w:hAnsi="Arial"/>
          <w:sz w:val="32"/>
          <w:szCs w:val="32"/>
          <w:b w:val="1"/>
          <w:bCs w:val="1"/>
          <w:color w:val="auto"/>
        </w:rPr>
        <w:t>Part I ─ Financial Information</w:t>
      </w:r>
    </w:p>
    <w:p>
      <w:pPr>
        <w:spacing w:after="0" w:line="226" w:lineRule="exact"/>
        <w:rPr>
          <w:sz w:val="20"/>
          <w:szCs w:val="20"/>
          <w:color w:val="auto"/>
        </w:rPr>
      </w:pPr>
    </w:p>
    <w:p>
      <w:pPr>
        <w:spacing w:after="0"/>
        <w:rPr>
          <w:sz w:val="20"/>
          <w:szCs w:val="20"/>
          <w:color w:val="auto"/>
        </w:rPr>
      </w:pPr>
      <w:r>
        <w:rPr>
          <w:rFonts w:ascii="Arial" w:cs="Arial" w:eastAsia="Arial" w:hAnsi="Arial"/>
          <w:sz w:val="32"/>
          <w:szCs w:val="32"/>
          <w:b w:val="1"/>
          <w:bCs w:val="1"/>
          <w:color w:val="auto"/>
        </w:rPr>
        <w:t>Item 1. Financial Statements</w:t>
      </w:r>
    </w:p>
    <w:p>
      <w:pPr>
        <w:spacing w:after="0" w:line="226" w:lineRule="exact"/>
        <w:rPr>
          <w:sz w:val="20"/>
          <w:szCs w:val="20"/>
          <w:color w:val="auto"/>
        </w:rPr>
      </w:pPr>
    </w:p>
    <w:p>
      <w:pPr>
        <w:spacing w:after="0"/>
        <w:rPr>
          <w:sz w:val="20"/>
          <w:szCs w:val="20"/>
          <w:color w:val="auto"/>
        </w:rPr>
      </w:pPr>
      <w:r>
        <w:rPr>
          <w:rFonts w:ascii="Arial" w:cs="Arial" w:eastAsia="Arial" w:hAnsi="Arial"/>
          <w:sz w:val="32"/>
          <w:szCs w:val="32"/>
          <w:b w:val="1"/>
          <w:bCs w:val="1"/>
          <w:color w:val="auto"/>
        </w:rPr>
        <w:t>Monte Rosa Therapeutics, Inc.</w:t>
      </w:r>
    </w:p>
    <w:p>
      <w:pPr>
        <w:spacing w:after="0" w:line="44" w:lineRule="exact"/>
        <w:rPr>
          <w:sz w:val="20"/>
          <w:szCs w:val="20"/>
          <w:color w:val="auto"/>
        </w:rPr>
      </w:pPr>
    </w:p>
    <w:p>
      <w:pPr>
        <w:spacing w:after="0"/>
        <w:rPr>
          <w:sz w:val="20"/>
          <w:szCs w:val="20"/>
          <w:color w:val="auto"/>
        </w:rPr>
      </w:pPr>
      <w:r>
        <w:rPr>
          <w:rFonts w:ascii="Arial" w:cs="Arial" w:eastAsia="Arial" w:hAnsi="Arial"/>
          <w:sz w:val="32"/>
          <w:szCs w:val="32"/>
          <w:b w:val="1"/>
          <w:bCs w:val="1"/>
          <w:color w:val="auto"/>
        </w:rPr>
        <w:t>Condensed consolidated balance sheets (unaudited)</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7740" w:type="dxa"/>
            <w:vAlign w:val="bottom"/>
            <w:tcBorders>
              <w:top w:val="single" w:sz="8" w:color="auto"/>
            </w:tcBorders>
          </w:tcPr>
          <w:p>
            <w:pPr>
              <w:spacing w:after="0"/>
              <w:rPr>
                <w:sz w:val="16"/>
                <w:szCs w:val="16"/>
                <w:color w:val="auto"/>
              </w:rPr>
            </w:pPr>
          </w:p>
        </w:tc>
        <w:tc>
          <w:tcPr>
            <w:tcW w:w="1620" w:type="dxa"/>
            <w:vAlign w:val="bottom"/>
          </w:tcPr>
          <w:p>
            <w:pPr>
              <w:jc w:val="center"/>
              <w:spacing w:after="0"/>
              <w:rPr>
                <w:sz w:val="20"/>
                <w:szCs w:val="20"/>
                <w:color w:val="auto"/>
              </w:rPr>
            </w:pPr>
            <w:r>
              <w:rPr>
                <w:rFonts w:ascii="Arial" w:cs="Arial" w:eastAsia="Arial" w:hAnsi="Arial"/>
                <w:sz w:val="16"/>
                <w:szCs w:val="16"/>
                <w:b w:val="1"/>
                <w:bCs w:val="1"/>
                <w:color w:val="auto"/>
              </w:rPr>
              <w:t>March 31,</w:t>
            </w:r>
          </w:p>
        </w:tc>
        <w:tc>
          <w:tcPr>
            <w:tcW w:w="1520" w:type="dxa"/>
            <w:vAlign w:val="bottom"/>
          </w:tcPr>
          <w:p>
            <w:pPr>
              <w:jc w:val="center"/>
              <w:ind w:left="379"/>
              <w:spacing w:after="0"/>
              <w:rPr>
                <w:sz w:val="20"/>
                <w:szCs w:val="20"/>
                <w:color w:val="auto"/>
              </w:rPr>
            </w:pPr>
            <w:r>
              <w:rPr>
                <w:rFonts w:ascii="Arial" w:cs="Arial" w:eastAsia="Arial" w:hAnsi="Arial"/>
                <w:sz w:val="16"/>
                <w:szCs w:val="16"/>
                <w:b w:val="1"/>
                <w:bCs w:val="1"/>
                <w:color w:val="auto"/>
              </w:rPr>
              <w:t>December 31,</w:t>
            </w:r>
          </w:p>
        </w:tc>
      </w:tr>
      <w:tr>
        <w:trPr>
          <w:trHeight w:val="218"/>
        </w:trPr>
        <w:tc>
          <w:tcPr>
            <w:tcW w:w="7740" w:type="dxa"/>
            <w:vAlign w:val="bottom"/>
          </w:tcPr>
          <w:p>
            <w:pPr>
              <w:spacing w:after="0"/>
              <w:rPr>
                <w:sz w:val="20"/>
                <w:szCs w:val="20"/>
                <w:color w:val="auto"/>
              </w:rPr>
            </w:pPr>
            <w:r>
              <w:rPr>
                <w:rFonts w:ascii="Arial" w:cs="Arial" w:eastAsia="Arial" w:hAnsi="Arial"/>
                <w:sz w:val="16"/>
                <w:szCs w:val="16"/>
                <w:b w:val="1"/>
                <w:bCs w:val="1"/>
                <w:color w:val="auto"/>
              </w:rPr>
              <w:t>(in thousands, except share and per share amounts)</w:t>
            </w:r>
          </w:p>
        </w:tc>
        <w:tc>
          <w:tcPr>
            <w:tcW w:w="1620" w:type="dxa"/>
            <w:vAlign w:val="bottom"/>
          </w:tcPr>
          <w:p>
            <w:pPr>
              <w:jc w:val="right"/>
              <w:ind w:right="579"/>
              <w:spacing w:after="0"/>
              <w:rPr>
                <w:sz w:val="20"/>
                <w:szCs w:val="20"/>
                <w:color w:val="auto"/>
              </w:rPr>
            </w:pPr>
            <w:r>
              <w:rPr>
                <w:rFonts w:ascii="Arial" w:cs="Arial" w:eastAsia="Arial" w:hAnsi="Arial"/>
                <w:sz w:val="16"/>
                <w:szCs w:val="16"/>
                <w:b w:val="1"/>
                <w:bCs w:val="1"/>
                <w:color w:val="auto"/>
              </w:rPr>
              <w:t>2026</w:t>
            </w:r>
          </w:p>
        </w:tc>
        <w:tc>
          <w:tcPr>
            <w:tcW w:w="1520" w:type="dxa"/>
            <w:vAlign w:val="bottom"/>
          </w:tcPr>
          <w:p>
            <w:pPr>
              <w:jc w:val="right"/>
              <w:ind w:right="279"/>
              <w:spacing w:after="0"/>
              <w:rPr>
                <w:sz w:val="20"/>
                <w:szCs w:val="20"/>
                <w:color w:val="auto"/>
              </w:rPr>
            </w:pPr>
            <w:r>
              <w:rPr>
                <w:rFonts w:ascii="Arial" w:cs="Arial" w:eastAsia="Arial" w:hAnsi="Arial"/>
                <w:sz w:val="16"/>
                <w:szCs w:val="16"/>
                <w:b w:val="1"/>
                <w:bCs w:val="1"/>
                <w:color w:val="auto"/>
              </w:rPr>
              <w:t>2025</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-8890</wp:posOffset>
            </wp:positionV>
            <wp:extent cx="7132320" cy="12827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28270"/>
                    </a:xfrm>
                    <a:prstGeom prst="rect">
                      <a:avLst/>
                    </a:prstGeom>
                    <a:noFill/>
                  </pic:spPr>
                </pic:pic>
              </a:graphicData>
            </a:graphic>
          </wp:anchor>
        </w:drawing>
      </w:r>
    </w:p>
    <w:p>
      <w:pPr>
        <w:sectPr>
          <w:pgSz w:w="11900" w:h="16838" w:orient="portrait"/>
          <w:cols w:equalWidth="0" w:num="1">
            <w:col w:w="11240"/>
          </w:cols>
          <w:pgMar w:left="320" w:top="1000" w:right="339" w:bottom="1440" w:gutter="0" w:footer="0" w:header="0"/>
        </w:sectPr>
      </w:pPr>
    </w:p>
    <w:p>
      <w:pPr>
        <w:spacing w:after="0"/>
        <w:rPr>
          <w:sz w:val="20"/>
          <w:szCs w:val="20"/>
          <w:color w:val="auto"/>
        </w:rPr>
      </w:pPr>
      <w:r>
        <w:rPr>
          <w:rFonts w:ascii="Arial" w:cs="Arial" w:eastAsia="Arial" w:hAnsi="Arial"/>
          <w:sz w:val="16"/>
          <w:szCs w:val="16"/>
          <w:color w:val="auto"/>
        </w:rPr>
        <w:t>Assets</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Current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wp:posOffset>
            </wp:positionV>
            <wp:extent cx="7132320" cy="12001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20015"/>
                    </a:xfrm>
                    <a:prstGeom prst="rect">
                      <a:avLst/>
                    </a:prstGeom>
                    <a:noFill/>
                  </pic:spPr>
                </pic:pic>
              </a:graphicData>
            </a:graphic>
          </wp:anchor>
        </w:drawing>
      </w:r>
    </w:p>
    <w:p>
      <w:pPr>
        <w:ind w:left="140"/>
        <w:spacing w:after="0"/>
        <w:rPr>
          <w:sz w:val="20"/>
          <w:szCs w:val="20"/>
          <w:color w:val="auto"/>
        </w:rPr>
      </w:pPr>
      <w:r>
        <w:rPr>
          <w:rFonts w:ascii="Arial" w:cs="Arial" w:eastAsia="Arial" w:hAnsi="Arial"/>
          <w:sz w:val="16"/>
          <w:szCs w:val="16"/>
          <w:color w:val="auto"/>
        </w:rPr>
        <w:t>Cash and cash equivalents</w:t>
      </w:r>
    </w:p>
    <w:p>
      <w:pPr>
        <w:spacing w:after="0" w:line="5" w:lineRule="exact"/>
        <w:rPr>
          <w:sz w:val="20"/>
          <w:szCs w:val="20"/>
          <w:color w:val="auto"/>
        </w:rPr>
      </w:pPr>
    </w:p>
    <w:p>
      <w:pPr>
        <w:ind w:left="140"/>
        <w:spacing w:after="0"/>
        <w:rPr>
          <w:sz w:val="20"/>
          <w:szCs w:val="20"/>
          <w:color w:val="auto"/>
        </w:rPr>
      </w:pPr>
      <w:r>
        <w:rPr>
          <w:rFonts w:ascii="Arial" w:cs="Arial" w:eastAsia="Arial" w:hAnsi="Arial"/>
          <w:sz w:val="16"/>
          <w:szCs w:val="16"/>
          <w:color w:val="auto"/>
        </w:rPr>
        <w:t>Marketable securities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wp:posOffset>
            </wp:positionV>
            <wp:extent cx="7132320" cy="12001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20015"/>
                    </a:xfrm>
                    <a:prstGeom prst="rect">
                      <a:avLst/>
                    </a:prstGeom>
                    <a:noFill/>
                  </pic:spPr>
                </pic:pic>
              </a:graphicData>
            </a:graphic>
          </wp:anchor>
        </w:drawing>
      </w:r>
    </w:p>
    <w:p>
      <w:pPr>
        <w:ind w:left="140"/>
        <w:spacing w:after="0"/>
        <w:rPr>
          <w:sz w:val="20"/>
          <w:szCs w:val="20"/>
          <w:color w:val="auto"/>
        </w:rPr>
      </w:pPr>
      <w:r>
        <w:rPr>
          <w:rFonts w:ascii="Arial" w:cs="Arial" w:eastAsia="Arial" w:hAnsi="Arial"/>
          <w:sz w:val="16"/>
          <w:szCs w:val="16"/>
          <w:color w:val="auto"/>
        </w:rPr>
        <w:t>Collaboration receivable</w:t>
      </w:r>
    </w:p>
    <w:p>
      <w:pPr>
        <w:spacing w:after="0" w:line="5" w:lineRule="exact"/>
        <w:rPr>
          <w:sz w:val="20"/>
          <w:szCs w:val="20"/>
          <w:color w:val="auto"/>
        </w:rPr>
      </w:pPr>
    </w:p>
    <w:p>
      <w:pPr>
        <w:ind w:left="140"/>
        <w:spacing w:after="0"/>
        <w:rPr>
          <w:sz w:val="20"/>
          <w:szCs w:val="20"/>
          <w:color w:val="auto"/>
        </w:rPr>
      </w:pPr>
      <w:r>
        <w:rPr>
          <w:rFonts w:ascii="Arial" w:cs="Arial" w:eastAsia="Arial" w:hAnsi="Arial"/>
          <w:sz w:val="16"/>
          <w:szCs w:val="16"/>
          <w:color w:val="auto"/>
        </w:rPr>
        <w:t>Other receivables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wp:posOffset>
            </wp:positionV>
            <wp:extent cx="7132320" cy="12890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28905"/>
                    </a:xfrm>
                    <a:prstGeom prst="rect">
                      <a:avLst/>
                    </a:prstGeom>
                    <a:noFill/>
                  </pic:spPr>
                </pic:pic>
              </a:graphicData>
            </a:graphic>
          </wp:anchor>
        </w:drawing>
      </w:r>
    </w:p>
    <w:p>
      <w:pPr>
        <w:ind w:left="140"/>
        <w:spacing w:after="0"/>
        <w:rPr>
          <w:sz w:val="20"/>
          <w:szCs w:val="20"/>
          <w:color w:val="auto"/>
        </w:rPr>
      </w:pPr>
      <w:r>
        <w:rPr>
          <w:rFonts w:ascii="Arial" w:cs="Arial" w:eastAsia="Arial" w:hAnsi="Arial"/>
          <w:sz w:val="16"/>
          <w:szCs w:val="16"/>
          <w:color w:val="auto"/>
        </w:rPr>
        <w:t>Prepaid expenses and other current assets</w:t>
      </w:r>
    </w:p>
    <w:p>
      <w:pPr>
        <w:spacing w:after="0" w:line="15" w:lineRule="exact"/>
        <w:rPr>
          <w:sz w:val="20"/>
          <w:szCs w:val="20"/>
          <w:color w:val="auto"/>
        </w:rPr>
      </w:pPr>
    </w:p>
    <w:p>
      <w:pPr>
        <w:ind w:left="280"/>
        <w:spacing w:after="0"/>
        <w:rPr>
          <w:sz w:val="20"/>
          <w:szCs w:val="20"/>
          <w:color w:val="auto"/>
        </w:rPr>
      </w:pPr>
      <w:r>
        <w:rPr>
          <w:rFonts w:ascii="Arial" w:cs="Arial" w:eastAsia="Arial" w:hAnsi="Arial"/>
          <w:sz w:val="16"/>
          <w:szCs w:val="16"/>
          <w:color w:val="auto"/>
        </w:rPr>
        <w:t>Total current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7132320" cy="12001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20015"/>
                    </a:xfrm>
                    <a:prstGeom prst="rect">
                      <a:avLst/>
                    </a:prstGeom>
                    <a:noFill/>
                  </pic:spPr>
                </pic:pic>
              </a:graphicData>
            </a:graphic>
          </wp:anchor>
        </w:drawing>
      </w:r>
    </w:p>
    <w:p>
      <w:pPr>
        <w:spacing w:after="0"/>
        <w:rPr>
          <w:sz w:val="20"/>
          <w:szCs w:val="20"/>
          <w:color w:val="auto"/>
        </w:rPr>
      </w:pPr>
      <w:r>
        <w:rPr>
          <w:rFonts w:ascii="Arial" w:cs="Arial" w:eastAsia="Arial" w:hAnsi="Arial"/>
          <w:sz w:val="16"/>
          <w:szCs w:val="16"/>
          <w:color w:val="auto"/>
        </w:rPr>
        <w:t>Property and equipment, net</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Operating lease right-of-use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wp:posOffset>
            </wp:positionV>
            <wp:extent cx="7132320" cy="12001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120015"/>
                    </a:xfrm>
                    <a:prstGeom prst="rect">
                      <a:avLst/>
                    </a:prstGeom>
                    <a:noFill/>
                  </pic:spPr>
                </pic:pic>
              </a:graphicData>
            </a:graphic>
          </wp:anchor>
        </w:drawing>
      </w:r>
    </w:p>
    <w:p>
      <w:pPr>
        <w:spacing w:after="0"/>
        <w:rPr>
          <w:sz w:val="20"/>
          <w:szCs w:val="20"/>
          <w:color w:val="auto"/>
        </w:rPr>
      </w:pPr>
      <w:r>
        <w:rPr>
          <w:rFonts w:ascii="Arial" w:cs="Arial" w:eastAsia="Arial" w:hAnsi="Arial"/>
          <w:sz w:val="16"/>
          <w:szCs w:val="16"/>
          <w:color w:val="auto"/>
        </w:rPr>
        <w:t>Restricted cash</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Other long-term assets</w:t>
      </w:r>
    </w:p>
    <w:p>
      <w:pPr>
        <w:spacing w:after="0" w:line="15" w:lineRule="exact"/>
        <w:rPr>
          <w:sz w:val="20"/>
          <w:szCs w:val="20"/>
          <w:color w:val="auto"/>
        </w:rPr>
      </w:pPr>
    </w:p>
    <w:p>
      <w:pPr>
        <w:ind w:left="280"/>
        <w:spacing w:after="0"/>
        <w:rPr>
          <w:sz w:val="20"/>
          <w:szCs w:val="20"/>
          <w:color w:val="auto"/>
        </w:rPr>
      </w:pPr>
      <w:r>
        <w:rPr>
          <w:rFonts w:ascii="Arial" w:cs="Arial" w:eastAsia="Arial" w:hAnsi="Arial"/>
          <w:sz w:val="16"/>
          <w:szCs w:val="16"/>
          <w:color w:val="auto"/>
        </w:rPr>
        <w:t>Total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-114935</wp:posOffset>
            </wp:positionV>
            <wp:extent cx="7132320" cy="12890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128905"/>
                    </a:xfrm>
                    <a:prstGeom prst="rect">
                      <a:avLst/>
                    </a:prstGeom>
                    <a:noFill/>
                  </pic:spPr>
                </pic:pic>
              </a:graphicData>
            </a:graphic>
          </wp:anchor>
        </w:drawing>
      </w:r>
    </w:p>
    <w:p>
      <w:pPr>
        <w:spacing w:after="0"/>
        <w:rPr>
          <w:sz w:val="20"/>
          <w:szCs w:val="20"/>
          <w:color w:val="auto"/>
        </w:rPr>
      </w:pPr>
      <w:r>
        <w:rPr>
          <w:rFonts w:ascii="Arial" w:cs="Arial" w:eastAsia="Arial" w:hAnsi="Arial"/>
          <w:sz w:val="16"/>
          <w:szCs w:val="16"/>
          <w:color w:val="auto"/>
        </w:rPr>
        <w:t>Liabilities and stockholders’ equity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7132320" cy="12001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120015"/>
                    </a:xfrm>
                    <a:prstGeom prst="rect">
                      <a:avLst/>
                    </a:prstGeom>
                    <a:noFill/>
                  </pic:spPr>
                </pic:pic>
              </a:graphicData>
            </a:graphic>
          </wp:anchor>
        </w:drawing>
      </w:r>
    </w:p>
    <w:p>
      <w:pPr>
        <w:spacing w:after="0"/>
        <w:rPr>
          <w:sz w:val="20"/>
          <w:szCs w:val="20"/>
          <w:color w:val="auto"/>
        </w:rPr>
      </w:pPr>
      <w:r>
        <w:rPr>
          <w:rFonts w:ascii="Arial" w:cs="Arial" w:eastAsia="Arial" w:hAnsi="Arial"/>
          <w:sz w:val="16"/>
          <w:szCs w:val="16"/>
          <w:color w:val="auto"/>
        </w:rPr>
        <w:t>Current liabilities:</w:t>
      </w:r>
    </w:p>
    <w:p>
      <w:pPr>
        <w:spacing w:after="0" w:line="5" w:lineRule="exact"/>
        <w:rPr>
          <w:sz w:val="20"/>
          <w:szCs w:val="20"/>
          <w:color w:val="auto"/>
        </w:rPr>
      </w:pPr>
    </w:p>
    <w:p>
      <w:pPr>
        <w:ind w:left="140"/>
        <w:spacing w:after="0"/>
        <w:rPr>
          <w:sz w:val="20"/>
          <w:szCs w:val="20"/>
          <w:color w:val="auto"/>
        </w:rPr>
      </w:pPr>
      <w:r>
        <w:rPr>
          <w:rFonts w:ascii="Arial" w:cs="Arial" w:eastAsia="Arial" w:hAnsi="Arial"/>
          <w:sz w:val="16"/>
          <w:szCs w:val="16"/>
          <w:color w:val="auto"/>
        </w:rPr>
        <w:t>Accounts payable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wp:posOffset>
            </wp:positionV>
            <wp:extent cx="7132320" cy="12001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120015"/>
                    </a:xfrm>
                    <a:prstGeom prst="rect">
                      <a:avLst/>
                    </a:prstGeom>
                    <a:noFill/>
                  </pic:spPr>
                </pic:pic>
              </a:graphicData>
            </a:graphic>
          </wp:anchor>
        </w:drawing>
      </w:r>
    </w:p>
    <w:p>
      <w:pPr>
        <w:ind w:left="140"/>
        <w:spacing w:after="0"/>
        <w:rPr>
          <w:sz w:val="20"/>
          <w:szCs w:val="20"/>
          <w:color w:val="auto"/>
        </w:rPr>
      </w:pPr>
      <w:r>
        <w:rPr>
          <w:rFonts w:ascii="Arial" w:cs="Arial" w:eastAsia="Arial" w:hAnsi="Arial"/>
          <w:sz w:val="16"/>
          <w:szCs w:val="16"/>
          <w:color w:val="auto"/>
        </w:rPr>
        <w:t>Accrued expenses and other current liabilities</w:t>
      </w:r>
    </w:p>
    <w:p>
      <w:pPr>
        <w:spacing w:after="0" w:line="5" w:lineRule="exact"/>
        <w:rPr>
          <w:sz w:val="20"/>
          <w:szCs w:val="20"/>
          <w:color w:val="auto"/>
        </w:rPr>
      </w:pPr>
    </w:p>
    <w:p>
      <w:pPr>
        <w:ind w:left="140"/>
        <w:spacing w:after="0"/>
        <w:rPr>
          <w:sz w:val="20"/>
          <w:szCs w:val="20"/>
          <w:color w:val="auto"/>
        </w:rPr>
      </w:pPr>
      <w:r>
        <w:rPr>
          <w:rFonts w:ascii="Arial" w:cs="Arial" w:eastAsia="Arial" w:hAnsi="Arial"/>
          <w:sz w:val="16"/>
          <w:szCs w:val="16"/>
          <w:color w:val="auto"/>
        </w:rPr>
        <w:t>Current deferred revenue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wp:posOffset>
            </wp:positionV>
            <wp:extent cx="7132320" cy="12890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128905"/>
                    </a:xfrm>
                    <a:prstGeom prst="rect">
                      <a:avLst/>
                    </a:prstGeom>
                    <a:noFill/>
                  </pic:spPr>
                </pic:pic>
              </a:graphicData>
            </a:graphic>
          </wp:anchor>
        </w:drawing>
      </w:r>
    </w:p>
    <w:p>
      <w:pPr>
        <w:ind w:left="140"/>
        <w:spacing w:after="0"/>
        <w:rPr>
          <w:sz w:val="20"/>
          <w:szCs w:val="20"/>
          <w:color w:val="auto"/>
        </w:rPr>
      </w:pPr>
      <w:r>
        <w:rPr>
          <w:rFonts w:ascii="Arial" w:cs="Arial" w:eastAsia="Arial" w:hAnsi="Arial"/>
          <w:sz w:val="16"/>
          <w:szCs w:val="16"/>
          <w:color w:val="auto"/>
        </w:rPr>
        <w:t>Current portion of operating lease liability</w:t>
      </w:r>
    </w:p>
    <w:p>
      <w:pPr>
        <w:spacing w:after="0" w:line="15" w:lineRule="exact"/>
        <w:rPr>
          <w:sz w:val="20"/>
          <w:szCs w:val="20"/>
          <w:color w:val="auto"/>
        </w:rPr>
      </w:pPr>
    </w:p>
    <w:p>
      <w:pPr>
        <w:ind w:left="280"/>
        <w:spacing w:after="0"/>
        <w:rPr>
          <w:sz w:val="20"/>
          <w:szCs w:val="20"/>
          <w:color w:val="auto"/>
        </w:rPr>
      </w:pPr>
      <w:r>
        <w:rPr>
          <w:rFonts w:ascii="Arial" w:cs="Arial" w:eastAsia="Arial" w:hAnsi="Arial"/>
          <w:sz w:val="16"/>
          <w:szCs w:val="16"/>
          <w:color w:val="auto"/>
        </w:rPr>
        <w:t>Total current 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7132320" cy="12001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120015"/>
                    </a:xfrm>
                    <a:prstGeom prst="rect">
                      <a:avLst/>
                    </a:prstGeom>
                    <a:noFill/>
                  </pic:spPr>
                </pic:pic>
              </a:graphicData>
            </a:graphic>
          </wp:anchor>
        </w:drawing>
      </w:r>
    </w:p>
    <w:p>
      <w:pPr>
        <w:spacing w:after="0"/>
        <w:rPr>
          <w:sz w:val="20"/>
          <w:szCs w:val="20"/>
          <w:color w:val="auto"/>
        </w:rPr>
      </w:pPr>
      <w:r>
        <w:rPr>
          <w:rFonts w:ascii="Arial" w:cs="Arial" w:eastAsia="Arial" w:hAnsi="Arial"/>
          <w:sz w:val="16"/>
          <w:szCs w:val="16"/>
          <w:color w:val="auto"/>
        </w:rPr>
        <w:t>Deferred revenue, net of current</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Defined benefit plan liability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wp:posOffset>
            </wp:positionV>
            <wp:extent cx="7132320" cy="12890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128905"/>
                    </a:xfrm>
                    <a:prstGeom prst="rect">
                      <a:avLst/>
                    </a:prstGeom>
                    <a:noFill/>
                  </pic:spPr>
                </pic:pic>
              </a:graphicData>
            </a:graphic>
          </wp:anchor>
        </w:drawing>
      </w:r>
    </w:p>
    <w:p>
      <w:pPr>
        <w:spacing w:after="0"/>
        <w:rPr>
          <w:sz w:val="20"/>
          <w:szCs w:val="20"/>
          <w:color w:val="auto"/>
        </w:rPr>
      </w:pPr>
      <w:r>
        <w:rPr>
          <w:rFonts w:ascii="Arial" w:cs="Arial" w:eastAsia="Arial" w:hAnsi="Arial"/>
          <w:sz w:val="16"/>
          <w:szCs w:val="16"/>
          <w:color w:val="auto"/>
        </w:rPr>
        <w:t>Operating lease liability, net of current</w:t>
      </w:r>
    </w:p>
    <w:p>
      <w:pPr>
        <w:spacing w:after="0" w:line="15" w:lineRule="exact"/>
        <w:rPr>
          <w:sz w:val="20"/>
          <w:szCs w:val="20"/>
          <w:color w:val="auto"/>
        </w:rPr>
      </w:pPr>
    </w:p>
    <w:p>
      <w:pPr>
        <w:ind w:left="280"/>
        <w:spacing w:after="0"/>
        <w:rPr>
          <w:sz w:val="20"/>
          <w:szCs w:val="20"/>
          <w:color w:val="auto"/>
        </w:rPr>
      </w:pPr>
      <w:r>
        <w:rPr>
          <w:rFonts w:ascii="Arial" w:cs="Arial" w:eastAsia="Arial" w:hAnsi="Arial"/>
          <w:sz w:val="16"/>
          <w:szCs w:val="16"/>
          <w:color w:val="auto"/>
        </w:rPr>
        <w:t>Total liabilities</w:t>
      </w:r>
    </w:p>
    <w:p>
      <w:pPr>
        <w:spacing w:after="0" w:line="19" w:lineRule="exact"/>
        <w:rPr>
          <w:sz w:val="20"/>
          <w:szCs w:val="20"/>
          <w:color w:val="auto"/>
        </w:rPr>
      </w:pPr>
    </w:p>
    <w:p>
      <w:pPr>
        <w:spacing w:after="0"/>
        <w:rPr>
          <w:sz w:val="20"/>
          <w:szCs w:val="20"/>
          <w:color w:val="auto"/>
        </w:rPr>
      </w:pPr>
      <w:r>
        <w:rPr>
          <w:rFonts w:ascii="Arial" w:cs="Arial" w:eastAsia="Arial" w:hAnsi="Arial"/>
          <w:sz w:val="16"/>
          <w:szCs w:val="16"/>
          <w:color w:val="auto"/>
        </w:rPr>
        <w:t>Commitments and contingencies (Note 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-114935</wp:posOffset>
            </wp:positionV>
            <wp:extent cx="7132320" cy="12001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120015"/>
                    </a:xfrm>
                    <a:prstGeom prst="rect">
                      <a:avLst/>
                    </a:prstGeom>
                    <a:noFill/>
                  </pic:spPr>
                </pic:pic>
              </a:graphicData>
            </a:graphic>
          </wp:anchor>
        </w:drawing>
      </w:r>
    </w:p>
    <w:p>
      <w:pPr>
        <w:spacing w:after="0"/>
        <w:rPr>
          <w:sz w:val="20"/>
          <w:szCs w:val="20"/>
          <w:color w:val="auto"/>
        </w:rPr>
      </w:pPr>
      <w:r>
        <w:rPr>
          <w:rFonts w:ascii="Arial" w:cs="Arial" w:eastAsia="Arial" w:hAnsi="Arial"/>
          <w:sz w:val="16"/>
          <w:szCs w:val="16"/>
          <w:color w:val="auto"/>
        </w:rPr>
        <w:t>Stockholders’ equity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wp:posOffset>
            </wp:positionV>
            <wp:extent cx="7132320" cy="12001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120015"/>
                    </a:xfrm>
                    <a:prstGeom prst="rect">
                      <a:avLst/>
                    </a:prstGeom>
                    <a:noFill/>
                  </pic:spPr>
                </pic:pic>
              </a:graphicData>
            </a:graphic>
          </wp:anchor>
        </w:drawing>
      </w:r>
    </w:p>
    <w:p>
      <w:pPr>
        <w:ind w:left="140"/>
        <w:spacing w:after="0"/>
        <w:rPr>
          <w:sz w:val="20"/>
          <w:szCs w:val="20"/>
          <w:color w:val="auto"/>
        </w:rPr>
      </w:pPr>
      <w:r>
        <w:rPr>
          <w:rFonts w:ascii="Arial" w:cs="Arial" w:eastAsia="Arial" w:hAnsi="Arial"/>
          <w:sz w:val="16"/>
          <w:szCs w:val="16"/>
          <w:color w:val="auto"/>
        </w:rPr>
        <w:t>Preferred stock, $0.0001 par value, 10,000,000 shares authorized</w:t>
      </w:r>
    </w:p>
    <w:p>
      <w:pPr>
        <w:spacing w:after="0" w:line="5" w:lineRule="exact"/>
        <w:rPr>
          <w:sz w:val="20"/>
          <w:szCs w:val="20"/>
          <w:color w:val="auto"/>
        </w:rPr>
      </w:pPr>
    </w:p>
    <w:p>
      <w:pPr>
        <w:ind w:left="140"/>
        <w:spacing w:after="0" w:line="246" w:lineRule="auto"/>
        <w:rPr>
          <w:sz w:val="20"/>
          <w:szCs w:val="20"/>
          <w:color w:val="auto"/>
        </w:rPr>
      </w:pPr>
      <w:r>
        <w:rPr>
          <w:rFonts w:ascii="Arial" w:cs="Arial" w:eastAsia="Arial" w:hAnsi="Arial"/>
          <w:sz w:val="16"/>
          <w:szCs w:val="16"/>
          <w:color w:val="auto"/>
        </w:rPr>
        <w:t>Common stock, $0.0001 par value; 500,000,000 shares authorized, 84,321,705 and 65,543,723 shares issued and outstanding as of March 31, 2026 and December 31, 2025, respectively Additional paid-in capital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-120015</wp:posOffset>
            </wp:positionV>
            <wp:extent cx="7132320" cy="12001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120015"/>
                    </a:xfrm>
                    <a:prstGeom prst="rect">
                      <a:avLst/>
                    </a:prstGeom>
                    <a:noFill/>
                  </pic:spPr>
                </pic:pic>
              </a:graphicData>
            </a:graphic>
          </wp:anchor>
        </w:drawing>
      </w:r>
    </w:p>
    <w:p>
      <w:pPr>
        <w:ind w:left="140"/>
        <w:spacing w:after="0"/>
        <w:rPr>
          <w:sz w:val="20"/>
          <w:szCs w:val="20"/>
          <w:color w:val="auto"/>
        </w:rPr>
      </w:pPr>
      <w:r>
        <w:rPr>
          <w:rFonts w:ascii="Arial" w:cs="Arial" w:eastAsia="Arial" w:hAnsi="Arial"/>
          <w:sz w:val="16"/>
          <w:szCs w:val="16"/>
          <w:color w:val="auto"/>
        </w:rPr>
        <w:t>Accumulated other comprehensive loss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wp:posOffset>
            </wp:positionV>
            <wp:extent cx="7132320" cy="12890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128905"/>
                    </a:xfrm>
                    <a:prstGeom prst="rect">
                      <a:avLst/>
                    </a:prstGeom>
                    <a:noFill/>
                  </pic:spPr>
                </pic:pic>
              </a:graphicData>
            </a:graphic>
          </wp:anchor>
        </w:drawing>
      </w:r>
    </w:p>
    <w:p>
      <w:pPr>
        <w:ind w:left="140"/>
        <w:spacing w:after="0"/>
        <w:rPr>
          <w:sz w:val="20"/>
          <w:szCs w:val="20"/>
          <w:color w:val="auto"/>
        </w:rPr>
      </w:pPr>
      <w:r>
        <w:rPr>
          <w:rFonts w:ascii="Arial" w:cs="Arial" w:eastAsia="Arial" w:hAnsi="Arial"/>
          <w:sz w:val="16"/>
          <w:szCs w:val="16"/>
          <w:color w:val="auto"/>
        </w:rPr>
        <w:t>Accumulated deficit</w:t>
      </w:r>
    </w:p>
    <w:p>
      <w:pPr>
        <w:spacing w:after="0" w:line="15" w:lineRule="exact"/>
        <w:rPr>
          <w:sz w:val="20"/>
          <w:szCs w:val="20"/>
          <w:color w:val="auto"/>
        </w:rPr>
      </w:pPr>
    </w:p>
    <w:p>
      <w:pPr>
        <w:spacing w:after="0"/>
        <w:rPr>
          <w:sz w:val="20"/>
          <w:szCs w:val="20"/>
          <w:color w:val="auto"/>
        </w:rPr>
      </w:pPr>
      <w:r>
        <w:rPr>
          <w:rFonts w:ascii="Arial" w:cs="Arial" w:eastAsia="Arial" w:hAnsi="Arial"/>
          <w:sz w:val="16"/>
          <w:szCs w:val="16"/>
          <w:color w:val="auto"/>
        </w:rPr>
        <w:t>Total stockholders’ equity</w:t>
      </w:r>
    </w:p>
    <w:p>
      <w:pPr>
        <w:spacing w:after="0" w:line="19" w:lineRule="exact"/>
        <w:rPr>
          <w:sz w:val="20"/>
          <w:szCs w:val="20"/>
          <w:color w:val="auto"/>
        </w:rPr>
      </w:pPr>
    </w:p>
    <w:p>
      <w:pPr>
        <w:spacing w:after="0"/>
        <w:rPr>
          <w:sz w:val="20"/>
          <w:szCs w:val="20"/>
          <w:color w:val="auto"/>
        </w:rPr>
      </w:pPr>
      <w:r>
        <w:rPr>
          <w:rFonts w:ascii="Arial" w:cs="Arial" w:eastAsia="Arial" w:hAnsi="Arial"/>
          <w:sz w:val="16"/>
          <w:szCs w:val="16"/>
          <w:color w:val="auto"/>
        </w:rPr>
        <w:t>Total liabilities and stockholders’ equity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-114935</wp:posOffset>
            </wp:positionV>
            <wp:extent cx="7132320" cy="12890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12890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342"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89"/>
        </w:trPr>
        <w:tc>
          <w:tcPr>
            <w:tcW w:w="460" w:type="dxa"/>
            <w:vAlign w:val="bottom"/>
            <w:gridSpan w:val="2"/>
          </w:tcPr>
          <w:p>
            <w:pPr>
              <w:jc w:val="right"/>
              <w:ind w:right="284"/>
              <w:spacing w:after="0"/>
              <w:rPr>
                <w:sz w:val="20"/>
                <w:szCs w:val="20"/>
                <w:color w:val="auto"/>
              </w:rPr>
            </w:pPr>
            <w:r>
              <w:rPr>
                <w:rFonts w:ascii="Arial" w:cs="Arial" w:eastAsia="Arial" w:hAnsi="Arial"/>
                <w:sz w:val="16"/>
                <w:szCs w:val="16"/>
                <w:color w:val="auto"/>
                <w:w w:val="89"/>
              </w:rPr>
              <w:t>$</w:t>
            </w:r>
          </w:p>
        </w:tc>
        <w:tc>
          <w:tcPr>
            <w:tcW w:w="1260" w:type="dxa"/>
            <w:vAlign w:val="bottom"/>
          </w:tcPr>
          <w:p>
            <w:pPr>
              <w:jc w:val="right"/>
              <w:ind w:right="99"/>
              <w:spacing w:after="0"/>
              <w:rPr>
                <w:sz w:val="20"/>
                <w:szCs w:val="20"/>
                <w:color w:val="auto"/>
              </w:rPr>
            </w:pPr>
            <w:r>
              <w:rPr>
                <w:rFonts w:ascii="Arial" w:cs="Arial" w:eastAsia="Arial" w:hAnsi="Arial"/>
                <w:sz w:val="16"/>
                <w:szCs w:val="16"/>
                <w:color w:val="auto"/>
              </w:rPr>
              <w:t>159,859</w:t>
            </w:r>
          </w:p>
        </w:tc>
        <w:tc>
          <w:tcPr>
            <w:tcW w:w="620" w:type="dxa"/>
            <w:vAlign w:val="bottom"/>
          </w:tcPr>
          <w:p>
            <w:pPr>
              <w:jc w:val="right"/>
              <w:ind w:right="339"/>
              <w:spacing w:after="0"/>
              <w:rPr>
                <w:sz w:val="20"/>
                <w:szCs w:val="20"/>
                <w:color w:val="auto"/>
              </w:rPr>
            </w:pPr>
            <w:r>
              <w:rPr>
                <w:rFonts w:ascii="Arial" w:cs="Arial" w:eastAsia="Arial" w:hAnsi="Arial"/>
                <w:sz w:val="16"/>
                <w:szCs w:val="16"/>
                <w:color w:val="auto"/>
              </w:rPr>
              <w:t>$</w:t>
            </w:r>
          </w:p>
        </w:tc>
        <w:tc>
          <w:tcPr>
            <w:tcW w:w="1160" w:type="dxa"/>
            <w:vAlign w:val="bottom"/>
          </w:tcPr>
          <w:p>
            <w:pPr>
              <w:jc w:val="right"/>
              <w:ind w:right="39"/>
              <w:spacing w:after="0"/>
              <w:rPr>
                <w:sz w:val="20"/>
                <w:szCs w:val="20"/>
                <w:color w:val="auto"/>
              </w:rPr>
            </w:pPr>
            <w:r>
              <w:rPr>
                <w:rFonts w:ascii="Arial" w:cs="Arial" w:eastAsia="Arial" w:hAnsi="Arial"/>
                <w:sz w:val="16"/>
                <w:szCs w:val="16"/>
                <w:color w:val="auto"/>
              </w:rPr>
              <w:t>129,883</w:t>
            </w:r>
          </w:p>
        </w:tc>
      </w:tr>
      <w:tr>
        <w:trPr>
          <w:trHeight w:val="189"/>
        </w:trPr>
        <w:tc>
          <w:tcPr>
            <w:tcW w:w="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260" w:type="dxa"/>
            <w:vAlign w:val="bottom"/>
          </w:tcPr>
          <w:p>
            <w:pPr>
              <w:jc w:val="right"/>
              <w:ind w:right="99"/>
              <w:spacing w:after="0"/>
              <w:rPr>
                <w:sz w:val="20"/>
                <w:szCs w:val="20"/>
                <w:color w:val="auto"/>
              </w:rPr>
            </w:pPr>
            <w:r>
              <w:rPr>
                <w:rFonts w:ascii="Arial" w:cs="Arial" w:eastAsia="Arial" w:hAnsi="Arial"/>
                <w:sz w:val="16"/>
                <w:szCs w:val="16"/>
                <w:color w:val="auto"/>
              </w:rPr>
              <w:t>506,361</w:t>
            </w:r>
          </w:p>
        </w:tc>
        <w:tc>
          <w:tcPr>
            <w:tcW w:w="620" w:type="dxa"/>
            <w:vAlign w:val="bottom"/>
          </w:tcPr>
          <w:p>
            <w:pPr>
              <w:spacing w:after="0"/>
              <w:rPr>
                <w:sz w:val="16"/>
                <w:szCs w:val="16"/>
                <w:color w:val="auto"/>
              </w:rPr>
            </w:pPr>
          </w:p>
        </w:tc>
        <w:tc>
          <w:tcPr>
            <w:tcW w:w="1160" w:type="dxa"/>
            <w:vAlign w:val="bottom"/>
          </w:tcPr>
          <w:p>
            <w:pPr>
              <w:jc w:val="right"/>
              <w:ind w:right="39"/>
              <w:spacing w:after="0"/>
              <w:rPr>
                <w:sz w:val="20"/>
                <w:szCs w:val="20"/>
                <w:color w:val="auto"/>
              </w:rPr>
            </w:pPr>
            <w:r>
              <w:rPr>
                <w:rFonts w:ascii="Arial" w:cs="Arial" w:eastAsia="Arial" w:hAnsi="Arial"/>
                <w:sz w:val="16"/>
                <w:szCs w:val="16"/>
                <w:color w:val="auto"/>
              </w:rPr>
              <w:t>247,221</w:t>
            </w:r>
          </w:p>
        </w:tc>
      </w:tr>
      <w:tr>
        <w:trPr>
          <w:trHeight w:val="189"/>
        </w:trPr>
        <w:tc>
          <w:tcPr>
            <w:tcW w:w="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26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620" w:type="dxa"/>
            <w:vAlign w:val="bottom"/>
          </w:tcPr>
          <w:p>
            <w:pPr>
              <w:spacing w:after="0"/>
              <w:rPr>
                <w:sz w:val="16"/>
                <w:szCs w:val="16"/>
                <w:color w:val="auto"/>
              </w:rPr>
            </w:pPr>
          </w:p>
        </w:tc>
        <w:tc>
          <w:tcPr>
            <w:tcW w:w="1160" w:type="dxa"/>
            <w:vAlign w:val="bottom"/>
          </w:tcPr>
          <w:p>
            <w:pPr>
              <w:jc w:val="right"/>
              <w:ind w:right="39"/>
              <w:spacing w:after="0"/>
              <w:rPr>
                <w:sz w:val="20"/>
                <w:szCs w:val="20"/>
                <w:color w:val="auto"/>
              </w:rPr>
            </w:pPr>
            <w:r>
              <w:rPr>
                <w:rFonts w:ascii="Arial" w:cs="Arial" w:eastAsia="Arial" w:hAnsi="Arial"/>
                <w:sz w:val="16"/>
                <w:szCs w:val="16"/>
                <w:color w:val="auto"/>
              </w:rPr>
              <w:t>7,000</w:t>
            </w:r>
          </w:p>
        </w:tc>
      </w:tr>
      <w:tr>
        <w:trPr>
          <w:trHeight w:val="189"/>
        </w:trPr>
        <w:tc>
          <w:tcPr>
            <w:tcW w:w="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260" w:type="dxa"/>
            <w:vAlign w:val="bottom"/>
          </w:tcPr>
          <w:p>
            <w:pPr>
              <w:jc w:val="right"/>
              <w:ind w:right="99"/>
              <w:spacing w:after="0"/>
              <w:rPr>
                <w:sz w:val="20"/>
                <w:szCs w:val="20"/>
                <w:color w:val="auto"/>
              </w:rPr>
            </w:pPr>
            <w:r>
              <w:rPr>
                <w:rFonts w:ascii="Arial" w:cs="Arial" w:eastAsia="Arial" w:hAnsi="Arial"/>
                <w:sz w:val="16"/>
                <w:szCs w:val="16"/>
                <w:color w:val="auto"/>
              </w:rPr>
              <w:t>4,609</w:t>
            </w:r>
          </w:p>
        </w:tc>
        <w:tc>
          <w:tcPr>
            <w:tcW w:w="620" w:type="dxa"/>
            <w:vAlign w:val="bottom"/>
          </w:tcPr>
          <w:p>
            <w:pPr>
              <w:spacing w:after="0"/>
              <w:rPr>
                <w:sz w:val="16"/>
                <w:szCs w:val="16"/>
                <w:color w:val="auto"/>
              </w:rPr>
            </w:pPr>
          </w:p>
        </w:tc>
        <w:tc>
          <w:tcPr>
            <w:tcW w:w="1160" w:type="dxa"/>
            <w:vAlign w:val="bottom"/>
          </w:tcPr>
          <w:p>
            <w:pPr>
              <w:jc w:val="right"/>
              <w:ind w:right="39"/>
              <w:spacing w:after="0"/>
              <w:rPr>
                <w:sz w:val="20"/>
                <w:szCs w:val="20"/>
                <w:color w:val="auto"/>
              </w:rPr>
            </w:pPr>
            <w:r>
              <w:rPr>
                <w:rFonts w:ascii="Arial" w:cs="Arial" w:eastAsia="Arial" w:hAnsi="Arial"/>
                <w:sz w:val="16"/>
                <w:szCs w:val="16"/>
                <w:color w:val="auto"/>
              </w:rPr>
              <w:t>4,600</w:t>
            </w:r>
          </w:p>
        </w:tc>
      </w:tr>
      <w:tr>
        <w:trPr>
          <w:trHeight w:val="203"/>
        </w:trPr>
        <w:tc>
          <w:tcPr>
            <w:tcW w:w="20" w:type="dxa"/>
            <w:vAlign w:val="bottom"/>
          </w:tcPr>
          <w:p>
            <w:pPr>
              <w:spacing w:after="0"/>
              <w:rPr>
                <w:sz w:val="17"/>
                <w:szCs w:val="17"/>
                <w:color w:val="auto"/>
              </w:rPr>
            </w:pPr>
          </w:p>
        </w:tc>
        <w:tc>
          <w:tcPr>
            <w:tcW w:w="44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6,718</w:t>
            </w:r>
          </w:p>
        </w:tc>
        <w:tc>
          <w:tcPr>
            <w:tcW w:w="62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4,481</w:t>
            </w:r>
          </w:p>
        </w:tc>
      </w:tr>
      <w:tr>
        <w:trPr>
          <w:trHeight w:val="168"/>
        </w:trPr>
        <w:tc>
          <w:tcPr>
            <w:tcW w:w="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260" w:type="dxa"/>
            <w:vAlign w:val="bottom"/>
          </w:tcPr>
          <w:p>
            <w:pPr>
              <w:jc w:val="right"/>
              <w:ind w:right="99"/>
              <w:spacing w:after="0" w:line="168" w:lineRule="exact"/>
              <w:rPr>
                <w:sz w:val="20"/>
                <w:szCs w:val="20"/>
                <w:color w:val="auto"/>
              </w:rPr>
            </w:pPr>
            <w:r>
              <w:rPr>
                <w:rFonts w:ascii="Arial" w:cs="Arial" w:eastAsia="Arial" w:hAnsi="Arial"/>
                <w:sz w:val="16"/>
                <w:szCs w:val="16"/>
                <w:color w:val="auto"/>
              </w:rPr>
              <w:t>677,547</w:t>
            </w:r>
          </w:p>
        </w:tc>
        <w:tc>
          <w:tcPr>
            <w:tcW w:w="620" w:type="dxa"/>
            <w:vAlign w:val="bottom"/>
          </w:tcPr>
          <w:p>
            <w:pPr>
              <w:spacing w:after="0"/>
              <w:rPr>
                <w:sz w:val="14"/>
                <w:szCs w:val="14"/>
                <w:color w:val="auto"/>
              </w:rPr>
            </w:pPr>
          </w:p>
        </w:tc>
        <w:tc>
          <w:tcPr>
            <w:tcW w:w="1160" w:type="dxa"/>
            <w:vAlign w:val="bottom"/>
          </w:tcPr>
          <w:p>
            <w:pPr>
              <w:jc w:val="right"/>
              <w:ind w:right="39"/>
              <w:spacing w:after="0" w:line="168" w:lineRule="exact"/>
              <w:rPr>
                <w:sz w:val="20"/>
                <w:szCs w:val="20"/>
                <w:color w:val="auto"/>
              </w:rPr>
            </w:pPr>
            <w:r>
              <w:rPr>
                <w:rFonts w:ascii="Arial" w:cs="Arial" w:eastAsia="Arial" w:hAnsi="Arial"/>
                <w:sz w:val="16"/>
                <w:szCs w:val="16"/>
                <w:color w:val="auto"/>
              </w:rPr>
              <w:t>393,185</w:t>
            </w:r>
          </w:p>
        </w:tc>
      </w:tr>
      <w:tr>
        <w:trPr>
          <w:trHeight w:val="189"/>
        </w:trPr>
        <w:tc>
          <w:tcPr>
            <w:tcW w:w="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260" w:type="dxa"/>
            <w:vAlign w:val="bottom"/>
          </w:tcPr>
          <w:p>
            <w:pPr>
              <w:jc w:val="right"/>
              <w:ind w:right="99"/>
              <w:spacing w:after="0"/>
              <w:rPr>
                <w:sz w:val="20"/>
                <w:szCs w:val="20"/>
                <w:color w:val="auto"/>
              </w:rPr>
            </w:pPr>
            <w:r>
              <w:rPr>
                <w:rFonts w:ascii="Arial" w:cs="Arial" w:eastAsia="Arial" w:hAnsi="Arial"/>
                <w:sz w:val="16"/>
                <w:szCs w:val="16"/>
                <w:color w:val="auto"/>
              </w:rPr>
              <w:t>28,409</w:t>
            </w:r>
          </w:p>
        </w:tc>
        <w:tc>
          <w:tcPr>
            <w:tcW w:w="620" w:type="dxa"/>
            <w:vAlign w:val="bottom"/>
          </w:tcPr>
          <w:p>
            <w:pPr>
              <w:spacing w:after="0"/>
              <w:rPr>
                <w:sz w:val="16"/>
                <w:szCs w:val="16"/>
                <w:color w:val="auto"/>
              </w:rPr>
            </w:pPr>
          </w:p>
        </w:tc>
        <w:tc>
          <w:tcPr>
            <w:tcW w:w="1160" w:type="dxa"/>
            <w:vAlign w:val="bottom"/>
          </w:tcPr>
          <w:p>
            <w:pPr>
              <w:jc w:val="right"/>
              <w:ind w:right="39"/>
              <w:spacing w:after="0"/>
              <w:rPr>
                <w:sz w:val="20"/>
                <w:szCs w:val="20"/>
                <w:color w:val="auto"/>
              </w:rPr>
            </w:pPr>
            <w:r>
              <w:rPr>
                <w:rFonts w:ascii="Arial" w:cs="Arial" w:eastAsia="Arial" w:hAnsi="Arial"/>
                <w:sz w:val="16"/>
                <w:szCs w:val="16"/>
                <w:color w:val="auto"/>
              </w:rPr>
              <w:t>25,986</w:t>
            </w:r>
          </w:p>
        </w:tc>
      </w:tr>
      <w:tr>
        <w:trPr>
          <w:trHeight w:val="189"/>
        </w:trPr>
        <w:tc>
          <w:tcPr>
            <w:tcW w:w="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260" w:type="dxa"/>
            <w:vAlign w:val="bottom"/>
          </w:tcPr>
          <w:p>
            <w:pPr>
              <w:jc w:val="right"/>
              <w:ind w:right="99"/>
              <w:spacing w:after="0"/>
              <w:rPr>
                <w:sz w:val="20"/>
                <w:szCs w:val="20"/>
                <w:color w:val="auto"/>
              </w:rPr>
            </w:pPr>
            <w:r>
              <w:rPr>
                <w:rFonts w:ascii="Arial" w:cs="Arial" w:eastAsia="Arial" w:hAnsi="Arial"/>
                <w:sz w:val="16"/>
                <w:szCs w:val="16"/>
                <w:color w:val="auto"/>
              </w:rPr>
              <w:t>24,693</w:t>
            </w:r>
          </w:p>
        </w:tc>
        <w:tc>
          <w:tcPr>
            <w:tcW w:w="620" w:type="dxa"/>
            <w:vAlign w:val="bottom"/>
          </w:tcPr>
          <w:p>
            <w:pPr>
              <w:spacing w:after="0"/>
              <w:rPr>
                <w:sz w:val="16"/>
                <w:szCs w:val="16"/>
                <w:color w:val="auto"/>
              </w:rPr>
            </w:pPr>
          </w:p>
        </w:tc>
        <w:tc>
          <w:tcPr>
            <w:tcW w:w="1160" w:type="dxa"/>
            <w:vAlign w:val="bottom"/>
          </w:tcPr>
          <w:p>
            <w:pPr>
              <w:jc w:val="right"/>
              <w:ind w:right="39"/>
              <w:spacing w:after="0"/>
              <w:rPr>
                <w:sz w:val="20"/>
                <w:szCs w:val="20"/>
                <w:color w:val="auto"/>
              </w:rPr>
            </w:pPr>
            <w:r>
              <w:rPr>
                <w:rFonts w:ascii="Arial" w:cs="Arial" w:eastAsia="Arial" w:hAnsi="Arial"/>
                <w:sz w:val="16"/>
                <w:szCs w:val="16"/>
                <w:color w:val="auto"/>
              </w:rPr>
              <w:t>24,386</w:t>
            </w:r>
          </w:p>
        </w:tc>
      </w:tr>
      <w:tr>
        <w:trPr>
          <w:trHeight w:val="189"/>
        </w:trPr>
        <w:tc>
          <w:tcPr>
            <w:tcW w:w="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260" w:type="dxa"/>
            <w:vAlign w:val="bottom"/>
          </w:tcPr>
          <w:p>
            <w:pPr>
              <w:jc w:val="right"/>
              <w:ind w:right="99"/>
              <w:spacing w:after="0"/>
              <w:rPr>
                <w:sz w:val="20"/>
                <w:szCs w:val="20"/>
                <w:color w:val="auto"/>
              </w:rPr>
            </w:pPr>
            <w:r>
              <w:rPr>
                <w:rFonts w:ascii="Arial" w:cs="Arial" w:eastAsia="Arial" w:hAnsi="Arial"/>
                <w:sz w:val="16"/>
                <w:szCs w:val="16"/>
                <w:color w:val="auto"/>
              </w:rPr>
              <w:t>4,947</w:t>
            </w:r>
          </w:p>
        </w:tc>
        <w:tc>
          <w:tcPr>
            <w:tcW w:w="620" w:type="dxa"/>
            <w:vAlign w:val="bottom"/>
          </w:tcPr>
          <w:p>
            <w:pPr>
              <w:spacing w:after="0"/>
              <w:rPr>
                <w:sz w:val="16"/>
                <w:szCs w:val="16"/>
                <w:color w:val="auto"/>
              </w:rPr>
            </w:pPr>
          </w:p>
        </w:tc>
        <w:tc>
          <w:tcPr>
            <w:tcW w:w="1160" w:type="dxa"/>
            <w:vAlign w:val="bottom"/>
          </w:tcPr>
          <w:p>
            <w:pPr>
              <w:jc w:val="right"/>
              <w:ind w:right="39"/>
              <w:spacing w:after="0"/>
              <w:rPr>
                <w:sz w:val="20"/>
                <w:szCs w:val="20"/>
                <w:color w:val="auto"/>
              </w:rPr>
            </w:pPr>
            <w:r>
              <w:rPr>
                <w:rFonts w:ascii="Arial" w:cs="Arial" w:eastAsia="Arial" w:hAnsi="Arial"/>
                <w:sz w:val="16"/>
                <w:szCs w:val="16"/>
                <w:color w:val="auto"/>
              </w:rPr>
              <w:t>4,954</w:t>
            </w:r>
          </w:p>
        </w:tc>
      </w:tr>
      <w:tr>
        <w:trPr>
          <w:trHeight w:val="203"/>
        </w:trPr>
        <w:tc>
          <w:tcPr>
            <w:tcW w:w="20" w:type="dxa"/>
            <w:vAlign w:val="bottom"/>
          </w:tcPr>
          <w:p>
            <w:pPr>
              <w:spacing w:after="0"/>
              <w:rPr>
                <w:sz w:val="17"/>
                <w:szCs w:val="17"/>
                <w:color w:val="auto"/>
              </w:rPr>
            </w:pPr>
          </w:p>
        </w:tc>
        <w:tc>
          <w:tcPr>
            <w:tcW w:w="44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832</w:t>
            </w:r>
          </w:p>
        </w:tc>
        <w:tc>
          <w:tcPr>
            <w:tcW w:w="62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148</w:t>
            </w:r>
          </w:p>
        </w:tc>
      </w:tr>
      <w:tr>
        <w:trPr>
          <w:trHeight w:val="183"/>
        </w:trPr>
        <w:tc>
          <w:tcPr>
            <w:tcW w:w="20" w:type="dxa"/>
            <w:vAlign w:val="bottom"/>
            <w:tcBorders>
              <w:bottom w:val="single" w:sz="8" w:color="auto"/>
            </w:tcBorders>
          </w:tcPr>
          <w:p>
            <w:pPr>
              <w:spacing w:after="0"/>
              <w:rPr>
                <w:sz w:val="15"/>
                <w:szCs w:val="15"/>
                <w:color w:val="auto"/>
              </w:rPr>
            </w:pPr>
          </w:p>
        </w:tc>
        <w:tc>
          <w:tcPr>
            <w:tcW w:w="440" w:type="dxa"/>
            <w:vAlign w:val="bottom"/>
            <w:tcBorders>
              <w:bottom w:val="single" w:sz="8" w:color="auto"/>
            </w:tcBorders>
          </w:tcPr>
          <w:p>
            <w:pPr>
              <w:jc w:val="right"/>
              <w:ind w:right="284"/>
              <w:spacing w:after="0"/>
              <w:rPr>
                <w:sz w:val="20"/>
                <w:szCs w:val="20"/>
                <w:color w:val="auto"/>
              </w:rPr>
            </w:pPr>
            <w:r>
              <w:rPr>
                <w:rFonts w:ascii="Arial" w:cs="Arial" w:eastAsia="Arial" w:hAnsi="Arial"/>
                <w:sz w:val="15"/>
                <w:szCs w:val="15"/>
                <w:color w:val="auto"/>
                <w:w w:val="71"/>
              </w:rPr>
              <w:t>$</w:t>
            </w:r>
          </w:p>
        </w:tc>
        <w:tc>
          <w:tcPr>
            <w:tcW w:w="1260" w:type="dxa"/>
            <w:vAlign w:val="bottom"/>
            <w:tcBorders>
              <w:bottom w:val="single" w:sz="8" w:color="auto"/>
            </w:tcBorders>
          </w:tcPr>
          <w:p>
            <w:pPr>
              <w:jc w:val="right"/>
              <w:ind w:right="99"/>
              <w:spacing w:after="0" w:line="183" w:lineRule="exact"/>
              <w:rPr>
                <w:sz w:val="20"/>
                <w:szCs w:val="20"/>
                <w:color w:val="auto"/>
              </w:rPr>
            </w:pPr>
            <w:r>
              <w:rPr>
                <w:rFonts w:ascii="Arial" w:cs="Arial" w:eastAsia="Arial" w:hAnsi="Arial"/>
                <w:sz w:val="16"/>
                <w:szCs w:val="16"/>
                <w:color w:val="auto"/>
              </w:rPr>
              <w:t>736,428</w:t>
            </w:r>
          </w:p>
        </w:tc>
        <w:tc>
          <w:tcPr>
            <w:tcW w:w="620" w:type="dxa"/>
            <w:vAlign w:val="bottom"/>
            <w:tcBorders>
              <w:bottom w:val="single" w:sz="8" w:color="auto"/>
            </w:tcBorders>
          </w:tcPr>
          <w:p>
            <w:pPr>
              <w:jc w:val="right"/>
              <w:ind w:right="339"/>
              <w:spacing w:after="0" w:line="183" w:lineRule="exact"/>
              <w:rPr>
                <w:sz w:val="20"/>
                <w:szCs w:val="20"/>
                <w:color w:val="auto"/>
              </w:rPr>
            </w:pPr>
            <w:r>
              <w:rPr>
                <w:rFonts w:ascii="Arial" w:cs="Arial" w:eastAsia="Arial" w:hAnsi="Arial"/>
                <w:sz w:val="16"/>
                <w:szCs w:val="16"/>
                <w:color w:val="auto"/>
              </w:rPr>
              <w:t>$</w:t>
            </w:r>
          </w:p>
        </w:tc>
        <w:tc>
          <w:tcPr>
            <w:tcW w:w="1160" w:type="dxa"/>
            <w:vAlign w:val="bottom"/>
            <w:tcBorders>
              <w:bottom w:val="single" w:sz="8" w:color="auto"/>
            </w:tcBorders>
          </w:tcPr>
          <w:p>
            <w:pPr>
              <w:jc w:val="right"/>
              <w:ind w:right="39"/>
              <w:spacing w:after="0" w:line="183" w:lineRule="exact"/>
              <w:rPr>
                <w:sz w:val="20"/>
                <w:szCs w:val="20"/>
                <w:color w:val="auto"/>
              </w:rPr>
            </w:pPr>
            <w:r>
              <w:rPr>
                <w:rFonts w:ascii="Arial" w:cs="Arial" w:eastAsia="Arial" w:hAnsi="Arial"/>
                <w:sz w:val="16"/>
                <w:szCs w:val="16"/>
                <w:color w:val="auto"/>
              </w:rPr>
              <w:t>448,659</w:t>
            </w:r>
          </w:p>
        </w:tc>
      </w:tr>
      <w:tr>
        <w:trPr>
          <w:trHeight w:val="546"/>
        </w:trPr>
        <w:tc>
          <w:tcPr>
            <w:tcW w:w="460" w:type="dxa"/>
            <w:vAlign w:val="bottom"/>
            <w:gridSpan w:val="2"/>
          </w:tcPr>
          <w:p>
            <w:pPr>
              <w:jc w:val="right"/>
              <w:ind w:right="284"/>
              <w:spacing w:after="0"/>
              <w:rPr>
                <w:sz w:val="20"/>
                <w:szCs w:val="20"/>
                <w:color w:val="auto"/>
              </w:rPr>
            </w:pPr>
            <w:r>
              <w:rPr>
                <w:rFonts w:ascii="Arial" w:cs="Arial" w:eastAsia="Arial" w:hAnsi="Arial"/>
                <w:sz w:val="16"/>
                <w:szCs w:val="16"/>
                <w:color w:val="auto"/>
                <w:w w:val="89"/>
              </w:rPr>
              <w:t>$</w:t>
            </w:r>
          </w:p>
        </w:tc>
        <w:tc>
          <w:tcPr>
            <w:tcW w:w="1260" w:type="dxa"/>
            <w:vAlign w:val="bottom"/>
          </w:tcPr>
          <w:p>
            <w:pPr>
              <w:jc w:val="right"/>
              <w:ind w:right="99"/>
              <w:spacing w:after="0"/>
              <w:rPr>
                <w:sz w:val="20"/>
                <w:szCs w:val="20"/>
                <w:color w:val="auto"/>
              </w:rPr>
            </w:pPr>
            <w:r>
              <w:rPr>
                <w:rFonts w:ascii="Arial" w:cs="Arial" w:eastAsia="Arial" w:hAnsi="Arial"/>
                <w:sz w:val="16"/>
                <w:szCs w:val="16"/>
                <w:color w:val="auto"/>
              </w:rPr>
              <w:t>7,900</w:t>
            </w:r>
          </w:p>
        </w:tc>
        <w:tc>
          <w:tcPr>
            <w:tcW w:w="620" w:type="dxa"/>
            <w:vAlign w:val="bottom"/>
          </w:tcPr>
          <w:p>
            <w:pPr>
              <w:jc w:val="right"/>
              <w:ind w:right="339"/>
              <w:spacing w:after="0"/>
              <w:rPr>
                <w:sz w:val="20"/>
                <w:szCs w:val="20"/>
                <w:color w:val="auto"/>
              </w:rPr>
            </w:pPr>
            <w:r>
              <w:rPr>
                <w:rFonts w:ascii="Arial" w:cs="Arial" w:eastAsia="Arial" w:hAnsi="Arial"/>
                <w:sz w:val="16"/>
                <w:szCs w:val="16"/>
                <w:color w:val="auto"/>
              </w:rPr>
              <w:t>$</w:t>
            </w:r>
          </w:p>
        </w:tc>
        <w:tc>
          <w:tcPr>
            <w:tcW w:w="1160" w:type="dxa"/>
            <w:vAlign w:val="bottom"/>
          </w:tcPr>
          <w:p>
            <w:pPr>
              <w:jc w:val="right"/>
              <w:ind w:right="39"/>
              <w:spacing w:after="0"/>
              <w:rPr>
                <w:sz w:val="20"/>
                <w:szCs w:val="20"/>
                <w:color w:val="auto"/>
              </w:rPr>
            </w:pPr>
            <w:r>
              <w:rPr>
                <w:rFonts w:ascii="Arial" w:cs="Arial" w:eastAsia="Arial" w:hAnsi="Arial"/>
                <w:sz w:val="16"/>
                <w:szCs w:val="16"/>
                <w:color w:val="auto"/>
              </w:rPr>
              <w:t>3,550</w:t>
            </w:r>
          </w:p>
        </w:tc>
      </w:tr>
      <w:tr>
        <w:trPr>
          <w:trHeight w:val="189"/>
        </w:trPr>
        <w:tc>
          <w:tcPr>
            <w:tcW w:w="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260" w:type="dxa"/>
            <w:vAlign w:val="bottom"/>
          </w:tcPr>
          <w:p>
            <w:pPr>
              <w:jc w:val="right"/>
              <w:ind w:right="99"/>
              <w:spacing w:after="0"/>
              <w:rPr>
                <w:sz w:val="20"/>
                <w:szCs w:val="20"/>
                <w:color w:val="auto"/>
              </w:rPr>
            </w:pPr>
            <w:r>
              <w:rPr>
                <w:rFonts w:ascii="Arial" w:cs="Arial" w:eastAsia="Arial" w:hAnsi="Arial"/>
                <w:sz w:val="16"/>
                <w:szCs w:val="16"/>
                <w:color w:val="auto"/>
              </w:rPr>
              <w:t>25,594</w:t>
            </w:r>
          </w:p>
        </w:tc>
        <w:tc>
          <w:tcPr>
            <w:tcW w:w="620" w:type="dxa"/>
            <w:vAlign w:val="bottom"/>
          </w:tcPr>
          <w:p>
            <w:pPr>
              <w:spacing w:after="0"/>
              <w:rPr>
                <w:sz w:val="16"/>
                <w:szCs w:val="16"/>
                <w:color w:val="auto"/>
              </w:rPr>
            </w:pPr>
          </w:p>
        </w:tc>
        <w:tc>
          <w:tcPr>
            <w:tcW w:w="1160" w:type="dxa"/>
            <w:vAlign w:val="bottom"/>
          </w:tcPr>
          <w:p>
            <w:pPr>
              <w:jc w:val="right"/>
              <w:ind w:right="39"/>
              <w:spacing w:after="0"/>
              <w:rPr>
                <w:sz w:val="20"/>
                <w:szCs w:val="20"/>
                <w:color w:val="auto"/>
              </w:rPr>
            </w:pPr>
            <w:r>
              <w:rPr>
                <w:rFonts w:ascii="Arial" w:cs="Arial" w:eastAsia="Arial" w:hAnsi="Arial"/>
                <w:sz w:val="16"/>
                <w:szCs w:val="16"/>
                <w:color w:val="auto"/>
              </w:rPr>
              <w:t>26,694</w:t>
            </w:r>
          </w:p>
        </w:tc>
      </w:tr>
      <w:tr>
        <w:trPr>
          <w:trHeight w:val="189"/>
        </w:trPr>
        <w:tc>
          <w:tcPr>
            <w:tcW w:w="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260" w:type="dxa"/>
            <w:vAlign w:val="bottom"/>
          </w:tcPr>
          <w:p>
            <w:pPr>
              <w:jc w:val="right"/>
              <w:ind w:right="99"/>
              <w:spacing w:after="0"/>
              <w:rPr>
                <w:sz w:val="20"/>
                <w:szCs w:val="20"/>
                <w:color w:val="auto"/>
              </w:rPr>
            </w:pPr>
            <w:r>
              <w:rPr>
                <w:rFonts w:ascii="Arial" w:cs="Arial" w:eastAsia="Arial" w:hAnsi="Arial"/>
                <w:sz w:val="16"/>
                <w:szCs w:val="16"/>
                <w:color w:val="auto"/>
              </w:rPr>
              <w:t>33,059</w:t>
            </w:r>
          </w:p>
        </w:tc>
        <w:tc>
          <w:tcPr>
            <w:tcW w:w="620" w:type="dxa"/>
            <w:vAlign w:val="bottom"/>
          </w:tcPr>
          <w:p>
            <w:pPr>
              <w:spacing w:after="0"/>
              <w:rPr>
                <w:sz w:val="16"/>
                <w:szCs w:val="16"/>
                <w:color w:val="auto"/>
              </w:rPr>
            </w:pPr>
          </w:p>
        </w:tc>
        <w:tc>
          <w:tcPr>
            <w:tcW w:w="1160" w:type="dxa"/>
            <w:vAlign w:val="bottom"/>
          </w:tcPr>
          <w:p>
            <w:pPr>
              <w:jc w:val="right"/>
              <w:ind w:right="39"/>
              <w:spacing w:after="0"/>
              <w:rPr>
                <w:sz w:val="20"/>
                <w:szCs w:val="20"/>
                <w:color w:val="auto"/>
              </w:rPr>
            </w:pPr>
            <w:r>
              <w:rPr>
                <w:rFonts w:ascii="Arial" w:cs="Arial" w:eastAsia="Arial" w:hAnsi="Arial"/>
                <w:sz w:val="16"/>
                <w:szCs w:val="16"/>
                <w:color w:val="auto"/>
              </w:rPr>
              <w:t>29,571</w:t>
            </w:r>
          </w:p>
        </w:tc>
      </w:tr>
      <w:tr>
        <w:trPr>
          <w:trHeight w:val="203"/>
        </w:trPr>
        <w:tc>
          <w:tcPr>
            <w:tcW w:w="20" w:type="dxa"/>
            <w:vAlign w:val="bottom"/>
          </w:tcPr>
          <w:p>
            <w:pPr>
              <w:spacing w:after="0"/>
              <w:rPr>
                <w:sz w:val="17"/>
                <w:szCs w:val="17"/>
                <w:color w:val="auto"/>
              </w:rPr>
            </w:pPr>
          </w:p>
        </w:tc>
        <w:tc>
          <w:tcPr>
            <w:tcW w:w="44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4,483</w:t>
            </w:r>
          </w:p>
        </w:tc>
        <w:tc>
          <w:tcPr>
            <w:tcW w:w="62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4,397</w:t>
            </w:r>
          </w:p>
        </w:tc>
      </w:tr>
      <w:tr>
        <w:trPr>
          <w:trHeight w:val="168"/>
        </w:trPr>
        <w:tc>
          <w:tcPr>
            <w:tcW w:w="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260" w:type="dxa"/>
            <w:vAlign w:val="bottom"/>
          </w:tcPr>
          <w:p>
            <w:pPr>
              <w:jc w:val="right"/>
              <w:ind w:right="99"/>
              <w:spacing w:after="0" w:line="168" w:lineRule="exact"/>
              <w:rPr>
                <w:sz w:val="20"/>
                <w:szCs w:val="20"/>
                <w:color w:val="auto"/>
              </w:rPr>
            </w:pPr>
            <w:r>
              <w:rPr>
                <w:rFonts w:ascii="Arial" w:cs="Arial" w:eastAsia="Arial" w:hAnsi="Arial"/>
                <w:sz w:val="16"/>
                <w:szCs w:val="16"/>
                <w:color w:val="auto"/>
              </w:rPr>
              <w:t>71,036</w:t>
            </w:r>
          </w:p>
        </w:tc>
        <w:tc>
          <w:tcPr>
            <w:tcW w:w="620" w:type="dxa"/>
            <w:vAlign w:val="bottom"/>
          </w:tcPr>
          <w:p>
            <w:pPr>
              <w:spacing w:after="0"/>
              <w:rPr>
                <w:sz w:val="14"/>
                <w:szCs w:val="14"/>
                <w:color w:val="auto"/>
              </w:rPr>
            </w:pPr>
          </w:p>
        </w:tc>
        <w:tc>
          <w:tcPr>
            <w:tcW w:w="1160" w:type="dxa"/>
            <w:vAlign w:val="bottom"/>
          </w:tcPr>
          <w:p>
            <w:pPr>
              <w:jc w:val="right"/>
              <w:ind w:right="39"/>
              <w:spacing w:after="0" w:line="168" w:lineRule="exact"/>
              <w:rPr>
                <w:sz w:val="20"/>
                <w:szCs w:val="20"/>
                <w:color w:val="auto"/>
              </w:rPr>
            </w:pPr>
            <w:r>
              <w:rPr>
                <w:rFonts w:ascii="Arial" w:cs="Arial" w:eastAsia="Arial" w:hAnsi="Arial"/>
                <w:sz w:val="16"/>
                <w:szCs w:val="16"/>
                <w:color w:val="auto"/>
              </w:rPr>
              <w:t>64,212</w:t>
            </w:r>
          </w:p>
        </w:tc>
      </w:tr>
      <w:tr>
        <w:trPr>
          <w:trHeight w:val="189"/>
        </w:trPr>
        <w:tc>
          <w:tcPr>
            <w:tcW w:w="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260" w:type="dxa"/>
            <w:vAlign w:val="bottom"/>
          </w:tcPr>
          <w:p>
            <w:pPr>
              <w:jc w:val="right"/>
              <w:ind w:right="99"/>
              <w:spacing w:after="0"/>
              <w:rPr>
                <w:sz w:val="20"/>
                <w:szCs w:val="20"/>
                <w:color w:val="auto"/>
              </w:rPr>
            </w:pPr>
            <w:r>
              <w:rPr>
                <w:rFonts w:ascii="Arial" w:cs="Arial" w:eastAsia="Arial" w:hAnsi="Arial"/>
                <w:sz w:val="16"/>
                <w:szCs w:val="16"/>
                <w:color w:val="auto"/>
              </w:rPr>
              <w:t>103,635</w:t>
            </w:r>
          </w:p>
        </w:tc>
        <w:tc>
          <w:tcPr>
            <w:tcW w:w="620" w:type="dxa"/>
            <w:vAlign w:val="bottom"/>
          </w:tcPr>
          <w:p>
            <w:pPr>
              <w:spacing w:after="0"/>
              <w:rPr>
                <w:sz w:val="16"/>
                <w:szCs w:val="16"/>
                <w:color w:val="auto"/>
              </w:rPr>
            </w:pPr>
          </w:p>
        </w:tc>
        <w:tc>
          <w:tcPr>
            <w:tcW w:w="1160" w:type="dxa"/>
            <w:vAlign w:val="bottom"/>
          </w:tcPr>
          <w:p>
            <w:pPr>
              <w:jc w:val="right"/>
              <w:ind w:right="39"/>
              <w:spacing w:after="0"/>
              <w:rPr>
                <w:sz w:val="20"/>
                <w:szCs w:val="20"/>
                <w:color w:val="auto"/>
              </w:rPr>
            </w:pPr>
            <w:r>
              <w:rPr>
                <w:rFonts w:ascii="Arial" w:cs="Arial" w:eastAsia="Arial" w:hAnsi="Arial"/>
                <w:sz w:val="16"/>
                <w:szCs w:val="16"/>
                <w:color w:val="auto"/>
              </w:rPr>
              <w:t>111,332</w:t>
            </w:r>
          </w:p>
        </w:tc>
      </w:tr>
      <w:tr>
        <w:trPr>
          <w:trHeight w:val="189"/>
        </w:trPr>
        <w:tc>
          <w:tcPr>
            <w:tcW w:w="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260" w:type="dxa"/>
            <w:vAlign w:val="bottom"/>
          </w:tcPr>
          <w:p>
            <w:pPr>
              <w:jc w:val="right"/>
              <w:ind w:right="99"/>
              <w:spacing w:after="0"/>
              <w:rPr>
                <w:sz w:val="20"/>
                <w:szCs w:val="20"/>
                <w:color w:val="auto"/>
              </w:rPr>
            </w:pPr>
            <w:r>
              <w:rPr>
                <w:rFonts w:ascii="Arial" w:cs="Arial" w:eastAsia="Arial" w:hAnsi="Arial"/>
                <w:sz w:val="16"/>
                <w:szCs w:val="16"/>
                <w:color w:val="auto"/>
              </w:rPr>
              <w:t>5,260</w:t>
            </w:r>
          </w:p>
        </w:tc>
        <w:tc>
          <w:tcPr>
            <w:tcW w:w="620" w:type="dxa"/>
            <w:vAlign w:val="bottom"/>
          </w:tcPr>
          <w:p>
            <w:pPr>
              <w:spacing w:after="0"/>
              <w:rPr>
                <w:sz w:val="16"/>
                <w:szCs w:val="16"/>
                <w:color w:val="auto"/>
              </w:rPr>
            </w:pPr>
          </w:p>
        </w:tc>
        <w:tc>
          <w:tcPr>
            <w:tcW w:w="1160" w:type="dxa"/>
            <w:vAlign w:val="bottom"/>
          </w:tcPr>
          <w:p>
            <w:pPr>
              <w:jc w:val="right"/>
              <w:ind w:right="39"/>
              <w:spacing w:after="0"/>
              <w:rPr>
                <w:sz w:val="20"/>
                <w:szCs w:val="20"/>
                <w:color w:val="auto"/>
              </w:rPr>
            </w:pPr>
            <w:r>
              <w:rPr>
                <w:rFonts w:ascii="Arial" w:cs="Arial" w:eastAsia="Arial" w:hAnsi="Arial"/>
                <w:sz w:val="16"/>
                <w:szCs w:val="16"/>
                <w:color w:val="auto"/>
              </w:rPr>
              <w:t>5,265</w:t>
            </w:r>
          </w:p>
        </w:tc>
      </w:tr>
      <w:tr>
        <w:trPr>
          <w:trHeight w:val="203"/>
        </w:trPr>
        <w:tc>
          <w:tcPr>
            <w:tcW w:w="20" w:type="dxa"/>
            <w:vAlign w:val="bottom"/>
          </w:tcPr>
          <w:p>
            <w:pPr>
              <w:spacing w:after="0"/>
              <w:rPr>
                <w:sz w:val="17"/>
                <w:szCs w:val="17"/>
                <w:color w:val="auto"/>
              </w:rPr>
            </w:pPr>
          </w:p>
        </w:tc>
        <w:tc>
          <w:tcPr>
            <w:tcW w:w="44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34,581</w:t>
            </w:r>
          </w:p>
        </w:tc>
        <w:tc>
          <w:tcPr>
            <w:tcW w:w="62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34,794</w:t>
            </w:r>
          </w:p>
        </w:tc>
      </w:tr>
      <w:tr>
        <w:trPr>
          <w:trHeight w:val="183"/>
        </w:trPr>
        <w:tc>
          <w:tcPr>
            <w:tcW w:w="20" w:type="dxa"/>
            <w:vAlign w:val="bottom"/>
          </w:tcPr>
          <w:p>
            <w:pPr>
              <w:spacing w:after="0"/>
              <w:rPr>
                <w:sz w:val="15"/>
                <w:szCs w:val="15"/>
                <w:color w:val="auto"/>
              </w:rPr>
            </w:pPr>
          </w:p>
        </w:tc>
        <w:tc>
          <w:tcPr>
            <w:tcW w:w="44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tcPr>
          <w:p>
            <w:pPr>
              <w:jc w:val="right"/>
              <w:ind w:right="99"/>
              <w:spacing w:after="0" w:line="183" w:lineRule="exact"/>
              <w:rPr>
                <w:sz w:val="20"/>
                <w:szCs w:val="20"/>
                <w:color w:val="auto"/>
              </w:rPr>
            </w:pPr>
            <w:r>
              <w:rPr>
                <w:rFonts w:ascii="Arial" w:cs="Arial" w:eastAsia="Arial" w:hAnsi="Arial"/>
                <w:sz w:val="16"/>
                <w:szCs w:val="16"/>
                <w:color w:val="auto"/>
              </w:rPr>
              <w:t>214,512</w:t>
            </w:r>
          </w:p>
        </w:tc>
        <w:tc>
          <w:tcPr>
            <w:tcW w:w="62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jc w:val="right"/>
              <w:ind w:right="39"/>
              <w:spacing w:after="0" w:line="183" w:lineRule="exact"/>
              <w:rPr>
                <w:sz w:val="20"/>
                <w:szCs w:val="20"/>
                <w:color w:val="auto"/>
              </w:rPr>
            </w:pPr>
            <w:r>
              <w:rPr>
                <w:rFonts w:ascii="Arial" w:cs="Arial" w:eastAsia="Arial" w:hAnsi="Arial"/>
                <w:sz w:val="16"/>
                <w:szCs w:val="16"/>
                <w:color w:val="auto"/>
              </w:rPr>
              <w:t>215,603</w:t>
            </w:r>
          </w:p>
        </w:tc>
      </w:tr>
      <w:tr>
        <w:trPr>
          <w:trHeight w:val="572"/>
        </w:trPr>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26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620" w:type="dxa"/>
            <w:vAlign w:val="bottom"/>
          </w:tcPr>
          <w:p>
            <w:pPr>
              <w:spacing w:after="0"/>
              <w:rPr>
                <w:sz w:val="24"/>
                <w:szCs w:val="24"/>
                <w:color w:val="auto"/>
              </w:rPr>
            </w:pPr>
          </w:p>
        </w:tc>
        <w:tc>
          <w:tcPr>
            <w:tcW w:w="1160" w:type="dxa"/>
            <w:vAlign w:val="bottom"/>
          </w:tcPr>
          <w:p>
            <w:pPr>
              <w:jc w:val="right"/>
              <w:ind w:right="39"/>
              <w:spacing w:after="0"/>
              <w:rPr>
                <w:sz w:val="20"/>
                <w:szCs w:val="20"/>
                <w:color w:val="auto"/>
              </w:rPr>
            </w:pPr>
            <w:r>
              <w:rPr>
                <w:rFonts w:ascii="Arial" w:cs="Arial" w:eastAsia="Arial" w:hAnsi="Arial"/>
                <w:sz w:val="16"/>
                <w:szCs w:val="16"/>
                <w:color w:val="auto"/>
              </w:rPr>
              <w:t>—</w:t>
            </w:r>
          </w:p>
        </w:tc>
      </w:tr>
      <w:tr>
        <w:trPr>
          <w:trHeight w:val="352"/>
        </w:trPr>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260" w:type="dxa"/>
            <w:vAlign w:val="bottom"/>
          </w:tcPr>
          <w:p>
            <w:pPr>
              <w:jc w:val="right"/>
              <w:ind w:right="99"/>
              <w:spacing w:after="0"/>
              <w:rPr>
                <w:sz w:val="20"/>
                <w:szCs w:val="20"/>
                <w:color w:val="auto"/>
              </w:rPr>
            </w:pPr>
            <w:r>
              <w:rPr>
                <w:rFonts w:ascii="Arial" w:cs="Arial" w:eastAsia="Arial" w:hAnsi="Arial"/>
                <w:sz w:val="16"/>
                <w:szCs w:val="16"/>
                <w:color w:val="auto"/>
              </w:rPr>
              <w:t>8</w:t>
            </w:r>
          </w:p>
        </w:tc>
        <w:tc>
          <w:tcPr>
            <w:tcW w:w="620" w:type="dxa"/>
            <w:vAlign w:val="bottom"/>
          </w:tcPr>
          <w:p>
            <w:pPr>
              <w:spacing w:after="0"/>
              <w:rPr>
                <w:sz w:val="24"/>
                <w:szCs w:val="24"/>
                <w:color w:val="auto"/>
              </w:rPr>
            </w:pPr>
          </w:p>
        </w:tc>
        <w:tc>
          <w:tcPr>
            <w:tcW w:w="1160" w:type="dxa"/>
            <w:vAlign w:val="bottom"/>
          </w:tcPr>
          <w:p>
            <w:pPr>
              <w:jc w:val="right"/>
              <w:ind w:right="39"/>
              <w:spacing w:after="0"/>
              <w:rPr>
                <w:sz w:val="20"/>
                <w:szCs w:val="20"/>
                <w:color w:val="auto"/>
              </w:rPr>
            </w:pPr>
            <w:r>
              <w:rPr>
                <w:rFonts w:ascii="Arial" w:cs="Arial" w:eastAsia="Arial" w:hAnsi="Arial"/>
                <w:sz w:val="16"/>
                <w:szCs w:val="16"/>
                <w:color w:val="auto"/>
              </w:rPr>
              <w:t>7</w:t>
            </w:r>
          </w:p>
        </w:tc>
      </w:tr>
      <w:tr>
        <w:trPr>
          <w:trHeight w:val="189"/>
        </w:trPr>
        <w:tc>
          <w:tcPr>
            <w:tcW w:w="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260" w:type="dxa"/>
            <w:vAlign w:val="bottom"/>
          </w:tcPr>
          <w:p>
            <w:pPr>
              <w:jc w:val="right"/>
              <w:ind w:right="99"/>
              <w:spacing w:after="0"/>
              <w:rPr>
                <w:sz w:val="20"/>
                <w:szCs w:val="20"/>
                <w:color w:val="auto"/>
              </w:rPr>
            </w:pPr>
            <w:r>
              <w:rPr>
                <w:rFonts w:ascii="Arial" w:cs="Arial" w:eastAsia="Arial" w:hAnsi="Arial"/>
                <w:sz w:val="16"/>
                <w:szCs w:val="16"/>
                <w:color w:val="auto"/>
              </w:rPr>
              <w:t>1,048,371</w:t>
            </w:r>
          </w:p>
        </w:tc>
        <w:tc>
          <w:tcPr>
            <w:tcW w:w="620" w:type="dxa"/>
            <w:vAlign w:val="bottom"/>
          </w:tcPr>
          <w:p>
            <w:pPr>
              <w:spacing w:after="0"/>
              <w:rPr>
                <w:sz w:val="16"/>
                <w:szCs w:val="16"/>
                <w:color w:val="auto"/>
              </w:rPr>
            </w:pPr>
          </w:p>
        </w:tc>
        <w:tc>
          <w:tcPr>
            <w:tcW w:w="1160" w:type="dxa"/>
            <w:vAlign w:val="bottom"/>
          </w:tcPr>
          <w:p>
            <w:pPr>
              <w:jc w:val="right"/>
              <w:ind w:right="39"/>
              <w:spacing w:after="0"/>
              <w:rPr>
                <w:sz w:val="20"/>
                <w:szCs w:val="20"/>
                <w:color w:val="auto"/>
              </w:rPr>
            </w:pPr>
            <w:r>
              <w:rPr>
                <w:rFonts w:ascii="Arial" w:cs="Arial" w:eastAsia="Arial" w:hAnsi="Arial"/>
                <w:sz w:val="16"/>
                <w:szCs w:val="16"/>
                <w:color w:val="auto"/>
              </w:rPr>
              <w:t>714,090</w:t>
            </w:r>
          </w:p>
        </w:tc>
      </w:tr>
      <w:tr>
        <w:trPr>
          <w:trHeight w:val="189"/>
        </w:trPr>
        <w:tc>
          <w:tcPr>
            <w:tcW w:w="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260" w:type="dxa"/>
            <w:vAlign w:val="bottom"/>
          </w:tcPr>
          <w:p>
            <w:pPr>
              <w:jc w:val="right"/>
              <w:ind w:right="19"/>
              <w:spacing w:after="0"/>
              <w:rPr>
                <w:sz w:val="20"/>
                <w:szCs w:val="20"/>
                <w:color w:val="auto"/>
              </w:rPr>
            </w:pPr>
            <w:r>
              <w:rPr>
                <w:rFonts w:ascii="Arial" w:cs="Arial" w:eastAsia="Arial" w:hAnsi="Arial"/>
                <w:sz w:val="16"/>
                <w:szCs w:val="16"/>
                <w:color w:val="auto"/>
              </w:rPr>
              <w:t>(4,746)</w:t>
            </w:r>
          </w:p>
        </w:tc>
        <w:tc>
          <w:tcPr>
            <w:tcW w:w="62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(3,827)</w:t>
            </w:r>
          </w:p>
        </w:tc>
      </w:tr>
      <w:tr>
        <w:trPr>
          <w:trHeight w:val="203"/>
        </w:trPr>
        <w:tc>
          <w:tcPr>
            <w:tcW w:w="20" w:type="dxa"/>
            <w:vAlign w:val="bottom"/>
          </w:tcPr>
          <w:p>
            <w:pPr>
              <w:spacing w:after="0"/>
              <w:rPr>
                <w:sz w:val="17"/>
                <w:szCs w:val="17"/>
                <w:color w:val="auto"/>
              </w:rPr>
            </w:pPr>
          </w:p>
        </w:tc>
        <w:tc>
          <w:tcPr>
            <w:tcW w:w="44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(521,717)</w:t>
            </w:r>
          </w:p>
        </w:tc>
        <w:tc>
          <w:tcPr>
            <w:tcW w:w="62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(477,214)</w:t>
            </w:r>
          </w:p>
        </w:tc>
      </w:tr>
      <w:tr>
        <w:trPr>
          <w:trHeight w:val="183"/>
        </w:trPr>
        <w:tc>
          <w:tcPr>
            <w:tcW w:w="20" w:type="dxa"/>
            <w:vAlign w:val="bottom"/>
          </w:tcPr>
          <w:p>
            <w:pPr>
              <w:spacing w:after="0"/>
              <w:rPr>
                <w:sz w:val="15"/>
                <w:szCs w:val="15"/>
                <w:color w:val="auto"/>
              </w:rPr>
            </w:pPr>
          </w:p>
        </w:tc>
        <w:tc>
          <w:tcPr>
            <w:tcW w:w="44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tcPr>
          <w:p>
            <w:pPr>
              <w:jc w:val="right"/>
              <w:ind w:right="99"/>
              <w:spacing w:after="0" w:line="183" w:lineRule="exact"/>
              <w:rPr>
                <w:sz w:val="20"/>
                <w:szCs w:val="20"/>
                <w:color w:val="auto"/>
              </w:rPr>
            </w:pPr>
            <w:r>
              <w:rPr>
                <w:rFonts w:ascii="Arial" w:cs="Arial" w:eastAsia="Arial" w:hAnsi="Arial"/>
                <w:sz w:val="16"/>
                <w:szCs w:val="16"/>
                <w:color w:val="auto"/>
              </w:rPr>
              <w:t>521,916</w:t>
            </w:r>
          </w:p>
        </w:tc>
        <w:tc>
          <w:tcPr>
            <w:tcW w:w="62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jc w:val="right"/>
              <w:ind w:right="39"/>
              <w:spacing w:after="0" w:line="183" w:lineRule="exact"/>
              <w:rPr>
                <w:sz w:val="20"/>
                <w:szCs w:val="20"/>
                <w:color w:val="auto"/>
              </w:rPr>
            </w:pPr>
            <w:r>
              <w:rPr>
                <w:rFonts w:ascii="Arial" w:cs="Arial" w:eastAsia="Arial" w:hAnsi="Arial"/>
                <w:sz w:val="16"/>
                <w:szCs w:val="16"/>
                <w:color w:val="auto"/>
              </w:rPr>
              <w:t>233,056</w:t>
            </w:r>
          </w:p>
        </w:tc>
      </w:tr>
      <w:tr>
        <w:trPr>
          <w:trHeight w:val="208"/>
        </w:trPr>
        <w:tc>
          <w:tcPr>
            <w:tcW w:w="20" w:type="dxa"/>
            <w:vAlign w:val="bottom"/>
          </w:tcPr>
          <w:p>
            <w:pPr>
              <w:spacing w:after="0"/>
              <w:rPr>
                <w:sz w:val="18"/>
                <w:szCs w:val="18"/>
                <w:color w:val="auto"/>
              </w:rPr>
            </w:pPr>
          </w:p>
        </w:tc>
        <w:tc>
          <w:tcPr>
            <w:tcW w:w="440" w:type="dxa"/>
            <w:vAlign w:val="bottom"/>
          </w:tcPr>
          <w:p>
            <w:pPr>
              <w:jc w:val="right"/>
              <w:ind w:right="284"/>
              <w:spacing w:after="0"/>
              <w:rPr>
                <w:sz w:val="20"/>
                <w:szCs w:val="20"/>
                <w:color w:val="auto"/>
              </w:rPr>
            </w:pPr>
            <w:r>
              <w:rPr>
                <w:rFonts w:ascii="Arial" w:cs="Arial" w:eastAsia="Arial" w:hAnsi="Arial"/>
                <w:sz w:val="15"/>
                <w:szCs w:val="15"/>
                <w:color w:val="auto"/>
                <w:w w:val="71"/>
              </w:rPr>
              <w:t>$</w:t>
            </w:r>
          </w:p>
        </w:tc>
        <w:tc>
          <w:tcPr>
            <w:tcW w:w="1260" w:type="dxa"/>
            <w:vAlign w:val="bottom"/>
          </w:tcPr>
          <w:p>
            <w:pPr>
              <w:jc w:val="right"/>
              <w:ind w:right="99"/>
              <w:spacing w:after="0"/>
              <w:rPr>
                <w:sz w:val="20"/>
                <w:szCs w:val="20"/>
                <w:color w:val="auto"/>
              </w:rPr>
            </w:pPr>
            <w:r>
              <w:rPr>
                <w:rFonts w:ascii="Arial" w:cs="Arial" w:eastAsia="Arial" w:hAnsi="Arial"/>
                <w:sz w:val="16"/>
                <w:szCs w:val="16"/>
                <w:color w:val="auto"/>
              </w:rPr>
              <w:t>736,428</w:t>
            </w:r>
          </w:p>
        </w:tc>
        <w:tc>
          <w:tcPr>
            <w:tcW w:w="620" w:type="dxa"/>
            <w:vAlign w:val="bottom"/>
          </w:tcPr>
          <w:p>
            <w:pPr>
              <w:jc w:val="right"/>
              <w:ind w:right="339"/>
              <w:spacing w:after="0"/>
              <w:rPr>
                <w:sz w:val="20"/>
                <w:szCs w:val="20"/>
                <w:color w:val="auto"/>
              </w:rPr>
            </w:pPr>
            <w:r>
              <w:rPr>
                <w:rFonts w:ascii="Arial" w:cs="Arial" w:eastAsia="Arial" w:hAnsi="Arial"/>
                <w:sz w:val="16"/>
                <w:szCs w:val="16"/>
                <w:color w:val="auto"/>
              </w:rPr>
              <w:t>$</w:t>
            </w:r>
          </w:p>
        </w:tc>
        <w:tc>
          <w:tcPr>
            <w:tcW w:w="1160" w:type="dxa"/>
            <w:vAlign w:val="bottom"/>
          </w:tcPr>
          <w:p>
            <w:pPr>
              <w:jc w:val="right"/>
              <w:ind w:right="39"/>
              <w:spacing w:after="0"/>
              <w:rPr>
                <w:sz w:val="20"/>
                <w:szCs w:val="20"/>
                <w:color w:val="auto"/>
              </w:rPr>
            </w:pPr>
            <w:r>
              <w:rPr>
                <w:rFonts w:ascii="Arial" w:cs="Arial" w:eastAsia="Arial" w:hAnsi="Arial"/>
                <w:sz w:val="16"/>
                <w:szCs w:val="16"/>
                <w:color w:val="auto"/>
              </w:rPr>
              <w:t>448,659</w:t>
            </w:r>
          </w:p>
        </w:tc>
      </w:tr>
    </w:tbl>
    <w:p>
      <w:pPr>
        <w:spacing w:after="0" w:line="102" w:lineRule="exact"/>
        <w:rPr>
          <w:sz w:val="20"/>
          <w:szCs w:val="20"/>
          <w:color w:val="auto"/>
        </w:rPr>
      </w:pPr>
    </w:p>
    <w:p>
      <w:pPr>
        <w:sectPr>
          <w:pgSz w:w="11900" w:h="16838" w:orient="portrait"/>
          <w:cols w:equalWidth="0" w:num="2">
            <w:col w:w="7540" w:space="200"/>
            <w:col w:w="3500"/>
          </w:cols>
          <w:pgMar w:left="320" w:top="1000" w:right="339" w:bottom="1440" w:gutter="0" w:footer="0" w:header="0"/>
          <w:type w:val="continuous"/>
        </w:sectPr>
      </w:pPr>
    </w:p>
    <w:p>
      <w:pPr>
        <w:spacing w:after="0"/>
        <w:rPr>
          <w:sz w:val="20"/>
          <w:szCs w:val="20"/>
          <w:color w:val="auto"/>
        </w:rPr>
      </w:pPr>
      <w:r>
        <w:rPr>
          <w:rFonts w:ascii="Arial" w:cs="Arial" w:eastAsia="Arial" w:hAnsi="Arial"/>
          <w:sz w:val="14"/>
          <w:szCs w:val="14"/>
          <w:i w:val="1"/>
          <w:iCs w:val="1"/>
          <w:color w:val="auto"/>
        </w:rPr>
        <w:t>See accompanying notes to the condensed consolidated financial statements.</w:t>
      </w:r>
    </w:p>
    <w:p>
      <w:pPr>
        <w:spacing w:after="0" w:line="381"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00" w:right="339" w:bottom="1440" w:gutter="0" w:footer="0" w:header="0"/>
          <w:type w:val="continuous"/>
        </w:sectPr>
      </w:pPr>
    </w:p>
    <w:bookmarkStart w:id="5" w:name="page6"/>
    <w:bookmarkEnd w:id="5"/>
    <w:p>
      <w:pPr>
        <w:spacing w:after="0"/>
        <w:rPr>
          <w:sz w:val="20"/>
          <w:szCs w:val="20"/>
          <w:color w:val="auto"/>
        </w:rPr>
      </w:pPr>
      <w:r>
        <w:rPr>
          <w:rFonts w:ascii="Arial" w:cs="Arial" w:eastAsia="Arial" w:hAnsi="Arial"/>
          <w:sz w:val="32"/>
          <w:szCs w:val="32"/>
          <w:b w:val="1"/>
          <w:bCs w:val="1"/>
          <w:color w:val="auto"/>
        </w:rPr>
        <w:t>Monte Rosa Therapeutics, Inc.</w:t>
      </w:r>
    </w:p>
    <w:p>
      <w:pPr>
        <w:spacing w:after="0" w:line="44" w:lineRule="exact"/>
        <w:rPr>
          <w:sz w:val="20"/>
          <w:szCs w:val="20"/>
          <w:color w:val="auto"/>
        </w:rPr>
      </w:pPr>
    </w:p>
    <w:p>
      <w:pPr>
        <w:ind w:right="300"/>
        <w:spacing w:after="0" w:line="276" w:lineRule="auto"/>
        <w:rPr>
          <w:sz w:val="20"/>
          <w:szCs w:val="20"/>
          <w:color w:val="auto"/>
        </w:rPr>
      </w:pPr>
      <w:r>
        <w:rPr>
          <w:rFonts w:ascii="Arial" w:cs="Arial" w:eastAsia="Arial" w:hAnsi="Arial"/>
          <w:sz w:val="32"/>
          <w:szCs w:val="32"/>
          <w:b w:val="1"/>
          <w:bCs w:val="1"/>
          <w:color w:val="auto"/>
        </w:rPr>
        <w:t>Condensed consolidated statements of operations and comprehensive (loss) income (unaudited)</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5880" w:type="dxa"/>
            <w:vAlign w:val="bottom"/>
            <w:tcBorders>
              <w:top w:val="single" w:sz="8" w:color="auto"/>
            </w:tcBorders>
          </w:tcPr>
          <w:p>
            <w:pPr>
              <w:spacing w:after="0"/>
              <w:rPr>
                <w:sz w:val="16"/>
                <w:szCs w:val="16"/>
                <w:color w:val="auto"/>
              </w:rPr>
            </w:pPr>
          </w:p>
        </w:tc>
        <w:tc>
          <w:tcPr>
            <w:tcW w:w="1860" w:type="dxa"/>
            <w:vAlign w:val="bottom"/>
            <w:tcBorders>
              <w:top w:val="single" w:sz="8" w:color="auto"/>
            </w:tcBorders>
          </w:tcPr>
          <w:p>
            <w:pPr>
              <w:spacing w:after="0"/>
              <w:rPr>
                <w:sz w:val="16"/>
                <w:szCs w:val="16"/>
                <w:color w:val="auto"/>
              </w:rPr>
            </w:pPr>
          </w:p>
        </w:tc>
        <w:tc>
          <w:tcPr>
            <w:tcW w:w="340" w:type="dxa"/>
            <w:vAlign w:val="bottom"/>
            <w:tcBorders>
              <w:top w:val="single" w:sz="8" w:color="auto"/>
            </w:tcBorders>
          </w:tcPr>
          <w:p>
            <w:pPr>
              <w:spacing w:after="0"/>
              <w:rPr>
                <w:sz w:val="16"/>
                <w:szCs w:val="16"/>
                <w:color w:val="auto"/>
              </w:rPr>
            </w:pPr>
          </w:p>
        </w:tc>
        <w:tc>
          <w:tcPr>
            <w:tcW w:w="3160" w:type="dxa"/>
            <w:vAlign w:val="bottom"/>
            <w:tcBorders>
              <w:top w:val="single" w:sz="8" w:color="auto"/>
            </w:tcBorders>
            <w:gridSpan w:val="3"/>
          </w:tcPr>
          <w:p>
            <w:pPr>
              <w:jc w:val="right"/>
              <w:ind w:right="959"/>
              <w:spacing w:after="0"/>
              <w:rPr>
                <w:sz w:val="20"/>
                <w:szCs w:val="20"/>
                <w:color w:val="auto"/>
              </w:rPr>
            </w:pPr>
            <w:r>
              <w:rPr>
                <w:rFonts w:ascii="Arial" w:cs="Arial" w:eastAsia="Arial" w:hAnsi="Arial"/>
                <w:sz w:val="16"/>
                <w:szCs w:val="16"/>
                <w:b w:val="1"/>
                <w:bCs w:val="1"/>
                <w:color w:val="auto"/>
              </w:rPr>
              <w:t>Three months ended</w:t>
            </w:r>
          </w:p>
        </w:tc>
        <w:tc>
          <w:tcPr>
            <w:tcW w:w="0" w:type="dxa"/>
            <w:vAlign w:val="bottom"/>
          </w:tcPr>
          <w:p>
            <w:pPr>
              <w:spacing w:after="0"/>
              <w:rPr>
                <w:sz w:val="1"/>
                <w:szCs w:val="1"/>
                <w:color w:val="auto"/>
              </w:rPr>
            </w:pPr>
          </w:p>
        </w:tc>
      </w:tr>
      <w:tr>
        <w:trPr>
          <w:trHeight w:val="203"/>
        </w:trPr>
        <w:tc>
          <w:tcPr>
            <w:tcW w:w="5880" w:type="dxa"/>
            <w:vAlign w:val="bottom"/>
            <w:vMerge w:val="restart"/>
          </w:tcPr>
          <w:p>
            <w:pPr>
              <w:spacing w:after="0"/>
              <w:rPr>
                <w:sz w:val="20"/>
                <w:szCs w:val="20"/>
                <w:color w:val="auto"/>
              </w:rPr>
            </w:pPr>
            <w:r>
              <w:rPr>
                <w:rFonts w:ascii="Arial" w:cs="Arial" w:eastAsia="Arial" w:hAnsi="Arial"/>
                <w:sz w:val="16"/>
                <w:szCs w:val="16"/>
                <w:b w:val="1"/>
                <w:bCs w:val="1"/>
                <w:color w:val="auto"/>
              </w:rPr>
              <w:t>(in thousands, except share and per share amounts)</w:t>
            </w:r>
          </w:p>
        </w:tc>
        <w:tc>
          <w:tcPr>
            <w:tcW w:w="186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900" w:type="dxa"/>
            <w:vAlign w:val="bottom"/>
            <w:tcBorders>
              <w:bottom w:val="single" w:sz="8" w:color="auto"/>
            </w:tcBorders>
            <w:gridSpan w:val="2"/>
          </w:tcPr>
          <w:p>
            <w:pPr>
              <w:jc w:val="right"/>
              <w:ind w:right="99"/>
              <w:spacing w:after="0"/>
              <w:rPr>
                <w:sz w:val="20"/>
                <w:szCs w:val="20"/>
                <w:color w:val="auto"/>
              </w:rPr>
            </w:pPr>
            <w:r>
              <w:rPr>
                <w:rFonts w:ascii="Arial" w:cs="Arial" w:eastAsia="Arial" w:hAnsi="Arial"/>
                <w:sz w:val="16"/>
                <w:szCs w:val="16"/>
                <w:b w:val="1"/>
                <w:bCs w:val="1"/>
                <w:color w:val="auto"/>
              </w:rPr>
              <w:t>March 31,</w:t>
            </w:r>
          </w:p>
        </w:tc>
        <w:tc>
          <w:tcPr>
            <w:tcW w:w="126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83"/>
        </w:trPr>
        <w:tc>
          <w:tcPr>
            <w:tcW w:w="5880" w:type="dxa"/>
            <w:vAlign w:val="bottom"/>
            <w:tcBorders>
              <w:bottom w:val="single" w:sz="8" w:color="auto"/>
            </w:tcBorders>
            <w:vMerge w:val="continue"/>
          </w:tcPr>
          <w:p>
            <w:pPr>
              <w:spacing w:after="0"/>
              <w:rPr>
                <w:sz w:val="15"/>
                <w:szCs w:val="15"/>
                <w:color w:val="auto"/>
              </w:rPr>
            </w:pPr>
          </w:p>
        </w:tc>
        <w:tc>
          <w:tcPr>
            <w:tcW w:w="1860" w:type="dxa"/>
            <w:vAlign w:val="bottom"/>
            <w:tcBorders>
              <w:bottom w:val="single" w:sz="8" w:color="auto"/>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380" w:type="dxa"/>
            <w:vAlign w:val="bottom"/>
            <w:tcBorders>
              <w:bottom w:val="single" w:sz="8" w:color="auto"/>
            </w:tcBorders>
          </w:tcPr>
          <w:p>
            <w:pPr>
              <w:jc w:val="right"/>
              <w:ind w:right="679"/>
              <w:spacing w:after="0" w:line="183" w:lineRule="exact"/>
              <w:rPr>
                <w:sz w:val="20"/>
                <w:szCs w:val="20"/>
                <w:color w:val="auto"/>
              </w:rPr>
            </w:pPr>
            <w:r>
              <w:rPr>
                <w:rFonts w:ascii="Arial" w:cs="Arial" w:eastAsia="Arial" w:hAnsi="Arial"/>
                <w:sz w:val="16"/>
                <w:szCs w:val="16"/>
                <w:b w:val="1"/>
                <w:bCs w:val="1"/>
                <w:color w:val="auto"/>
              </w:rPr>
              <w:t>2026</w:t>
            </w:r>
          </w:p>
        </w:tc>
        <w:tc>
          <w:tcPr>
            <w:tcW w:w="52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tcPr>
          <w:p>
            <w:pPr>
              <w:jc w:val="right"/>
              <w:ind w:right="639"/>
              <w:spacing w:after="0" w:line="183" w:lineRule="exact"/>
              <w:rPr>
                <w:sz w:val="20"/>
                <w:szCs w:val="20"/>
                <w:color w:val="auto"/>
              </w:rPr>
            </w:pPr>
            <w:r>
              <w:rPr>
                <w:rFonts w:ascii="Arial" w:cs="Arial" w:eastAsia="Arial" w:hAnsi="Arial"/>
                <w:sz w:val="16"/>
                <w:szCs w:val="16"/>
                <w:b w:val="1"/>
                <w:bCs w:val="1"/>
                <w:color w:val="auto"/>
              </w:rPr>
              <w:t>2025</w:t>
            </w:r>
          </w:p>
        </w:tc>
        <w:tc>
          <w:tcPr>
            <w:tcW w:w="0" w:type="dxa"/>
            <w:vAlign w:val="bottom"/>
          </w:tcPr>
          <w:p>
            <w:pPr>
              <w:spacing w:after="0"/>
              <w:rPr>
                <w:sz w:val="1"/>
                <w:szCs w:val="1"/>
                <w:color w:val="auto"/>
              </w:rPr>
            </w:pPr>
          </w:p>
        </w:tc>
      </w:tr>
      <w:tr>
        <w:trPr>
          <w:trHeight w:val="183"/>
        </w:trPr>
        <w:tc>
          <w:tcPr>
            <w:tcW w:w="5880" w:type="dxa"/>
            <w:vAlign w:val="bottom"/>
            <w:shd w:val="clear" w:color="auto" w:fill="CFF0FC"/>
          </w:tcPr>
          <w:p>
            <w:pPr>
              <w:spacing w:after="0" w:line="183" w:lineRule="exact"/>
              <w:rPr>
                <w:sz w:val="20"/>
                <w:szCs w:val="20"/>
                <w:color w:val="auto"/>
              </w:rPr>
            </w:pPr>
            <w:r>
              <w:rPr>
                <w:rFonts w:ascii="Arial" w:cs="Arial" w:eastAsia="Arial" w:hAnsi="Arial"/>
                <w:sz w:val="16"/>
                <w:szCs w:val="16"/>
                <w:color w:val="auto"/>
              </w:rPr>
              <w:t>Collaboration revenue</w:t>
            </w:r>
          </w:p>
        </w:tc>
        <w:tc>
          <w:tcPr>
            <w:tcW w:w="2200" w:type="dxa"/>
            <w:vAlign w:val="bottom"/>
            <w:gridSpan w:val="2"/>
            <w:shd w:val="clear" w:color="auto" w:fill="CFF0FC"/>
          </w:tcPr>
          <w:p>
            <w:pPr>
              <w:jc w:val="right"/>
              <w:ind w:right="240"/>
              <w:spacing w:after="0" w:line="183" w:lineRule="exact"/>
              <w:rPr>
                <w:sz w:val="20"/>
                <w:szCs w:val="20"/>
                <w:color w:val="auto"/>
              </w:rPr>
            </w:pPr>
            <w:r>
              <w:rPr>
                <w:rFonts w:ascii="Arial" w:cs="Arial" w:eastAsia="Arial" w:hAnsi="Arial"/>
                <w:sz w:val="16"/>
                <w:szCs w:val="16"/>
                <w:color w:val="auto"/>
              </w:rPr>
              <w:t>$</w:t>
            </w:r>
          </w:p>
        </w:tc>
        <w:tc>
          <w:tcPr>
            <w:tcW w:w="1380" w:type="dxa"/>
            <w:vAlign w:val="bottom"/>
            <w:shd w:val="clear" w:color="auto" w:fill="CFF0FC"/>
          </w:tcPr>
          <w:p>
            <w:pPr>
              <w:jc w:val="right"/>
              <w:ind w:right="99"/>
              <w:spacing w:after="0" w:line="183" w:lineRule="exact"/>
              <w:rPr>
                <w:sz w:val="20"/>
                <w:szCs w:val="20"/>
                <w:color w:val="auto"/>
              </w:rPr>
            </w:pPr>
            <w:r>
              <w:rPr>
                <w:rFonts w:ascii="Arial" w:cs="Arial" w:eastAsia="Arial" w:hAnsi="Arial"/>
                <w:sz w:val="16"/>
                <w:szCs w:val="16"/>
                <w:color w:val="auto"/>
              </w:rPr>
              <w:t>4,210</w:t>
            </w:r>
          </w:p>
        </w:tc>
        <w:tc>
          <w:tcPr>
            <w:tcW w:w="520" w:type="dxa"/>
            <w:vAlign w:val="bottom"/>
            <w:shd w:val="clear" w:color="auto" w:fill="CFF0FC"/>
          </w:tcPr>
          <w:p>
            <w:pPr>
              <w:jc w:val="right"/>
              <w:ind w:right="239"/>
              <w:spacing w:after="0" w:line="183" w:lineRule="exact"/>
              <w:rPr>
                <w:sz w:val="20"/>
                <w:szCs w:val="20"/>
                <w:color w:val="auto"/>
              </w:rPr>
            </w:pPr>
            <w:r>
              <w:rPr>
                <w:rFonts w:ascii="Arial" w:cs="Arial" w:eastAsia="Arial" w:hAnsi="Arial"/>
                <w:sz w:val="16"/>
                <w:szCs w:val="16"/>
                <w:color w:val="auto"/>
              </w:rPr>
              <w:t>$</w:t>
            </w:r>
          </w:p>
        </w:tc>
        <w:tc>
          <w:tcPr>
            <w:tcW w:w="1260" w:type="dxa"/>
            <w:vAlign w:val="bottom"/>
            <w:shd w:val="clear" w:color="auto" w:fill="CFF0FC"/>
          </w:tcPr>
          <w:p>
            <w:pPr>
              <w:jc w:val="right"/>
              <w:ind w:right="39"/>
              <w:spacing w:after="0" w:line="183" w:lineRule="exact"/>
              <w:rPr>
                <w:sz w:val="20"/>
                <w:szCs w:val="20"/>
                <w:color w:val="auto"/>
              </w:rPr>
            </w:pPr>
            <w:r>
              <w:rPr>
                <w:rFonts w:ascii="Arial" w:cs="Arial" w:eastAsia="Arial" w:hAnsi="Arial"/>
                <w:sz w:val="16"/>
                <w:szCs w:val="16"/>
                <w:color w:val="auto"/>
              </w:rPr>
              <w:t>84,929</w:t>
            </w:r>
          </w:p>
        </w:tc>
        <w:tc>
          <w:tcPr>
            <w:tcW w:w="0" w:type="dxa"/>
            <w:vAlign w:val="bottom"/>
          </w:tcPr>
          <w:p>
            <w:pPr>
              <w:spacing w:after="0"/>
              <w:rPr>
                <w:sz w:val="1"/>
                <w:szCs w:val="1"/>
                <w:color w:val="auto"/>
              </w:rPr>
            </w:pPr>
          </w:p>
        </w:tc>
      </w:tr>
      <w:tr>
        <w:trPr>
          <w:trHeight w:val="189"/>
        </w:trPr>
        <w:tc>
          <w:tcPr>
            <w:tcW w:w="5880" w:type="dxa"/>
            <w:vAlign w:val="bottom"/>
          </w:tcPr>
          <w:p>
            <w:pPr>
              <w:spacing w:after="0"/>
              <w:rPr>
                <w:sz w:val="20"/>
                <w:szCs w:val="20"/>
                <w:color w:val="auto"/>
              </w:rPr>
            </w:pPr>
            <w:r>
              <w:rPr>
                <w:rFonts w:ascii="Arial" w:cs="Arial" w:eastAsia="Arial" w:hAnsi="Arial"/>
                <w:sz w:val="16"/>
                <w:szCs w:val="16"/>
                <w:color w:val="auto"/>
              </w:rPr>
              <w:t>Operating expenses:</w:t>
            </w:r>
          </w:p>
        </w:tc>
        <w:tc>
          <w:tcPr>
            <w:tcW w:w="18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5880" w:type="dxa"/>
            <w:vAlign w:val="bottom"/>
            <w:shd w:val="clear" w:color="auto" w:fill="CFF0FC"/>
          </w:tcPr>
          <w:p>
            <w:pPr>
              <w:ind w:left="140"/>
              <w:spacing w:after="0"/>
              <w:rPr>
                <w:sz w:val="20"/>
                <w:szCs w:val="20"/>
                <w:color w:val="auto"/>
              </w:rPr>
            </w:pPr>
            <w:r>
              <w:rPr>
                <w:rFonts w:ascii="Arial" w:cs="Arial" w:eastAsia="Arial" w:hAnsi="Arial"/>
                <w:sz w:val="16"/>
                <w:szCs w:val="16"/>
                <w:color w:val="auto"/>
              </w:rPr>
              <w:t>Research and development</w:t>
            </w:r>
          </w:p>
        </w:tc>
        <w:tc>
          <w:tcPr>
            <w:tcW w:w="1860" w:type="dxa"/>
            <w:vAlign w:val="bottom"/>
            <w:shd w:val="clear" w:color="auto" w:fill="CFF0FC"/>
          </w:tcPr>
          <w:p>
            <w:pPr>
              <w:spacing w:after="0"/>
              <w:rPr>
                <w:sz w:val="16"/>
                <w:szCs w:val="16"/>
                <w:color w:val="auto"/>
              </w:rPr>
            </w:pPr>
          </w:p>
        </w:tc>
        <w:tc>
          <w:tcPr>
            <w:tcW w:w="340" w:type="dxa"/>
            <w:vAlign w:val="bottom"/>
            <w:shd w:val="clear" w:color="auto" w:fill="CFF0FC"/>
          </w:tcPr>
          <w:p>
            <w:pPr>
              <w:spacing w:after="0"/>
              <w:rPr>
                <w:sz w:val="16"/>
                <w:szCs w:val="16"/>
                <w:color w:val="auto"/>
              </w:rPr>
            </w:pPr>
          </w:p>
        </w:tc>
        <w:tc>
          <w:tcPr>
            <w:tcW w:w="1380" w:type="dxa"/>
            <w:vAlign w:val="bottom"/>
            <w:shd w:val="clear" w:color="auto" w:fill="CFF0FC"/>
          </w:tcPr>
          <w:p>
            <w:pPr>
              <w:jc w:val="right"/>
              <w:ind w:right="99"/>
              <w:spacing w:after="0"/>
              <w:rPr>
                <w:sz w:val="20"/>
                <w:szCs w:val="20"/>
                <w:color w:val="auto"/>
              </w:rPr>
            </w:pPr>
            <w:r>
              <w:rPr>
                <w:rFonts w:ascii="Arial" w:cs="Arial" w:eastAsia="Arial" w:hAnsi="Arial"/>
                <w:sz w:val="16"/>
                <w:szCs w:val="16"/>
                <w:color w:val="auto"/>
              </w:rPr>
              <w:t>44,069</w:t>
            </w:r>
          </w:p>
        </w:tc>
        <w:tc>
          <w:tcPr>
            <w:tcW w:w="520" w:type="dxa"/>
            <w:vAlign w:val="bottom"/>
            <w:shd w:val="clear" w:color="auto" w:fill="CFF0FC"/>
          </w:tcPr>
          <w:p>
            <w:pPr>
              <w:spacing w:after="0"/>
              <w:rPr>
                <w:sz w:val="16"/>
                <w:szCs w:val="16"/>
                <w:color w:val="auto"/>
              </w:rPr>
            </w:pPr>
          </w:p>
        </w:tc>
        <w:tc>
          <w:tcPr>
            <w:tcW w:w="126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32,190</w:t>
            </w:r>
          </w:p>
        </w:tc>
        <w:tc>
          <w:tcPr>
            <w:tcW w:w="0" w:type="dxa"/>
            <w:vAlign w:val="bottom"/>
          </w:tcPr>
          <w:p>
            <w:pPr>
              <w:spacing w:after="0"/>
              <w:rPr>
                <w:sz w:val="1"/>
                <w:szCs w:val="1"/>
                <w:color w:val="auto"/>
              </w:rPr>
            </w:pPr>
          </w:p>
        </w:tc>
      </w:tr>
      <w:tr>
        <w:trPr>
          <w:trHeight w:val="189"/>
        </w:trPr>
        <w:tc>
          <w:tcPr>
            <w:tcW w:w="5880" w:type="dxa"/>
            <w:vAlign w:val="bottom"/>
          </w:tcPr>
          <w:p>
            <w:pPr>
              <w:ind w:left="140"/>
              <w:spacing w:after="0"/>
              <w:rPr>
                <w:sz w:val="20"/>
                <w:szCs w:val="20"/>
                <w:color w:val="auto"/>
              </w:rPr>
            </w:pPr>
            <w:r>
              <w:rPr>
                <w:rFonts w:ascii="Arial" w:cs="Arial" w:eastAsia="Arial" w:hAnsi="Arial"/>
                <w:sz w:val="16"/>
                <w:szCs w:val="16"/>
                <w:color w:val="auto"/>
              </w:rPr>
              <w:t>General and administrative</w:t>
            </w:r>
          </w:p>
        </w:tc>
        <w:tc>
          <w:tcPr>
            <w:tcW w:w="186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10,175</w:t>
            </w:r>
          </w:p>
        </w:tc>
        <w:tc>
          <w:tcPr>
            <w:tcW w:w="52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8,703</w:t>
            </w:r>
          </w:p>
        </w:tc>
        <w:tc>
          <w:tcPr>
            <w:tcW w:w="0" w:type="dxa"/>
            <w:vAlign w:val="bottom"/>
          </w:tcPr>
          <w:p>
            <w:pPr>
              <w:spacing w:after="0"/>
              <w:rPr>
                <w:sz w:val="1"/>
                <w:szCs w:val="1"/>
                <w:color w:val="auto"/>
              </w:rPr>
            </w:pPr>
          </w:p>
        </w:tc>
      </w:tr>
      <w:tr>
        <w:trPr>
          <w:trHeight w:val="183"/>
        </w:trPr>
        <w:tc>
          <w:tcPr>
            <w:tcW w:w="5880" w:type="dxa"/>
            <w:vAlign w:val="bottom"/>
            <w:tcBorders>
              <w:bottom w:val="single" w:sz="8" w:color="CFF0FC"/>
            </w:tcBorders>
            <w:shd w:val="clear" w:color="auto" w:fill="CFF0FC"/>
          </w:tcPr>
          <w:p>
            <w:pPr>
              <w:ind w:left="280"/>
              <w:spacing w:after="0" w:line="183" w:lineRule="exact"/>
              <w:rPr>
                <w:sz w:val="20"/>
                <w:szCs w:val="20"/>
                <w:color w:val="auto"/>
              </w:rPr>
            </w:pPr>
            <w:r>
              <w:rPr>
                <w:rFonts w:ascii="Arial" w:cs="Arial" w:eastAsia="Arial" w:hAnsi="Arial"/>
                <w:sz w:val="16"/>
                <w:szCs w:val="16"/>
                <w:color w:val="auto"/>
              </w:rPr>
              <w:t>Total operating expenses</w:t>
            </w:r>
          </w:p>
        </w:tc>
        <w:tc>
          <w:tcPr>
            <w:tcW w:w="1860" w:type="dxa"/>
            <w:vAlign w:val="bottom"/>
            <w:tcBorders>
              <w:bottom w:val="single" w:sz="8" w:color="CFF0FC"/>
            </w:tcBorders>
            <w:shd w:val="clear" w:color="auto" w:fill="CFF0FC"/>
          </w:tcPr>
          <w:p>
            <w:pPr>
              <w:spacing w:after="0"/>
              <w:rPr>
                <w:sz w:val="15"/>
                <w:szCs w:val="15"/>
                <w:color w:val="auto"/>
              </w:rPr>
            </w:pPr>
          </w:p>
        </w:tc>
        <w:tc>
          <w:tcPr>
            <w:tcW w:w="340" w:type="dxa"/>
            <w:vAlign w:val="bottom"/>
            <w:tcBorders>
              <w:bottom w:val="single" w:sz="8" w:color="auto"/>
            </w:tcBorders>
            <w:shd w:val="clear" w:color="auto" w:fill="CFF0FC"/>
          </w:tcPr>
          <w:p>
            <w:pPr>
              <w:spacing w:after="0"/>
              <w:rPr>
                <w:sz w:val="15"/>
                <w:szCs w:val="15"/>
                <w:color w:val="auto"/>
              </w:rPr>
            </w:pPr>
          </w:p>
        </w:tc>
        <w:tc>
          <w:tcPr>
            <w:tcW w:w="1380" w:type="dxa"/>
            <w:vAlign w:val="bottom"/>
            <w:tcBorders>
              <w:bottom w:val="single" w:sz="8" w:color="auto"/>
            </w:tcBorders>
            <w:shd w:val="clear" w:color="auto" w:fill="CFF0FC"/>
          </w:tcPr>
          <w:p>
            <w:pPr>
              <w:jc w:val="right"/>
              <w:ind w:right="99"/>
              <w:spacing w:after="0" w:line="183" w:lineRule="exact"/>
              <w:rPr>
                <w:sz w:val="20"/>
                <w:szCs w:val="20"/>
                <w:color w:val="auto"/>
              </w:rPr>
            </w:pPr>
            <w:r>
              <w:rPr>
                <w:rFonts w:ascii="Arial" w:cs="Arial" w:eastAsia="Arial" w:hAnsi="Arial"/>
                <w:sz w:val="16"/>
                <w:szCs w:val="16"/>
                <w:color w:val="auto"/>
              </w:rPr>
              <w:t>54,244</w:t>
            </w:r>
          </w:p>
        </w:tc>
        <w:tc>
          <w:tcPr>
            <w:tcW w:w="520" w:type="dxa"/>
            <w:vAlign w:val="bottom"/>
            <w:tcBorders>
              <w:bottom w:val="single" w:sz="8" w:color="auto"/>
            </w:tcBorders>
            <w:shd w:val="clear" w:color="auto" w:fill="CFF0FC"/>
          </w:tcPr>
          <w:p>
            <w:pPr>
              <w:spacing w:after="0"/>
              <w:rPr>
                <w:sz w:val="15"/>
                <w:szCs w:val="15"/>
                <w:color w:val="auto"/>
              </w:rPr>
            </w:pPr>
          </w:p>
        </w:tc>
        <w:tc>
          <w:tcPr>
            <w:tcW w:w="1260" w:type="dxa"/>
            <w:vAlign w:val="bottom"/>
            <w:tcBorders>
              <w:bottom w:val="single" w:sz="8" w:color="auto"/>
            </w:tcBorders>
            <w:shd w:val="clear" w:color="auto" w:fill="CFF0FC"/>
          </w:tcPr>
          <w:p>
            <w:pPr>
              <w:jc w:val="right"/>
              <w:ind w:right="39"/>
              <w:spacing w:after="0" w:line="183" w:lineRule="exact"/>
              <w:rPr>
                <w:sz w:val="20"/>
                <w:szCs w:val="20"/>
                <w:color w:val="auto"/>
              </w:rPr>
            </w:pPr>
            <w:r>
              <w:rPr>
                <w:rFonts w:ascii="Arial" w:cs="Arial" w:eastAsia="Arial" w:hAnsi="Arial"/>
                <w:sz w:val="16"/>
                <w:szCs w:val="16"/>
                <w:color w:val="auto"/>
              </w:rPr>
              <w:t>40,893</w:t>
            </w:r>
          </w:p>
        </w:tc>
        <w:tc>
          <w:tcPr>
            <w:tcW w:w="0" w:type="dxa"/>
            <w:vAlign w:val="bottom"/>
          </w:tcPr>
          <w:p>
            <w:pPr>
              <w:spacing w:after="0"/>
              <w:rPr>
                <w:sz w:val="1"/>
                <w:szCs w:val="1"/>
                <w:color w:val="auto"/>
              </w:rPr>
            </w:pPr>
          </w:p>
        </w:tc>
      </w:tr>
      <w:tr>
        <w:trPr>
          <w:trHeight w:val="183"/>
        </w:trPr>
        <w:tc>
          <w:tcPr>
            <w:tcW w:w="5880" w:type="dxa"/>
            <w:vAlign w:val="bottom"/>
          </w:tcPr>
          <w:p>
            <w:pPr>
              <w:spacing w:after="0" w:line="183" w:lineRule="exact"/>
              <w:rPr>
                <w:sz w:val="20"/>
                <w:szCs w:val="20"/>
                <w:color w:val="auto"/>
              </w:rPr>
            </w:pPr>
            <w:r>
              <w:rPr>
                <w:rFonts w:ascii="Arial" w:cs="Arial" w:eastAsia="Arial" w:hAnsi="Arial"/>
                <w:sz w:val="16"/>
                <w:szCs w:val="16"/>
                <w:color w:val="auto"/>
              </w:rPr>
              <w:t>(Loss) income from operations</w:t>
            </w:r>
          </w:p>
        </w:tc>
        <w:tc>
          <w:tcPr>
            <w:tcW w:w="18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380" w:type="dxa"/>
            <w:vAlign w:val="bottom"/>
          </w:tcPr>
          <w:p>
            <w:pPr>
              <w:jc w:val="right"/>
              <w:ind w:right="19"/>
              <w:spacing w:after="0" w:line="183" w:lineRule="exact"/>
              <w:rPr>
                <w:sz w:val="20"/>
                <w:szCs w:val="20"/>
                <w:color w:val="auto"/>
              </w:rPr>
            </w:pPr>
            <w:r>
              <w:rPr>
                <w:rFonts w:ascii="Arial" w:cs="Arial" w:eastAsia="Arial" w:hAnsi="Arial"/>
                <w:sz w:val="16"/>
                <w:szCs w:val="16"/>
                <w:color w:val="auto"/>
              </w:rPr>
              <w:t>(50,034)</w:t>
            </w:r>
          </w:p>
        </w:tc>
        <w:tc>
          <w:tcPr>
            <w:tcW w:w="520" w:type="dxa"/>
            <w:vAlign w:val="bottom"/>
          </w:tcPr>
          <w:p>
            <w:pPr>
              <w:spacing w:after="0"/>
              <w:rPr>
                <w:sz w:val="15"/>
                <w:szCs w:val="15"/>
                <w:color w:val="auto"/>
              </w:rPr>
            </w:pPr>
          </w:p>
        </w:tc>
        <w:tc>
          <w:tcPr>
            <w:tcW w:w="1260" w:type="dxa"/>
            <w:vAlign w:val="bottom"/>
          </w:tcPr>
          <w:p>
            <w:pPr>
              <w:jc w:val="right"/>
              <w:ind w:right="39"/>
              <w:spacing w:after="0" w:line="183" w:lineRule="exact"/>
              <w:rPr>
                <w:sz w:val="20"/>
                <w:szCs w:val="20"/>
                <w:color w:val="auto"/>
              </w:rPr>
            </w:pPr>
            <w:r>
              <w:rPr>
                <w:rFonts w:ascii="Arial" w:cs="Arial" w:eastAsia="Arial" w:hAnsi="Arial"/>
                <w:sz w:val="16"/>
                <w:szCs w:val="16"/>
                <w:color w:val="auto"/>
              </w:rPr>
              <w:t>44,036</w:t>
            </w:r>
          </w:p>
        </w:tc>
        <w:tc>
          <w:tcPr>
            <w:tcW w:w="0" w:type="dxa"/>
            <w:vAlign w:val="bottom"/>
          </w:tcPr>
          <w:p>
            <w:pPr>
              <w:spacing w:after="0"/>
              <w:rPr>
                <w:sz w:val="1"/>
                <w:szCs w:val="1"/>
                <w:color w:val="auto"/>
              </w:rPr>
            </w:pPr>
          </w:p>
        </w:tc>
      </w:tr>
      <w:tr>
        <w:trPr>
          <w:trHeight w:val="189"/>
        </w:trPr>
        <w:tc>
          <w:tcPr>
            <w:tcW w:w="5880" w:type="dxa"/>
            <w:vAlign w:val="bottom"/>
            <w:shd w:val="clear" w:color="auto" w:fill="CFF0FC"/>
          </w:tcPr>
          <w:p>
            <w:pPr>
              <w:spacing w:after="0"/>
              <w:rPr>
                <w:sz w:val="20"/>
                <w:szCs w:val="20"/>
                <w:color w:val="auto"/>
              </w:rPr>
            </w:pPr>
            <w:r>
              <w:rPr>
                <w:rFonts w:ascii="Arial" w:cs="Arial" w:eastAsia="Arial" w:hAnsi="Arial"/>
                <w:sz w:val="16"/>
                <w:szCs w:val="16"/>
                <w:color w:val="auto"/>
              </w:rPr>
              <w:t>Other income:</w:t>
            </w:r>
          </w:p>
        </w:tc>
        <w:tc>
          <w:tcPr>
            <w:tcW w:w="1860" w:type="dxa"/>
            <w:vAlign w:val="bottom"/>
            <w:shd w:val="clear" w:color="auto" w:fill="CFF0FC"/>
          </w:tcPr>
          <w:p>
            <w:pPr>
              <w:spacing w:after="0"/>
              <w:rPr>
                <w:sz w:val="16"/>
                <w:szCs w:val="16"/>
                <w:color w:val="auto"/>
              </w:rPr>
            </w:pPr>
          </w:p>
        </w:tc>
        <w:tc>
          <w:tcPr>
            <w:tcW w:w="340" w:type="dxa"/>
            <w:vAlign w:val="bottom"/>
            <w:shd w:val="clear" w:color="auto" w:fill="CFF0FC"/>
          </w:tcPr>
          <w:p>
            <w:pPr>
              <w:spacing w:after="0"/>
              <w:rPr>
                <w:sz w:val="16"/>
                <w:szCs w:val="16"/>
                <w:color w:val="auto"/>
              </w:rPr>
            </w:pPr>
          </w:p>
        </w:tc>
        <w:tc>
          <w:tcPr>
            <w:tcW w:w="1380" w:type="dxa"/>
            <w:vAlign w:val="bottom"/>
            <w:shd w:val="clear" w:color="auto" w:fill="CFF0FC"/>
          </w:tcPr>
          <w:p>
            <w:pPr>
              <w:spacing w:after="0"/>
              <w:rPr>
                <w:sz w:val="16"/>
                <w:szCs w:val="16"/>
                <w:color w:val="auto"/>
              </w:rPr>
            </w:pPr>
          </w:p>
        </w:tc>
        <w:tc>
          <w:tcPr>
            <w:tcW w:w="520" w:type="dxa"/>
            <w:vAlign w:val="bottom"/>
            <w:shd w:val="clear" w:color="auto" w:fill="CFF0FC"/>
          </w:tcPr>
          <w:p>
            <w:pPr>
              <w:spacing w:after="0"/>
              <w:rPr>
                <w:sz w:val="16"/>
                <w:szCs w:val="16"/>
                <w:color w:val="auto"/>
              </w:rPr>
            </w:pPr>
          </w:p>
        </w:tc>
        <w:tc>
          <w:tcPr>
            <w:tcW w:w="126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5880" w:type="dxa"/>
            <w:vAlign w:val="bottom"/>
          </w:tcPr>
          <w:p>
            <w:pPr>
              <w:ind w:left="140"/>
              <w:spacing w:after="0"/>
              <w:rPr>
                <w:sz w:val="20"/>
                <w:szCs w:val="20"/>
                <w:color w:val="auto"/>
              </w:rPr>
            </w:pPr>
            <w:r>
              <w:rPr>
                <w:rFonts w:ascii="Arial" w:cs="Arial" w:eastAsia="Arial" w:hAnsi="Arial"/>
                <w:sz w:val="16"/>
                <w:szCs w:val="16"/>
                <w:color w:val="auto"/>
              </w:rPr>
              <w:t>Interest income</w:t>
            </w:r>
          </w:p>
        </w:tc>
        <w:tc>
          <w:tcPr>
            <w:tcW w:w="18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380" w:type="dxa"/>
            <w:vAlign w:val="bottom"/>
          </w:tcPr>
          <w:p>
            <w:pPr>
              <w:jc w:val="right"/>
              <w:ind w:right="99"/>
              <w:spacing w:after="0"/>
              <w:rPr>
                <w:sz w:val="20"/>
                <w:szCs w:val="20"/>
                <w:color w:val="auto"/>
              </w:rPr>
            </w:pPr>
            <w:r>
              <w:rPr>
                <w:rFonts w:ascii="Arial" w:cs="Arial" w:eastAsia="Arial" w:hAnsi="Arial"/>
                <w:sz w:val="16"/>
                <w:szCs w:val="16"/>
                <w:color w:val="auto"/>
              </w:rPr>
              <w:t>5,591</w:t>
            </w:r>
          </w:p>
        </w:tc>
        <w:tc>
          <w:tcPr>
            <w:tcW w:w="520" w:type="dxa"/>
            <w:vAlign w:val="bottom"/>
          </w:tcPr>
          <w:p>
            <w:pPr>
              <w:spacing w:after="0"/>
              <w:rPr>
                <w:sz w:val="16"/>
                <w:szCs w:val="16"/>
                <w:color w:val="auto"/>
              </w:rPr>
            </w:pPr>
          </w:p>
        </w:tc>
        <w:tc>
          <w:tcPr>
            <w:tcW w:w="1260" w:type="dxa"/>
            <w:vAlign w:val="bottom"/>
          </w:tcPr>
          <w:p>
            <w:pPr>
              <w:jc w:val="right"/>
              <w:ind w:right="39"/>
              <w:spacing w:after="0"/>
              <w:rPr>
                <w:sz w:val="20"/>
                <w:szCs w:val="20"/>
                <w:color w:val="auto"/>
              </w:rPr>
            </w:pPr>
            <w:r>
              <w:rPr>
                <w:rFonts w:ascii="Arial" w:cs="Arial" w:eastAsia="Arial" w:hAnsi="Arial"/>
                <w:sz w:val="16"/>
                <w:szCs w:val="16"/>
                <w:color w:val="auto"/>
              </w:rPr>
              <w:t>3,439</w:t>
            </w:r>
          </w:p>
        </w:tc>
        <w:tc>
          <w:tcPr>
            <w:tcW w:w="0" w:type="dxa"/>
            <w:vAlign w:val="bottom"/>
          </w:tcPr>
          <w:p>
            <w:pPr>
              <w:spacing w:after="0"/>
              <w:rPr>
                <w:sz w:val="1"/>
                <w:szCs w:val="1"/>
                <w:color w:val="auto"/>
              </w:rPr>
            </w:pPr>
          </w:p>
        </w:tc>
      </w:tr>
      <w:tr>
        <w:trPr>
          <w:trHeight w:val="189"/>
        </w:trPr>
        <w:tc>
          <w:tcPr>
            <w:tcW w:w="5880" w:type="dxa"/>
            <w:vAlign w:val="bottom"/>
            <w:shd w:val="clear" w:color="auto" w:fill="CFF0FC"/>
          </w:tcPr>
          <w:p>
            <w:pPr>
              <w:ind w:left="140"/>
              <w:spacing w:after="0"/>
              <w:rPr>
                <w:sz w:val="20"/>
                <w:szCs w:val="20"/>
                <w:color w:val="auto"/>
              </w:rPr>
            </w:pPr>
            <w:r>
              <w:rPr>
                <w:rFonts w:ascii="Arial" w:cs="Arial" w:eastAsia="Arial" w:hAnsi="Arial"/>
                <w:sz w:val="16"/>
                <w:szCs w:val="16"/>
                <w:color w:val="auto"/>
              </w:rPr>
              <w:t>Foreign currency exchange (loss) gain</w:t>
            </w:r>
          </w:p>
        </w:tc>
        <w:tc>
          <w:tcPr>
            <w:tcW w:w="1860" w:type="dxa"/>
            <w:vAlign w:val="bottom"/>
            <w:shd w:val="clear" w:color="auto" w:fill="CFF0FC"/>
          </w:tcPr>
          <w:p>
            <w:pPr>
              <w:spacing w:after="0"/>
              <w:rPr>
                <w:sz w:val="16"/>
                <w:szCs w:val="16"/>
                <w:color w:val="auto"/>
              </w:rPr>
            </w:pPr>
          </w:p>
        </w:tc>
        <w:tc>
          <w:tcPr>
            <w:tcW w:w="340" w:type="dxa"/>
            <w:vAlign w:val="bottom"/>
            <w:shd w:val="clear" w:color="auto" w:fill="CFF0FC"/>
          </w:tcPr>
          <w:p>
            <w:pPr>
              <w:spacing w:after="0"/>
              <w:rPr>
                <w:sz w:val="16"/>
                <w:szCs w:val="16"/>
                <w:color w:val="auto"/>
              </w:rPr>
            </w:pPr>
          </w:p>
        </w:tc>
        <w:tc>
          <w:tcPr>
            <w:tcW w:w="1380" w:type="dxa"/>
            <w:vAlign w:val="bottom"/>
            <w:shd w:val="clear" w:color="auto" w:fill="CFF0FC"/>
          </w:tcPr>
          <w:p>
            <w:pPr>
              <w:jc w:val="right"/>
              <w:ind w:right="19"/>
              <w:spacing w:after="0"/>
              <w:rPr>
                <w:sz w:val="20"/>
                <w:szCs w:val="20"/>
                <w:color w:val="auto"/>
              </w:rPr>
            </w:pPr>
            <w:r>
              <w:rPr>
                <w:rFonts w:ascii="Arial" w:cs="Arial" w:eastAsia="Arial" w:hAnsi="Arial"/>
                <w:sz w:val="16"/>
                <w:szCs w:val="16"/>
                <w:color w:val="auto"/>
              </w:rPr>
              <w:t>(8)</w:t>
            </w:r>
          </w:p>
        </w:tc>
        <w:tc>
          <w:tcPr>
            <w:tcW w:w="520" w:type="dxa"/>
            <w:vAlign w:val="bottom"/>
            <w:shd w:val="clear" w:color="auto" w:fill="CFF0FC"/>
          </w:tcPr>
          <w:p>
            <w:pPr>
              <w:spacing w:after="0"/>
              <w:rPr>
                <w:sz w:val="16"/>
                <w:szCs w:val="16"/>
                <w:color w:val="auto"/>
              </w:rPr>
            </w:pPr>
          </w:p>
        </w:tc>
        <w:tc>
          <w:tcPr>
            <w:tcW w:w="126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173</w:t>
            </w:r>
          </w:p>
        </w:tc>
        <w:tc>
          <w:tcPr>
            <w:tcW w:w="0" w:type="dxa"/>
            <w:vAlign w:val="bottom"/>
          </w:tcPr>
          <w:p>
            <w:pPr>
              <w:spacing w:after="0"/>
              <w:rPr>
                <w:sz w:val="1"/>
                <w:szCs w:val="1"/>
                <w:color w:val="auto"/>
              </w:rPr>
            </w:pPr>
          </w:p>
        </w:tc>
      </w:tr>
      <w:tr>
        <w:trPr>
          <w:trHeight w:val="189"/>
        </w:trPr>
        <w:tc>
          <w:tcPr>
            <w:tcW w:w="5880" w:type="dxa"/>
            <w:vAlign w:val="bottom"/>
          </w:tcPr>
          <w:p>
            <w:pPr>
              <w:ind w:left="140"/>
              <w:spacing w:after="0"/>
              <w:rPr>
                <w:sz w:val="20"/>
                <w:szCs w:val="20"/>
                <w:color w:val="auto"/>
              </w:rPr>
            </w:pPr>
            <w:r>
              <w:rPr>
                <w:rFonts w:ascii="Arial" w:cs="Arial" w:eastAsia="Arial" w:hAnsi="Arial"/>
                <w:sz w:val="16"/>
                <w:szCs w:val="16"/>
                <w:color w:val="auto"/>
              </w:rPr>
              <w:t>Gain on disposal of property and equipment</w:t>
            </w:r>
          </w:p>
        </w:tc>
        <w:tc>
          <w:tcPr>
            <w:tcW w:w="186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w:t>
            </w:r>
          </w:p>
        </w:tc>
        <w:tc>
          <w:tcPr>
            <w:tcW w:w="52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59</w:t>
            </w:r>
          </w:p>
        </w:tc>
        <w:tc>
          <w:tcPr>
            <w:tcW w:w="0" w:type="dxa"/>
            <w:vAlign w:val="bottom"/>
          </w:tcPr>
          <w:p>
            <w:pPr>
              <w:spacing w:after="0"/>
              <w:rPr>
                <w:sz w:val="1"/>
                <w:szCs w:val="1"/>
                <w:color w:val="auto"/>
              </w:rPr>
            </w:pPr>
          </w:p>
        </w:tc>
      </w:tr>
      <w:tr>
        <w:trPr>
          <w:trHeight w:val="183"/>
        </w:trPr>
        <w:tc>
          <w:tcPr>
            <w:tcW w:w="5880" w:type="dxa"/>
            <w:vAlign w:val="bottom"/>
            <w:tcBorders>
              <w:bottom w:val="single" w:sz="8" w:color="CFF0FC"/>
            </w:tcBorders>
            <w:shd w:val="clear" w:color="auto" w:fill="CFF0FC"/>
          </w:tcPr>
          <w:p>
            <w:pPr>
              <w:ind w:left="280"/>
              <w:spacing w:after="0" w:line="183" w:lineRule="exact"/>
              <w:rPr>
                <w:sz w:val="20"/>
                <w:szCs w:val="20"/>
                <w:color w:val="auto"/>
              </w:rPr>
            </w:pPr>
            <w:r>
              <w:rPr>
                <w:rFonts w:ascii="Arial" w:cs="Arial" w:eastAsia="Arial" w:hAnsi="Arial"/>
                <w:sz w:val="16"/>
                <w:szCs w:val="16"/>
                <w:color w:val="auto"/>
              </w:rPr>
              <w:t>Total other income</w:t>
            </w:r>
          </w:p>
        </w:tc>
        <w:tc>
          <w:tcPr>
            <w:tcW w:w="1860" w:type="dxa"/>
            <w:vAlign w:val="bottom"/>
            <w:tcBorders>
              <w:bottom w:val="single" w:sz="8" w:color="CFF0FC"/>
            </w:tcBorders>
            <w:shd w:val="clear" w:color="auto" w:fill="CFF0FC"/>
          </w:tcPr>
          <w:p>
            <w:pPr>
              <w:spacing w:after="0"/>
              <w:rPr>
                <w:sz w:val="15"/>
                <w:szCs w:val="15"/>
                <w:color w:val="auto"/>
              </w:rPr>
            </w:pPr>
          </w:p>
        </w:tc>
        <w:tc>
          <w:tcPr>
            <w:tcW w:w="340" w:type="dxa"/>
            <w:vAlign w:val="bottom"/>
            <w:tcBorders>
              <w:bottom w:val="single" w:sz="8" w:color="auto"/>
            </w:tcBorders>
            <w:shd w:val="clear" w:color="auto" w:fill="CFF0FC"/>
          </w:tcPr>
          <w:p>
            <w:pPr>
              <w:spacing w:after="0"/>
              <w:rPr>
                <w:sz w:val="15"/>
                <w:szCs w:val="15"/>
                <w:color w:val="auto"/>
              </w:rPr>
            </w:pPr>
          </w:p>
        </w:tc>
        <w:tc>
          <w:tcPr>
            <w:tcW w:w="1380" w:type="dxa"/>
            <w:vAlign w:val="bottom"/>
            <w:tcBorders>
              <w:bottom w:val="single" w:sz="8" w:color="auto"/>
            </w:tcBorders>
            <w:shd w:val="clear" w:color="auto" w:fill="CFF0FC"/>
          </w:tcPr>
          <w:p>
            <w:pPr>
              <w:jc w:val="right"/>
              <w:ind w:right="99"/>
              <w:spacing w:after="0" w:line="183" w:lineRule="exact"/>
              <w:rPr>
                <w:sz w:val="20"/>
                <w:szCs w:val="20"/>
                <w:color w:val="auto"/>
              </w:rPr>
            </w:pPr>
            <w:r>
              <w:rPr>
                <w:rFonts w:ascii="Arial" w:cs="Arial" w:eastAsia="Arial" w:hAnsi="Arial"/>
                <w:sz w:val="16"/>
                <w:szCs w:val="16"/>
                <w:color w:val="auto"/>
              </w:rPr>
              <w:t>5,583</w:t>
            </w:r>
          </w:p>
        </w:tc>
        <w:tc>
          <w:tcPr>
            <w:tcW w:w="520" w:type="dxa"/>
            <w:vAlign w:val="bottom"/>
            <w:tcBorders>
              <w:bottom w:val="single" w:sz="8" w:color="auto"/>
            </w:tcBorders>
            <w:shd w:val="clear" w:color="auto" w:fill="CFF0FC"/>
          </w:tcPr>
          <w:p>
            <w:pPr>
              <w:spacing w:after="0"/>
              <w:rPr>
                <w:sz w:val="15"/>
                <w:szCs w:val="15"/>
                <w:color w:val="auto"/>
              </w:rPr>
            </w:pPr>
          </w:p>
        </w:tc>
        <w:tc>
          <w:tcPr>
            <w:tcW w:w="1260" w:type="dxa"/>
            <w:vAlign w:val="bottom"/>
            <w:tcBorders>
              <w:bottom w:val="single" w:sz="8" w:color="auto"/>
            </w:tcBorders>
            <w:shd w:val="clear" w:color="auto" w:fill="CFF0FC"/>
          </w:tcPr>
          <w:p>
            <w:pPr>
              <w:jc w:val="right"/>
              <w:ind w:right="39"/>
              <w:spacing w:after="0" w:line="183" w:lineRule="exact"/>
              <w:rPr>
                <w:sz w:val="20"/>
                <w:szCs w:val="20"/>
                <w:color w:val="auto"/>
              </w:rPr>
            </w:pPr>
            <w:r>
              <w:rPr>
                <w:rFonts w:ascii="Arial" w:cs="Arial" w:eastAsia="Arial" w:hAnsi="Arial"/>
                <w:sz w:val="16"/>
                <w:szCs w:val="16"/>
                <w:color w:val="auto"/>
              </w:rPr>
              <w:t>3,671</w:t>
            </w:r>
          </w:p>
        </w:tc>
        <w:tc>
          <w:tcPr>
            <w:tcW w:w="0" w:type="dxa"/>
            <w:vAlign w:val="bottom"/>
          </w:tcPr>
          <w:p>
            <w:pPr>
              <w:spacing w:after="0"/>
              <w:rPr>
                <w:sz w:val="1"/>
                <w:szCs w:val="1"/>
                <w:color w:val="auto"/>
              </w:rPr>
            </w:pPr>
          </w:p>
        </w:tc>
      </w:tr>
      <w:tr>
        <w:trPr>
          <w:trHeight w:val="183"/>
        </w:trPr>
        <w:tc>
          <w:tcPr>
            <w:tcW w:w="5880" w:type="dxa"/>
            <w:vAlign w:val="bottom"/>
          </w:tcPr>
          <w:p>
            <w:pPr>
              <w:spacing w:after="0" w:line="183" w:lineRule="exact"/>
              <w:rPr>
                <w:sz w:val="20"/>
                <w:szCs w:val="20"/>
                <w:color w:val="auto"/>
              </w:rPr>
            </w:pPr>
            <w:r>
              <w:rPr>
                <w:rFonts w:ascii="Arial" w:cs="Arial" w:eastAsia="Arial" w:hAnsi="Arial"/>
                <w:sz w:val="16"/>
                <w:szCs w:val="16"/>
                <w:color w:val="auto"/>
              </w:rPr>
              <w:t>Net (loss) income before income taxes</w:t>
            </w:r>
          </w:p>
        </w:tc>
        <w:tc>
          <w:tcPr>
            <w:tcW w:w="18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380" w:type="dxa"/>
            <w:vAlign w:val="bottom"/>
          </w:tcPr>
          <w:p>
            <w:pPr>
              <w:jc w:val="right"/>
              <w:ind w:right="19"/>
              <w:spacing w:after="0" w:line="183" w:lineRule="exact"/>
              <w:rPr>
                <w:sz w:val="20"/>
                <w:szCs w:val="20"/>
                <w:color w:val="auto"/>
              </w:rPr>
            </w:pPr>
            <w:r>
              <w:rPr>
                <w:rFonts w:ascii="Arial" w:cs="Arial" w:eastAsia="Arial" w:hAnsi="Arial"/>
                <w:sz w:val="16"/>
                <w:szCs w:val="16"/>
                <w:color w:val="auto"/>
              </w:rPr>
              <w:t>(44,451)</w:t>
            </w:r>
          </w:p>
        </w:tc>
        <w:tc>
          <w:tcPr>
            <w:tcW w:w="520" w:type="dxa"/>
            <w:vAlign w:val="bottom"/>
          </w:tcPr>
          <w:p>
            <w:pPr>
              <w:spacing w:after="0"/>
              <w:rPr>
                <w:sz w:val="15"/>
                <w:szCs w:val="15"/>
                <w:color w:val="auto"/>
              </w:rPr>
            </w:pPr>
          </w:p>
        </w:tc>
        <w:tc>
          <w:tcPr>
            <w:tcW w:w="1260" w:type="dxa"/>
            <w:vAlign w:val="bottom"/>
          </w:tcPr>
          <w:p>
            <w:pPr>
              <w:jc w:val="right"/>
              <w:ind w:right="39"/>
              <w:spacing w:after="0" w:line="183" w:lineRule="exact"/>
              <w:rPr>
                <w:sz w:val="20"/>
                <w:szCs w:val="20"/>
                <w:color w:val="auto"/>
              </w:rPr>
            </w:pPr>
            <w:r>
              <w:rPr>
                <w:rFonts w:ascii="Arial" w:cs="Arial" w:eastAsia="Arial" w:hAnsi="Arial"/>
                <w:sz w:val="16"/>
                <w:szCs w:val="16"/>
                <w:color w:val="auto"/>
              </w:rPr>
              <w:t>47,707</w:t>
            </w:r>
          </w:p>
        </w:tc>
        <w:tc>
          <w:tcPr>
            <w:tcW w:w="0" w:type="dxa"/>
            <w:vAlign w:val="bottom"/>
          </w:tcPr>
          <w:p>
            <w:pPr>
              <w:spacing w:after="0"/>
              <w:rPr>
                <w:sz w:val="1"/>
                <w:szCs w:val="1"/>
                <w:color w:val="auto"/>
              </w:rPr>
            </w:pPr>
          </w:p>
        </w:tc>
      </w:tr>
      <w:tr>
        <w:trPr>
          <w:trHeight w:val="189"/>
        </w:trPr>
        <w:tc>
          <w:tcPr>
            <w:tcW w:w="5880" w:type="dxa"/>
            <w:vAlign w:val="bottom"/>
            <w:tcBorders>
              <w:bottom w:val="single" w:sz="8" w:color="CFF0FC"/>
            </w:tcBorders>
            <w:shd w:val="clear" w:color="auto" w:fill="CFF0FC"/>
          </w:tcPr>
          <w:p>
            <w:pPr>
              <w:ind w:left="140"/>
              <w:spacing w:after="0"/>
              <w:rPr>
                <w:sz w:val="20"/>
                <w:szCs w:val="20"/>
                <w:color w:val="auto"/>
              </w:rPr>
            </w:pPr>
            <w:r>
              <w:rPr>
                <w:rFonts w:ascii="Arial" w:cs="Arial" w:eastAsia="Arial" w:hAnsi="Arial"/>
                <w:sz w:val="16"/>
                <w:szCs w:val="16"/>
                <w:color w:val="auto"/>
              </w:rPr>
              <w:t>Income tax provision</w:t>
            </w:r>
          </w:p>
        </w:tc>
        <w:tc>
          <w:tcPr>
            <w:tcW w:w="1860" w:type="dxa"/>
            <w:vAlign w:val="bottom"/>
            <w:tcBorders>
              <w:bottom w:val="single" w:sz="8" w:color="CFF0FC"/>
            </w:tcBorders>
            <w:shd w:val="clear" w:color="auto" w:fill="CFF0FC"/>
          </w:tcPr>
          <w:p>
            <w:pPr>
              <w:spacing w:after="0"/>
              <w:rPr>
                <w:sz w:val="16"/>
                <w:szCs w:val="16"/>
                <w:color w:val="auto"/>
              </w:rPr>
            </w:pPr>
          </w:p>
        </w:tc>
        <w:tc>
          <w:tcPr>
            <w:tcW w:w="340" w:type="dxa"/>
            <w:vAlign w:val="bottom"/>
            <w:tcBorders>
              <w:bottom w:val="single" w:sz="8" w:color="auto"/>
            </w:tcBorders>
            <w:shd w:val="clear" w:color="auto" w:fill="CFF0FC"/>
          </w:tcPr>
          <w:p>
            <w:pPr>
              <w:spacing w:after="0"/>
              <w:rPr>
                <w:sz w:val="16"/>
                <w:szCs w:val="16"/>
                <w:color w:val="auto"/>
              </w:rPr>
            </w:pPr>
          </w:p>
        </w:tc>
        <w:tc>
          <w:tcPr>
            <w:tcW w:w="1380" w:type="dxa"/>
            <w:vAlign w:val="bottom"/>
            <w:tcBorders>
              <w:bottom w:val="single" w:sz="8" w:color="auto"/>
            </w:tcBorders>
            <w:shd w:val="clear" w:color="auto" w:fill="CFF0FC"/>
          </w:tcPr>
          <w:p>
            <w:pPr>
              <w:jc w:val="right"/>
              <w:ind w:right="19"/>
              <w:spacing w:after="0"/>
              <w:rPr>
                <w:sz w:val="20"/>
                <w:szCs w:val="20"/>
                <w:color w:val="auto"/>
              </w:rPr>
            </w:pPr>
            <w:r>
              <w:rPr>
                <w:rFonts w:ascii="Arial" w:cs="Arial" w:eastAsia="Arial" w:hAnsi="Arial"/>
                <w:sz w:val="16"/>
                <w:szCs w:val="16"/>
                <w:color w:val="auto"/>
              </w:rPr>
              <w:t>(52)</w:t>
            </w:r>
          </w:p>
        </w:tc>
        <w:tc>
          <w:tcPr>
            <w:tcW w:w="520" w:type="dxa"/>
            <w:vAlign w:val="bottom"/>
            <w:tcBorders>
              <w:bottom w:val="single" w:sz="8" w:color="auto"/>
            </w:tcBorders>
            <w:shd w:val="clear" w:color="auto" w:fill="CFF0FC"/>
          </w:tcPr>
          <w:p>
            <w:pPr>
              <w:spacing w:after="0"/>
              <w:rPr>
                <w:sz w:val="16"/>
                <w:szCs w:val="16"/>
                <w:color w:val="auto"/>
              </w:rPr>
            </w:pPr>
          </w:p>
        </w:tc>
        <w:tc>
          <w:tcPr>
            <w:tcW w:w="12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(822)</w:t>
            </w:r>
          </w:p>
        </w:tc>
        <w:tc>
          <w:tcPr>
            <w:tcW w:w="0" w:type="dxa"/>
            <w:vAlign w:val="bottom"/>
          </w:tcPr>
          <w:p>
            <w:pPr>
              <w:spacing w:after="0"/>
              <w:rPr>
                <w:sz w:val="1"/>
                <w:szCs w:val="1"/>
                <w:color w:val="auto"/>
              </w:rPr>
            </w:pPr>
          </w:p>
        </w:tc>
      </w:tr>
      <w:tr>
        <w:trPr>
          <w:trHeight w:val="183"/>
        </w:trPr>
        <w:tc>
          <w:tcPr>
            <w:tcW w:w="5880" w:type="dxa"/>
            <w:vAlign w:val="bottom"/>
          </w:tcPr>
          <w:p>
            <w:pPr>
              <w:spacing w:after="0" w:line="183" w:lineRule="exact"/>
              <w:rPr>
                <w:sz w:val="20"/>
                <w:szCs w:val="20"/>
                <w:color w:val="auto"/>
              </w:rPr>
            </w:pPr>
            <w:r>
              <w:rPr>
                <w:rFonts w:ascii="Arial" w:cs="Arial" w:eastAsia="Arial" w:hAnsi="Arial"/>
                <w:sz w:val="16"/>
                <w:szCs w:val="16"/>
                <w:color w:val="auto"/>
              </w:rPr>
              <w:t>Net (loss) income</w:t>
            </w:r>
          </w:p>
        </w:tc>
        <w:tc>
          <w:tcPr>
            <w:tcW w:w="2200" w:type="dxa"/>
            <w:vAlign w:val="bottom"/>
            <w:gridSpan w:val="2"/>
          </w:tcPr>
          <w:p>
            <w:pPr>
              <w:jc w:val="right"/>
              <w:ind w:right="240"/>
              <w:spacing w:after="0" w:line="183" w:lineRule="exact"/>
              <w:rPr>
                <w:sz w:val="20"/>
                <w:szCs w:val="20"/>
                <w:color w:val="auto"/>
              </w:rPr>
            </w:pPr>
            <w:r>
              <w:rPr>
                <w:rFonts w:ascii="Arial" w:cs="Arial" w:eastAsia="Arial" w:hAnsi="Arial"/>
                <w:sz w:val="16"/>
                <w:szCs w:val="16"/>
                <w:color w:val="auto"/>
              </w:rPr>
              <w:t>$</w:t>
            </w:r>
          </w:p>
        </w:tc>
        <w:tc>
          <w:tcPr>
            <w:tcW w:w="1380" w:type="dxa"/>
            <w:vAlign w:val="bottom"/>
          </w:tcPr>
          <w:p>
            <w:pPr>
              <w:jc w:val="right"/>
              <w:ind w:right="19"/>
              <w:spacing w:after="0" w:line="183" w:lineRule="exact"/>
              <w:rPr>
                <w:sz w:val="20"/>
                <w:szCs w:val="20"/>
                <w:color w:val="auto"/>
              </w:rPr>
            </w:pPr>
            <w:r>
              <w:rPr>
                <w:rFonts w:ascii="Arial" w:cs="Arial" w:eastAsia="Arial" w:hAnsi="Arial"/>
                <w:sz w:val="16"/>
                <w:szCs w:val="16"/>
                <w:color w:val="auto"/>
              </w:rPr>
              <w:t>(44,503)</w:t>
            </w:r>
          </w:p>
        </w:tc>
        <w:tc>
          <w:tcPr>
            <w:tcW w:w="520" w:type="dxa"/>
            <w:vAlign w:val="bottom"/>
          </w:tcPr>
          <w:p>
            <w:pPr>
              <w:jc w:val="right"/>
              <w:ind w:right="239"/>
              <w:spacing w:after="0" w:line="183" w:lineRule="exact"/>
              <w:rPr>
                <w:sz w:val="20"/>
                <w:szCs w:val="20"/>
                <w:color w:val="auto"/>
              </w:rPr>
            </w:pPr>
            <w:r>
              <w:rPr>
                <w:rFonts w:ascii="Arial" w:cs="Arial" w:eastAsia="Arial" w:hAnsi="Arial"/>
                <w:sz w:val="16"/>
                <w:szCs w:val="16"/>
                <w:color w:val="auto"/>
              </w:rPr>
              <w:t>$</w:t>
            </w:r>
          </w:p>
        </w:tc>
        <w:tc>
          <w:tcPr>
            <w:tcW w:w="1260" w:type="dxa"/>
            <w:vAlign w:val="bottom"/>
          </w:tcPr>
          <w:p>
            <w:pPr>
              <w:jc w:val="right"/>
              <w:ind w:right="39"/>
              <w:spacing w:after="0" w:line="183" w:lineRule="exact"/>
              <w:rPr>
                <w:sz w:val="20"/>
                <w:szCs w:val="20"/>
                <w:color w:val="auto"/>
              </w:rPr>
            </w:pPr>
            <w:r>
              <w:rPr>
                <w:rFonts w:ascii="Arial" w:cs="Arial" w:eastAsia="Arial" w:hAnsi="Arial"/>
                <w:sz w:val="16"/>
                <w:szCs w:val="16"/>
                <w:color w:val="auto"/>
              </w:rPr>
              <w:t>46,885</w:t>
            </w:r>
          </w:p>
        </w:tc>
        <w:tc>
          <w:tcPr>
            <w:tcW w:w="0" w:type="dxa"/>
            <w:vAlign w:val="bottom"/>
          </w:tcPr>
          <w:p>
            <w:pPr>
              <w:spacing w:after="0"/>
              <w:rPr>
                <w:sz w:val="1"/>
                <w:szCs w:val="1"/>
                <w:color w:val="auto"/>
              </w:rPr>
            </w:pPr>
          </w:p>
        </w:tc>
      </w:tr>
      <w:tr>
        <w:trPr>
          <w:trHeight w:val="183"/>
        </w:trPr>
        <w:tc>
          <w:tcPr>
            <w:tcW w:w="5880" w:type="dxa"/>
            <w:vAlign w:val="bottom"/>
            <w:shd w:val="clear" w:color="auto" w:fill="CFF0FC"/>
          </w:tcPr>
          <w:p>
            <w:pPr>
              <w:spacing w:after="0" w:line="183" w:lineRule="exact"/>
              <w:rPr>
                <w:sz w:val="20"/>
                <w:szCs w:val="20"/>
                <w:color w:val="auto"/>
              </w:rPr>
            </w:pPr>
            <w:r>
              <w:rPr>
                <w:rFonts w:ascii="Arial" w:cs="Arial" w:eastAsia="Arial" w:hAnsi="Arial"/>
                <w:sz w:val="16"/>
                <w:szCs w:val="16"/>
                <w:color w:val="auto"/>
              </w:rPr>
              <w:t>Comprehensive loss (income):</w:t>
            </w:r>
          </w:p>
        </w:tc>
        <w:tc>
          <w:tcPr>
            <w:tcW w:w="1860" w:type="dxa"/>
            <w:vAlign w:val="bottom"/>
            <w:shd w:val="clear" w:color="auto" w:fill="CFF0FC"/>
          </w:tcPr>
          <w:p>
            <w:pPr>
              <w:spacing w:after="0"/>
              <w:rPr>
                <w:sz w:val="15"/>
                <w:szCs w:val="15"/>
                <w:color w:val="auto"/>
              </w:rPr>
            </w:pPr>
          </w:p>
        </w:tc>
        <w:tc>
          <w:tcPr>
            <w:tcW w:w="340" w:type="dxa"/>
            <w:vAlign w:val="bottom"/>
            <w:tcBorders>
              <w:top w:val="single" w:sz="8" w:color="auto"/>
            </w:tcBorders>
            <w:shd w:val="clear" w:color="auto" w:fill="CFF0FC"/>
          </w:tcPr>
          <w:p>
            <w:pPr>
              <w:spacing w:after="0"/>
              <w:rPr>
                <w:sz w:val="15"/>
                <w:szCs w:val="15"/>
                <w:color w:val="auto"/>
              </w:rPr>
            </w:pPr>
          </w:p>
        </w:tc>
        <w:tc>
          <w:tcPr>
            <w:tcW w:w="1380" w:type="dxa"/>
            <w:vAlign w:val="bottom"/>
            <w:tcBorders>
              <w:top w:val="single" w:sz="8" w:color="auto"/>
            </w:tcBorders>
            <w:shd w:val="clear" w:color="auto" w:fill="CFF0FC"/>
          </w:tcPr>
          <w:p>
            <w:pPr>
              <w:spacing w:after="0"/>
              <w:rPr>
                <w:sz w:val="15"/>
                <w:szCs w:val="15"/>
                <w:color w:val="auto"/>
              </w:rPr>
            </w:pPr>
          </w:p>
        </w:tc>
        <w:tc>
          <w:tcPr>
            <w:tcW w:w="520" w:type="dxa"/>
            <w:vAlign w:val="bottom"/>
            <w:tcBorders>
              <w:top w:val="single" w:sz="8" w:color="auto"/>
            </w:tcBorders>
            <w:shd w:val="clear" w:color="auto" w:fill="CFF0FC"/>
          </w:tcPr>
          <w:p>
            <w:pPr>
              <w:spacing w:after="0"/>
              <w:rPr>
                <w:sz w:val="15"/>
                <w:szCs w:val="15"/>
                <w:color w:val="auto"/>
              </w:rPr>
            </w:pPr>
          </w:p>
        </w:tc>
        <w:tc>
          <w:tcPr>
            <w:tcW w:w="1260" w:type="dxa"/>
            <w:vAlign w:val="bottom"/>
            <w:tcBorders>
              <w:top w:val="single" w:sz="8" w:color="auto"/>
            </w:tcBorders>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5880" w:type="dxa"/>
            <w:vAlign w:val="bottom"/>
          </w:tcPr>
          <w:p>
            <w:pPr>
              <w:ind w:left="140"/>
              <w:spacing w:after="0"/>
              <w:rPr>
                <w:sz w:val="20"/>
                <w:szCs w:val="20"/>
                <w:color w:val="auto"/>
              </w:rPr>
            </w:pPr>
            <w:r>
              <w:rPr>
                <w:rFonts w:ascii="Arial" w:cs="Arial" w:eastAsia="Arial" w:hAnsi="Arial"/>
                <w:sz w:val="16"/>
                <w:szCs w:val="16"/>
                <w:color w:val="auto"/>
              </w:rPr>
              <w:t>Provision for pension benefit obligation</w:t>
            </w:r>
          </w:p>
        </w:tc>
        <w:tc>
          <w:tcPr>
            <w:tcW w:w="18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380" w:type="dxa"/>
            <w:vAlign w:val="bottom"/>
          </w:tcPr>
          <w:p>
            <w:pPr>
              <w:jc w:val="right"/>
              <w:ind w:right="99"/>
              <w:spacing w:after="0"/>
              <w:rPr>
                <w:sz w:val="20"/>
                <w:szCs w:val="20"/>
                <w:color w:val="auto"/>
              </w:rPr>
            </w:pPr>
            <w:r>
              <w:rPr>
                <w:rFonts w:ascii="Arial" w:cs="Arial" w:eastAsia="Arial" w:hAnsi="Arial"/>
                <w:sz w:val="16"/>
                <w:szCs w:val="16"/>
                <w:color w:val="auto"/>
              </w:rPr>
              <w:t>55</w:t>
            </w:r>
          </w:p>
        </w:tc>
        <w:tc>
          <w:tcPr>
            <w:tcW w:w="520" w:type="dxa"/>
            <w:vAlign w:val="bottom"/>
          </w:tcPr>
          <w:p>
            <w:pPr>
              <w:spacing w:after="0"/>
              <w:rPr>
                <w:sz w:val="16"/>
                <w:szCs w:val="16"/>
                <w:color w:val="auto"/>
              </w:rPr>
            </w:pPr>
          </w:p>
        </w:tc>
        <w:tc>
          <w:tcPr>
            <w:tcW w:w="1260" w:type="dxa"/>
            <w:vAlign w:val="bottom"/>
          </w:tcPr>
          <w:p>
            <w:pPr>
              <w:jc w:val="right"/>
              <w:ind w:right="39"/>
              <w:spacing w:after="0"/>
              <w:rPr>
                <w:sz w:val="20"/>
                <w:szCs w:val="20"/>
                <w:color w:val="auto"/>
              </w:rPr>
            </w:pPr>
            <w:r>
              <w:rPr>
                <w:rFonts w:ascii="Arial" w:cs="Arial" w:eastAsia="Arial" w:hAnsi="Arial"/>
                <w:sz w:val="16"/>
                <w:szCs w:val="16"/>
                <w:color w:val="auto"/>
              </w:rPr>
              <w:t>48</w:t>
            </w:r>
          </w:p>
        </w:tc>
        <w:tc>
          <w:tcPr>
            <w:tcW w:w="0" w:type="dxa"/>
            <w:vAlign w:val="bottom"/>
          </w:tcPr>
          <w:p>
            <w:pPr>
              <w:spacing w:after="0"/>
              <w:rPr>
                <w:sz w:val="1"/>
                <w:szCs w:val="1"/>
                <w:color w:val="auto"/>
              </w:rPr>
            </w:pPr>
          </w:p>
        </w:tc>
      </w:tr>
      <w:tr>
        <w:trPr>
          <w:trHeight w:val="189"/>
        </w:trPr>
        <w:tc>
          <w:tcPr>
            <w:tcW w:w="5880" w:type="dxa"/>
            <w:vAlign w:val="bottom"/>
            <w:tcBorders>
              <w:bottom w:val="single" w:sz="8" w:color="CFF0FC"/>
            </w:tcBorders>
            <w:shd w:val="clear" w:color="auto" w:fill="CFF0FC"/>
          </w:tcPr>
          <w:p>
            <w:pPr>
              <w:ind w:left="140"/>
              <w:spacing w:after="0"/>
              <w:rPr>
                <w:sz w:val="20"/>
                <w:szCs w:val="20"/>
                <w:color w:val="auto"/>
              </w:rPr>
            </w:pPr>
            <w:r>
              <w:rPr>
                <w:rFonts w:ascii="Arial" w:cs="Arial" w:eastAsia="Arial" w:hAnsi="Arial"/>
                <w:sz w:val="16"/>
                <w:szCs w:val="16"/>
                <w:color w:val="auto"/>
              </w:rPr>
              <w:t>Unrealized loss on available-for-sale securities</w:t>
            </w:r>
          </w:p>
        </w:tc>
        <w:tc>
          <w:tcPr>
            <w:tcW w:w="1860" w:type="dxa"/>
            <w:vAlign w:val="bottom"/>
            <w:tcBorders>
              <w:bottom w:val="single" w:sz="8" w:color="CFF0FC"/>
            </w:tcBorders>
            <w:shd w:val="clear" w:color="auto" w:fill="CFF0FC"/>
          </w:tcPr>
          <w:p>
            <w:pPr>
              <w:spacing w:after="0"/>
              <w:rPr>
                <w:sz w:val="16"/>
                <w:szCs w:val="16"/>
                <w:color w:val="auto"/>
              </w:rPr>
            </w:pPr>
          </w:p>
        </w:tc>
        <w:tc>
          <w:tcPr>
            <w:tcW w:w="340" w:type="dxa"/>
            <w:vAlign w:val="bottom"/>
            <w:tcBorders>
              <w:bottom w:val="single" w:sz="8" w:color="auto"/>
            </w:tcBorders>
            <w:shd w:val="clear" w:color="auto" w:fill="CFF0FC"/>
          </w:tcPr>
          <w:p>
            <w:pPr>
              <w:spacing w:after="0"/>
              <w:rPr>
                <w:sz w:val="16"/>
                <w:szCs w:val="16"/>
                <w:color w:val="auto"/>
              </w:rPr>
            </w:pPr>
          </w:p>
        </w:tc>
        <w:tc>
          <w:tcPr>
            <w:tcW w:w="1380" w:type="dxa"/>
            <w:vAlign w:val="bottom"/>
            <w:tcBorders>
              <w:bottom w:val="single" w:sz="8" w:color="auto"/>
            </w:tcBorders>
            <w:shd w:val="clear" w:color="auto" w:fill="CFF0FC"/>
          </w:tcPr>
          <w:p>
            <w:pPr>
              <w:jc w:val="right"/>
              <w:ind w:right="19"/>
              <w:spacing w:after="0"/>
              <w:rPr>
                <w:sz w:val="20"/>
                <w:szCs w:val="20"/>
                <w:color w:val="auto"/>
              </w:rPr>
            </w:pPr>
            <w:r>
              <w:rPr>
                <w:rFonts w:ascii="Arial" w:cs="Arial" w:eastAsia="Arial" w:hAnsi="Arial"/>
                <w:sz w:val="16"/>
                <w:szCs w:val="16"/>
                <w:color w:val="auto"/>
              </w:rPr>
              <w:t>(974)</w:t>
            </w:r>
          </w:p>
        </w:tc>
        <w:tc>
          <w:tcPr>
            <w:tcW w:w="520" w:type="dxa"/>
            <w:vAlign w:val="bottom"/>
            <w:tcBorders>
              <w:bottom w:val="single" w:sz="8" w:color="auto"/>
            </w:tcBorders>
            <w:shd w:val="clear" w:color="auto" w:fill="CFF0FC"/>
          </w:tcPr>
          <w:p>
            <w:pPr>
              <w:spacing w:after="0"/>
              <w:rPr>
                <w:sz w:val="16"/>
                <w:szCs w:val="16"/>
                <w:color w:val="auto"/>
              </w:rPr>
            </w:pPr>
          </w:p>
        </w:tc>
        <w:tc>
          <w:tcPr>
            <w:tcW w:w="12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(21)</w:t>
            </w:r>
          </w:p>
        </w:tc>
        <w:tc>
          <w:tcPr>
            <w:tcW w:w="0" w:type="dxa"/>
            <w:vAlign w:val="bottom"/>
          </w:tcPr>
          <w:p>
            <w:pPr>
              <w:spacing w:after="0"/>
              <w:rPr>
                <w:sz w:val="1"/>
                <w:szCs w:val="1"/>
                <w:color w:val="auto"/>
              </w:rPr>
            </w:pPr>
          </w:p>
        </w:tc>
      </w:tr>
      <w:tr>
        <w:trPr>
          <w:trHeight w:val="183"/>
        </w:trPr>
        <w:tc>
          <w:tcPr>
            <w:tcW w:w="5880" w:type="dxa"/>
            <w:vAlign w:val="bottom"/>
          </w:tcPr>
          <w:p>
            <w:pPr>
              <w:spacing w:after="0" w:line="183" w:lineRule="exact"/>
              <w:rPr>
                <w:sz w:val="20"/>
                <w:szCs w:val="20"/>
                <w:color w:val="auto"/>
              </w:rPr>
            </w:pPr>
            <w:r>
              <w:rPr>
                <w:rFonts w:ascii="Arial" w:cs="Arial" w:eastAsia="Arial" w:hAnsi="Arial"/>
                <w:sz w:val="16"/>
                <w:szCs w:val="16"/>
                <w:color w:val="auto"/>
              </w:rPr>
              <w:t>Comprehensive (loss) income</w:t>
            </w:r>
          </w:p>
        </w:tc>
        <w:tc>
          <w:tcPr>
            <w:tcW w:w="2200" w:type="dxa"/>
            <w:vAlign w:val="bottom"/>
            <w:gridSpan w:val="2"/>
          </w:tcPr>
          <w:p>
            <w:pPr>
              <w:jc w:val="right"/>
              <w:ind w:right="240"/>
              <w:spacing w:after="0" w:line="183" w:lineRule="exact"/>
              <w:rPr>
                <w:sz w:val="20"/>
                <w:szCs w:val="20"/>
                <w:color w:val="auto"/>
              </w:rPr>
            </w:pPr>
            <w:r>
              <w:rPr>
                <w:rFonts w:ascii="Arial" w:cs="Arial" w:eastAsia="Arial" w:hAnsi="Arial"/>
                <w:sz w:val="16"/>
                <w:szCs w:val="16"/>
                <w:color w:val="auto"/>
              </w:rPr>
              <w:t>$</w:t>
            </w:r>
          </w:p>
        </w:tc>
        <w:tc>
          <w:tcPr>
            <w:tcW w:w="1380" w:type="dxa"/>
            <w:vAlign w:val="bottom"/>
          </w:tcPr>
          <w:p>
            <w:pPr>
              <w:jc w:val="right"/>
              <w:ind w:right="19"/>
              <w:spacing w:after="0" w:line="183" w:lineRule="exact"/>
              <w:rPr>
                <w:sz w:val="20"/>
                <w:szCs w:val="20"/>
                <w:color w:val="auto"/>
              </w:rPr>
            </w:pPr>
            <w:r>
              <w:rPr>
                <w:rFonts w:ascii="Arial" w:cs="Arial" w:eastAsia="Arial" w:hAnsi="Arial"/>
                <w:sz w:val="16"/>
                <w:szCs w:val="16"/>
                <w:color w:val="auto"/>
              </w:rPr>
              <w:t>(45,422)</w:t>
            </w:r>
          </w:p>
        </w:tc>
        <w:tc>
          <w:tcPr>
            <w:tcW w:w="520" w:type="dxa"/>
            <w:vAlign w:val="bottom"/>
          </w:tcPr>
          <w:p>
            <w:pPr>
              <w:jc w:val="right"/>
              <w:ind w:right="239"/>
              <w:spacing w:after="0" w:line="183" w:lineRule="exact"/>
              <w:rPr>
                <w:sz w:val="20"/>
                <w:szCs w:val="20"/>
                <w:color w:val="auto"/>
              </w:rPr>
            </w:pPr>
            <w:r>
              <w:rPr>
                <w:rFonts w:ascii="Arial" w:cs="Arial" w:eastAsia="Arial" w:hAnsi="Arial"/>
                <w:sz w:val="16"/>
                <w:szCs w:val="16"/>
                <w:color w:val="auto"/>
              </w:rPr>
              <w:t>$</w:t>
            </w:r>
          </w:p>
        </w:tc>
        <w:tc>
          <w:tcPr>
            <w:tcW w:w="1260" w:type="dxa"/>
            <w:vAlign w:val="bottom"/>
          </w:tcPr>
          <w:p>
            <w:pPr>
              <w:jc w:val="right"/>
              <w:ind w:right="39"/>
              <w:spacing w:after="0" w:line="183" w:lineRule="exact"/>
              <w:rPr>
                <w:sz w:val="20"/>
                <w:szCs w:val="20"/>
                <w:color w:val="auto"/>
              </w:rPr>
            </w:pPr>
            <w:r>
              <w:rPr>
                <w:rFonts w:ascii="Arial" w:cs="Arial" w:eastAsia="Arial" w:hAnsi="Arial"/>
                <w:sz w:val="16"/>
                <w:szCs w:val="16"/>
                <w:color w:val="auto"/>
              </w:rPr>
              <w:t>46,912</w:t>
            </w:r>
          </w:p>
        </w:tc>
        <w:tc>
          <w:tcPr>
            <w:tcW w:w="0" w:type="dxa"/>
            <w:vAlign w:val="bottom"/>
          </w:tcPr>
          <w:p>
            <w:pPr>
              <w:spacing w:after="0"/>
              <w:rPr>
                <w:sz w:val="1"/>
                <w:szCs w:val="1"/>
                <w:color w:val="auto"/>
              </w:rPr>
            </w:pPr>
          </w:p>
        </w:tc>
      </w:tr>
      <w:tr>
        <w:trPr>
          <w:trHeight w:val="183"/>
        </w:trPr>
        <w:tc>
          <w:tcPr>
            <w:tcW w:w="5880" w:type="dxa"/>
            <w:vAlign w:val="bottom"/>
            <w:shd w:val="clear" w:color="auto" w:fill="CFF0FC"/>
          </w:tcPr>
          <w:p>
            <w:pPr>
              <w:spacing w:after="0" w:line="183" w:lineRule="exact"/>
              <w:rPr>
                <w:sz w:val="20"/>
                <w:szCs w:val="20"/>
                <w:color w:val="auto"/>
              </w:rPr>
            </w:pPr>
            <w:r>
              <w:rPr>
                <w:rFonts w:ascii="Arial" w:cs="Arial" w:eastAsia="Arial" w:hAnsi="Arial"/>
                <w:sz w:val="16"/>
                <w:szCs w:val="16"/>
                <w:color w:val="auto"/>
              </w:rPr>
              <w:t>(Loss) earnings per share:</w:t>
            </w:r>
          </w:p>
        </w:tc>
        <w:tc>
          <w:tcPr>
            <w:tcW w:w="1860" w:type="dxa"/>
            <w:vAlign w:val="bottom"/>
            <w:shd w:val="clear" w:color="auto" w:fill="CFF0FC"/>
          </w:tcPr>
          <w:p>
            <w:pPr>
              <w:spacing w:after="0"/>
              <w:rPr>
                <w:sz w:val="15"/>
                <w:szCs w:val="15"/>
                <w:color w:val="auto"/>
              </w:rPr>
            </w:pPr>
          </w:p>
        </w:tc>
        <w:tc>
          <w:tcPr>
            <w:tcW w:w="340" w:type="dxa"/>
            <w:vAlign w:val="bottom"/>
            <w:tcBorders>
              <w:top w:val="single" w:sz="8" w:color="auto"/>
            </w:tcBorders>
            <w:shd w:val="clear" w:color="auto" w:fill="CFF0FC"/>
          </w:tcPr>
          <w:p>
            <w:pPr>
              <w:spacing w:after="0"/>
              <w:rPr>
                <w:sz w:val="15"/>
                <w:szCs w:val="15"/>
                <w:color w:val="auto"/>
              </w:rPr>
            </w:pPr>
          </w:p>
        </w:tc>
        <w:tc>
          <w:tcPr>
            <w:tcW w:w="1380" w:type="dxa"/>
            <w:vAlign w:val="bottom"/>
            <w:tcBorders>
              <w:top w:val="single" w:sz="8" w:color="auto"/>
            </w:tcBorders>
            <w:shd w:val="clear" w:color="auto" w:fill="CFF0FC"/>
          </w:tcPr>
          <w:p>
            <w:pPr>
              <w:spacing w:after="0"/>
              <w:rPr>
                <w:sz w:val="15"/>
                <w:szCs w:val="15"/>
                <w:color w:val="auto"/>
              </w:rPr>
            </w:pPr>
          </w:p>
        </w:tc>
        <w:tc>
          <w:tcPr>
            <w:tcW w:w="520" w:type="dxa"/>
            <w:vAlign w:val="bottom"/>
            <w:tcBorders>
              <w:top w:val="single" w:sz="8" w:color="auto"/>
            </w:tcBorders>
            <w:shd w:val="clear" w:color="auto" w:fill="CFF0FC"/>
          </w:tcPr>
          <w:p>
            <w:pPr>
              <w:spacing w:after="0"/>
              <w:rPr>
                <w:sz w:val="15"/>
                <w:szCs w:val="15"/>
                <w:color w:val="auto"/>
              </w:rPr>
            </w:pPr>
          </w:p>
        </w:tc>
        <w:tc>
          <w:tcPr>
            <w:tcW w:w="1260" w:type="dxa"/>
            <w:vAlign w:val="bottom"/>
            <w:tcBorders>
              <w:top w:val="single" w:sz="8" w:color="auto"/>
            </w:tcBorders>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5880" w:type="dxa"/>
            <w:vAlign w:val="bottom"/>
          </w:tcPr>
          <w:p>
            <w:pPr>
              <w:ind w:left="140"/>
              <w:spacing w:after="0"/>
              <w:rPr>
                <w:sz w:val="20"/>
                <w:szCs w:val="20"/>
                <w:color w:val="auto"/>
              </w:rPr>
            </w:pPr>
            <w:r>
              <w:rPr>
                <w:rFonts w:ascii="Arial" w:cs="Arial" w:eastAsia="Arial" w:hAnsi="Arial"/>
                <w:sz w:val="16"/>
                <w:szCs w:val="16"/>
                <w:color w:val="auto"/>
              </w:rPr>
              <w:t>Basic</w:t>
            </w:r>
          </w:p>
        </w:tc>
        <w:tc>
          <w:tcPr>
            <w:tcW w:w="220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380" w:type="dxa"/>
            <w:vAlign w:val="bottom"/>
          </w:tcPr>
          <w:p>
            <w:pPr>
              <w:jc w:val="right"/>
              <w:ind w:right="19"/>
              <w:spacing w:after="0"/>
              <w:rPr>
                <w:sz w:val="20"/>
                <w:szCs w:val="20"/>
                <w:color w:val="auto"/>
              </w:rPr>
            </w:pPr>
            <w:r>
              <w:rPr>
                <w:rFonts w:ascii="Arial" w:cs="Arial" w:eastAsia="Arial" w:hAnsi="Arial"/>
                <w:sz w:val="16"/>
                <w:szCs w:val="16"/>
                <w:color w:val="auto"/>
              </w:rPr>
              <w:t>(0.45)</w:t>
            </w:r>
          </w:p>
        </w:tc>
        <w:tc>
          <w:tcPr>
            <w:tcW w:w="520" w:type="dxa"/>
            <w:vAlign w:val="bottom"/>
          </w:tcPr>
          <w:p>
            <w:pPr>
              <w:jc w:val="right"/>
              <w:ind w:right="239"/>
              <w:spacing w:after="0"/>
              <w:rPr>
                <w:sz w:val="20"/>
                <w:szCs w:val="20"/>
                <w:color w:val="auto"/>
              </w:rPr>
            </w:pPr>
            <w:r>
              <w:rPr>
                <w:rFonts w:ascii="Arial" w:cs="Arial" w:eastAsia="Arial" w:hAnsi="Arial"/>
                <w:sz w:val="16"/>
                <w:szCs w:val="16"/>
                <w:color w:val="auto"/>
              </w:rPr>
              <w:t>$</w:t>
            </w:r>
          </w:p>
        </w:tc>
        <w:tc>
          <w:tcPr>
            <w:tcW w:w="1260" w:type="dxa"/>
            <w:vAlign w:val="bottom"/>
          </w:tcPr>
          <w:p>
            <w:pPr>
              <w:jc w:val="right"/>
              <w:ind w:right="39"/>
              <w:spacing w:after="0"/>
              <w:rPr>
                <w:sz w:val="20"/>
                <w:szCs w:val="20"/>
                <w:color w:val="auto"/>
              </w:rPr>
            </w:pPr>
            <w:r>
              <w:rPr>
                <w:rFonts w:ascii="Arial" w:cs="Arial" w:eastAsia="Arial" w:hAnsi="Arial"/>
                <w:sz w:val="16"/>
                <w:szCs w:val="16"/>
                <w:color w:val="auto"/>
              </w:rPr>
              <w:t>0.57</w:t>
            </w:r>
          </w:p>
        </w:tc>
        <w:tc>
          <w:tcPr>
            <w:tcW w:w="0" w:type="dxa"/>
            <w:vAlign w:val="bottom"/>
          </w:tcPr>
          <w:p>
            <w:pPr>
              <w:spacing w:after="0"/>
              <w:rPr>
                <w:sz w:val="1"/>
                <w:szCs w:val="1"/>
                <w:color w:val="auto"/>
              </w:rPr>
            </w:pPr>
          </w:p>
        </w:tc>
      </w:tr>
      <w:tr>
        <w:trPr>
          <w:trHeight w:val="189"/>
        </w:trPr>
        <w:tc>
          <w:tcPr>
            <w:tcW w:w="5880" w:type="dxa"/>
            <w:vAlign w:val="bottom"/>
            <w:shd w:val="clear" w:color="auto" w:fill="CFF0FC"/>
          </w:tcPr>
          <w:p>
            <w:pPr>
              <w:ind w:left="140"/>
              <w:spacing w:after="0"/>
              <w:rPr>
                <w:sz w:val="20"/>
                <w:szCs w:val="20"/>
                <w:color w:val="auto"/>
              </w:rPr>
            </w:pPr>
            <w:r>
              <w:rPr>
                <w:rFonts w:ascii="Arial" w:cs="Arial" w:eastAsia="Arial" w:hAnsi="Arial"/>
                <w:sz w:val="16"/>
                <w:szCs w:val="16"/>
                <w:color w:val="auto"/>
              </w:rPr>
              <w:t>Diluted</w:t>
            </w:r>
          </w:p>
        </w:tc>
        <w:tc>
          <w:tcPr>
            <w:tcW w:w="2200" w:type="dxa"/>
            <w:vAlign w:val="bottom"/>
            <w:gridSpan w:val="2"/>
            <w:shd w:val="clear" w:color="auto" w:fill="CFF0FC"/>
          </w:tcPr>
          <w:p>
            <w:pPr>
              <w:jc w:val="right"/>
              <w:ind w:right="240"/>
              <w:spacing w:after="0"/>
              <w:rPr>
                <w:sz w:val="20"/>
                <w:szCs w:val="20"/>
                <w:color w:val="auto"/>
              </w:rPr>
            </w:pPr>
            <w:r>
              <w:rPr>
                <w:rFonts w:ascii="Arial" w:cs="Arial" w:eastAsia="Arial" w:hAnsi="Arial"/>
                <w:sz w:val="16"/>
                <w:szCs w:val="16"/>
                <w:color w:val="auto"/>
              </w:rPr>
              <w:t>$</w:t>
            </w:r>
          </w:p>
        </w:tc>
        <w:tc>
          <w:tcPr>
            <w:tcW w:w="1380" w:type="dxa"/>
            <w:vAlign w:val="bottom"/>
            <w:shd w:val="clear" w:color="auto" w:fill="CFF0FC"/>
          </w:tcPr>
          <w:p>
            <w:pPr>
              <w:jc w:val="right"/>
              <w:ind w:right="19"/>
              <w:spacing w:after="0"/>
              <w:rPr>
                <w:sz w:val="20"/>
                <w:szCs w:val="20"/>
                <w:color w:val="auto"/>
              </w:rPr>
            </w:pPr>
            <w:r>
              <w:rPr>
                <w:rFonts w:ascii="Arial" w:cs="Arial" w:eastAsia="Arial" w:hAnsi="Arial"/>
                <w:sz w:val="16"/>
                <w:szCs w:val="16"/>
                <w:color w:val="auto"/>
              </w:rPr>
              <w:t>(0.45)</w:t>
            </w:r>
          </w:p>
        </w:tc>
        <w:tc>
          <w:tcPr>
            <w:tcW w:w="520" w:type="dxa"/>
            <w:vAlign w:val="bottom"/>
            <w:shd w:val="clear" w:color="auto" w:fill="CFF0FC"/>
          </w:tcPr>
          <w:p>
            <w:pPr>
              <w:jc w:val="right"/>
              <w:ind w:right="239"/>
              <w:spacing w:after="0"/>
              <w:rPr>
                <w:sz w:val="20"/>
                <w:szCs w:val="20"/>
                <w:color w:val="auto"/>
              </w:rPr>
            </w:pPr>
            <w:r>
              <w:rPr>
                <w:rFonts w:ascii="Arial" w:cs="Arial" w:eastAsia="Arial" w:hAnsi="Arial"/>
                <w:sz w:val="16"/>
                <w:szCs w:val="16"/>
                <w:color w:val="auto"/>
              </w:rPr>
              <w:t>$</w:t>
            </w:r>
          </w:p>
        </w:tc>
        <w:tc>
          <w:tcPr>
            <w:tcW w:w="126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0.57</w:t>
            </w:r>
          </w:p>
        </w:tc>
        <w:tc>
          <w:tcPr>
            <w:tcW w:w="0" w:type="dxa"/>
            <w:vAlign w:val="bottom"/>
          </w:tcPr>
          <w:p>
            <w:pPr>
              <w:spacing w:after="0"/>
              <w:rPr>
                <w:sz w:val="1"/>
                <w:szCs w:val="1"/>
                <w:color w:val="auto"/>
              </w:rPr>
            </w:pPr>
          </w:p>
        </w:tc>
      </w:tr>
      <w:tr>
        <w:trPr>
          <w:trHeight w:val="189"/>
        </w:trPr>
        <w:tc>
          <w:tcPr>
            <w:tcW w:w="5880" w:type="dxa"/>
            <w:vAlign w:val="bottom"/>
          </w:tcPr>
          <w:p>
            <w:pPr>
              <w:spacing w:after="0"/>
              <w:rPr>
                <w:sz w:val="20"/>
                <w:szCs w:val="20"/>
                <w:color w:val="auto"/>
              </w:rPr>
            </w:pPr>
            <w:r>
              <w:rPr>
                <w:rFonts w:ascii="Arial" w:cs="Arial" w:eastAsia="Arial" w:hAnsi="Arial"/>
                <w:sz w:val="16"/>
                <w:szCs w:val="16"/>
                <w:color w:val="auto"/>
              </w:rPr>
              <w:t>Weighted average number of shares outstanding:</w:t>
            </w:r>
          </w:p>
        </w:tc>
        <w:tc>
          <w:tcPr>
            <w:tcW w:w="18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5880" w:type="dxa"/>
            <w:vAlign w:val="bottom"/>
            <w:shd w:val="clear" w:color="auto" w:fill="CFF0FC"/>
          </w:tcPr>
          <w:p>
            <w:pPr>
              <w:ind w:left="140"/>
              <w:spacing w:after="0"/>
              <w:rPr>
                <w:sz w:val="20"/>
                <w:szCs w:val="20"/>
                <w:color w:val="auto"/>
              </w:rPr>
            </w:pPr>
            <w:r>
              <w:rPr>
                <w:rFonts w:ascii="Arial" w:cs="Arial" w:eastAsia="Arial" w:hAnsi="Arial"/>
                <w:sz w:val="16"/>
                <w:szCs w:val="16"/>
                <w:color w:val="auto"/>
              </w:rPr>
              <w:t>Basic</w:t>
            </w:r>
          </w:p>
        </w:tc>
        <w:tc>
          <w:tcPr>
            <w:tcW w:w="1860" w:type="dxa"/>
            <w:vAlign w:val="bottom"/>
            <w:shd w:val="clear" w:color="auto" w:fill="CFF0FC"/>
          </w:tcPr>
          <w:p>
            <w:pPr>
              <w:spacing w:after="0"/>
              <w:rPr>
                <w:sz w:val="16"/>
                <w:szCs w:val="16"/>
                <w:color w:val="auto"/>
              </w:rPr>
            </w:pPr>
          </w:p>
        </w:tc>
        <w:tc>
          <w:tcPr>
            <w:tcW w:w="340" w:type="dxa"/>
            <w:vAlign w:val="bottom"/>
            <w:shd w:val="clear" w:color="auto" w:fill="CFF0FC"/>
          </w:tcPr>
          <w:p>
            <w:pPr>
              <w:spacing w:after="0"/>
              <w:rPr>
                <w:sz w:val="16"/>
                <w:szCs w:val="16"/>
                <w:color w:val="auto"/>
              </w:rPr>
            </w:pPr>
          </w:p>
        </w:tc>
        <w:tc>
          <w:tcPr>
            <w:tcW w:w="1380" w:type="dxa"/>
            <w:vAlign w:val="bottom"/>
            <w:shd w:val="clear" w:color="auto" w:fill="CFF0FC"/>
          </w:tcPr>
          <w:p>
            <w:pPr>
              <w:jc w:val="right"/>
              <w:ind w:right="99"/>
              <w:spacing w:after="0"/>
              <w:rPr>
                <w:sz w:val="20"/>
                <w:szCs w:val="20"/>
                <w:color w:val="auto"/>
              </w:rPr>
            </w:pPr>
            <w:r>
              <w:rPr>
                <w:rFonts w:ascii="Arial" w:cs="Arial" w:eastAsia="Arial" w:hAnsi="Arial"/>
                <w:sz w:val="16"/>
                <w:szCs w:val="16"/>
                <w:color w:val="auto"/>
              </w:rPr>
              <w:t>99,883,878</w:t>
            </w:r>
          </w:p>
        </w:tc>
        <w:tc>
          <w:tcPr>
            <w:tcW w:w="520" w:type="dxa"/>
            <w:vAlign w:val="bottom"/>
            <w:shd w:val="clear" w:color="auto" w:fill="CFF0FC"/>
          </w:tcPr>
          <w:p>
            <w:pPr>
              <w:spacing w:after="0"/>
              <w:rPr>
                <w:sz w:val="16"/>
                <w:szCs w:val="16"/>
                <w:color w:val="auto"/>
              </w:rPr>
            </w:pPr>
          </w:p>
        </w:tc>
        <w:tc>
          <w:tcPr>
            <w:tcW w:w="126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82,148,719</w:t>
            </w:r>
          </w:p>
        </w:tc>
        <w:tc>
          <w:tcPr>
            <w:tcW w:w="0" w:type="dxa"/>
            <w:vAlign w:val="bottom"/>
          </w:tcPr>
          <w:p>
            <w:pPr>
              <w:spacing w:after="0"/>
              <w:rPr>
                <w:sz w:val="1"/>
                <w:szCs w:val="1"/>
                <w:color w:val="auto"/>
              </w:rPr>
            </w:pPr>
          </w:p>
        </w:tc>
      </w:tr>
      <w:tr>
        <w:trPr>
          <w:trHeight w:val="189"/>
        </w:trPr>
        <w:tc>
          <w:tcPr>
            <w:tcW w:w="5880" w:type="dxa"/>
            <w:vAlign w:val="bottom"/>
            <w:tcBorders>
              <w:bottom w:val="single" w:sz="8" w:color="auto"/>
            </w:tcBorders>
          </w:tcPr>
          <w:p>
            <w:pPr>
              <w:ind w:left="140"/>
              <w:spacing w:after="0"/>
              <w:rPr>
                <w:sz w:val="20"/>
                <w:szCs w:val="20"/>
                <w:color w:val="auto"/>
              </w:rPr>
            </w:pPr>
            <w:r>
              <w:rPr>
                <w:rFonts w:ascii="Arial" w:cs="Arial" w:eastAsia="Arial" w:hAnsi="Arial"/>
                <w:sz w:val="16"/>
                <w:szCs w:val="16"/>
                <w:color w:val="auto"/>
              </w:rPr>
              <w:t>Diluted</w:t>
            </w:r>
          </w:p>
        </w:tc>
        <w:tc>
          <w:tcPr>
            <w:tcW w:w="186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99,883,878</w:t>
            </w:r>
          </w:p>
        </w:tc>
        <w:tc>
          <w:tcPr>
            <w:tcW w:w="52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82,956,423</w:t>
            </w:r>
          </w:p>
        </w:tc>
        <w:tc>
          <w:tcPr>
            <w:tcW w:w="0" w:type="dxa"/>
            <w:vAlign w:val="bottom"/>
          </w:tcPr>
          <w:p>
            <w:pPr>
              <w:spacing w:after="0"/>
              <w:rPr>
                <w:sz w:val="1"/>
                <w:szCs w:val="1"/>
                <w:color w:val="auto"/>
              </w:rPr>
            </w:pPr>
          </w:p>
        </w:tc>
      </w:tr>
    </w:tbl>
    <w:p>
      <w:pPr>
        <w:spacing w:after="0" w:line="101"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See accompanying notes to the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00" w:right="339" w:bottom="1440" w:gutter="0" w:footer="0" w:header="0"/>
        </w:sectPr>
      </w:pPr>
    </w:p>
    <w:bookmarkStart w:id="6" w:name="page7"/>
    <w:bookmarkEnd w:id="6"/>
    <w:p>
      <w:pPr>
        <w:spacing w:after="0"/>
        <w:rPr>
          <w:sz w:val="20"/>
          <w:szCs w:val="20"/>
          <w:color w:val="auto"/>
        </w:rPr>
      </w:pPr>
      <w:r>
        <w:rPr>
          <w:rFonts w:ascii="Arial" w:cs="Arial" w:eastAsia="Arial" w:hAnsi="Arial"/>
          <w:sz w:val="32"/>
          <w:szCs w:val="32"/>
          <w:b w:val="1"/>
          <w:bCs w:val="1"/>
          <w:color w:val="auto"/>
        </w:rPr>
        <w:t>Monte Rosa Therapeutics, Inc.</w:t>
      </w:r>
    </w:p>
    <w:p>
      <w:pPr>
        <w:spacing w:after="0" w:line="44" w:lineRule="exact"/>
        <w:rPr>
          <w:sz w:val="20"/>
          <w:szCs w:val="20"/>
          <w:color w:val="auto"/>
        </w:rPr>
      </w:pPr>
    </w:p>
    <w:p>
      <w:pPr>
        <w:spacing w:after="0"/>
        <w:rPr>
          <w:sz w:val="20"/>
          <w:szCs w:val="20"/>
          <w:color w:val="auto"/>
        </w:rPr>
      </w:pPr>
      <w:r>
        <w:rPr>
          <w:rFonts w:ascii="Arial" w:cs="Arial" w:eastAsia="Arial" w:hAnsi="Arial"/>
          <w:sz w:val="32"/>
          <w:szCs w:val="32"/>
          <w:b w:val="1"/>
          <w:bCs w:val="1"/>
          <w:color w:val="auto"/>
        </w:rPr>
        <w:t>Condensed consolidated statements of stockholders’ equity (unaudited)</w:t>
      </w:r>
    </w:p>
    <w:p>
      <w:pPr>
        <w:spacing w:after="0" w:line="370"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4300" w:type="dxa"/>
            <w:vAlign w:val="bottom"/>
          </w:tcPr>
          <w:p>
            <w:pPr>
              <w:spacing w:after="0"/>
              <w:rPr>
                <w:sz w:val="17"/>
                <w:szCs w:val="17"/>
                <w:color w:val="auto"/>
              </w:rPr>
            </w:pPr>
          </w:p>
        </w:tc>
        <w:tc>
          <w:tcPr>
            <w:tcW w:w="2100" w:type="dxa"/>
            <w:vAlign w:val="bottom"/>
            <w:tcBorders>
              <w:bottom w:val="single" w:sz="8" w:color="auto"/>
            </w:tcBorders>
            <w:gridSpan w:val="3"/>
          </w:tcPr>
          <w:p>
            <w:pPr>
              <w:jc w:val="right"/>
              <w:ind w:right="439"/>
              <w:spacing w:after="0"/>
              <w:rPr>
                <w:sz w:val="20"/>
                <w:szCs w:val="20"/>
                <w:color w:val="auto"/>
              </w:rPr>
            </w:pPr>
            <w:r>
              <w:rPr>
                <w:rFonts w:ascii="Arial" w:cs="Arial" w:eastAsia="Arial" w:hAnsi="Arial"/>
                <w:sz w:val="16"/>
                <w:szCs w:val="16"/>
                <w:b w:val="1"/>
                <w:bCs w:val="1"/>
                <w:color w:val="auto"/>
              </w:rPr>
              <w:t>Common stock</w:t>
            </w:r>
          </w:p>
        </w:tc>
        <w:tc>
          <w:tcPr>
            <w:tcW w:w="1120" w:type="dxa"/>
            <w:vAlign w:val="bottom"/>
          </w:tcPr>
          <w:p>
            <w:pPr>
              <w:spacing w:after="0"/>
              <w:rPr>
                <w:sz w:val="17"/>
                <w:szCs w:val="17"/>
                <w:color w:val="auto"/>
              </w:rPr>
            </w:pPr>
          </w:p>
        </w:tc>
        <w:tc>
          <w:tcPr>
            <w:tcW w:w="1400" w:type="dxa"/>
            <w:vAlign w:val="bottom"/>
            <w:gridSpan w:val="2"/>
            <w:vMerge w:val="restart"/>
          </w:tcPr>
          <w:p>
            <w:pPr>
              <w:jc w:val="center"/>
              <w:spacing w:after="0"/>
              <w:rPr>
                <w:sz w:val="20"/>
                <w:szCs w:val="20"/>
                <w:color w:val="auto"/>
              </w:rPr>
            </w:pPr>
            <w:r>
              <w:rPr>
                <w:rFonts w:ascii="Arial" w:cs="Arial" w:eastAsia="Arial" w:hAnsi="Arial"/>
                <w:sz w:val="16"/>
                <w:szCs w:val="16"/>
                <w:b w:val="1"/>
                <w:bCs w:val="1"/>
                <w:color w:val="auto"/>
              </w:rPr>
              <w:t>Accumulated</w:t>
            </w: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68"/>
        </w:trPr>
        <w:tc>
          <w:tcPr>
            <w:tcW w:w="43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400" w:type="dxa"/>
            <w:vAlign w:val="bottom"/>
            <w:gridSpan w:val="2"/>
            <w:vMerge w:val="continue"/>
          </w:tcPr>
          <w:p>
            <w:pPr>
              <w:spacing w:after="0"/>
              <w:rPr>
                <w:sz w:val="14"/>
                <w:szCs w:val="14"/>
                <w:color w:val="auto"/>
              </w:rPr>
            </w:pPr>
          </w:p>
        </w:tc>
        <w:tc>
          <w:tcPr>
            <w:tcW w:w="2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43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60" w:type="dxa"/>
            <w:vAlign w:val="bottom"/>
          </w:tcPr>
          <w:p>
            <w:pPr>
              <w:jc w:val="center"/>
              <w:ind w:right="299"/>
              <w:spacing w:after="0"/>
              <w:rPr>
                <w:sz w:val="20"/>
                <w:szCs w:val="20"/>
                <w:color w:val="auto"/>
              </w:rPr>
            </w:pPr>
            <w:r>
              <w:rPr>
                <w:rFonts w:ascii="Arial" w:cs="Arial" w:eastAsia="Arial" w:hAnsi="Arial"/>
                <w:sz w:val="16"/>
                <w:szCs w:val="16"/>
                <w:b w:val="1"/>
                <w:bCs w:val="1"/>
                <w:color w:val="auto"/>
                <w:w w:val="99"/>
              </w:rPr>
              <w:t>other</w:t>
            </w:r>
          </w:p>
        </w:tc>
        <w:tc>
          <w:tcPr>
            <w:tcW w:w="2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20" w:type="dxa"/>
            <w:vAlign w:val="bottom"/>
          </w:tcPr>
          <w:p>
            <w:pPr>
              <w:jc w:val="center"/>
              <w:ind w:right="219"/>
              <w:spacing w:after="0"/>
              <w:rPr>
                <w:sz w:val="20"/>
                <w:szCs w:val="20"/>
                <w:color w:val="auto"/>
              </w:rPr>
            </w:pPr>
            <w:r>
              <w:rPr>
                <w:rFonts w:ascii="Arial" w:cs="Arial" w:eastAsia="Arial" w:hAnsi="Arial"/>
                <w:sz w:val="16"/>
                <w:szCs w:val="16"/>
                <w:b w:val="1"/>
                <w:bCs w:val="1"/>
                <w:color w:val="auto"/>
                <w:w w:val="99"/>
              </w:rPr>
              <w:t>Total</w:t>
            </w:r>
          </w:p>
        </w:tc>
        <w:tc>
          <w:tcPr>
            <w:tcW w:w="0" w:type="dxa"/>
            <w:vAlign w:val="bottom"/>
          </w:tcPr>
          <w:p>
            <w:pPr>
              <w:spacing w:after="0"/>
              <w:rPr>
                <w:sz w:val="1"/>
                <w:szCs w:val="1"/>
                <w:color w:val="auto"/>
              </w:rPr>
            </w:pPr>
          </w:p>
        </w:tc>
      </w:tr>
      <w:tr>
        <w:trPr>
          <w:trHeight w:val="189"/>
        </w:trPr>
        <w:tc>
          <w:tcPr>
            <w:tcW w:w="43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120" w:type="dxa"/>
            <w:vAlign w:val="bottom"/>
          </w:tcPr>
          <w:p>
            <w:pPr>
              <w:jc w:val="center"/>
              <w:spacing w:after="0"/>
              <w:rPr>
                <w:sz w:val="20"/>
                <w:szCs w:val="20"/>
                <w:color w:val="auto"/>
              </w:rPr>
            </w:pPr>
            <w:r>
              <w:rPr>
                <w:rFonts w:ascii="Arial" w:cs="Arial" w:eastAsia="Arial" w:hAnsi="Arial"/>
                <w:sz w:val="16"/>
                <w:szCs w:val="16"/>
                <w:b w:val="1"/>
                <w:bCs w:val="1"/>
                <w:color w:val="auto"/>
                <w:w w:val="99"/>
              </w:rPr>
              <w:t>Additional</w:t>
            </w:r>
          </w:p>
        </w:tc>
        <w:tc>
          <w:tcPr>
            <w:tcW w:w="1400" w:type="dxa"/>
            <w:vAlign w:val="bottom"/>
            <w:gridSpan w:val="2"/>
          </w:tcPr>
          <w:p>
            <w:pPr>
              <w:jc w:val="center"/>
              <w:spacing w:after="0"/>
              <w:rPr>
                <w:sz w:val="20"/>
                <w:szCs w:val="20"/>
                <w:color w:val="auto"/>
              </w:rPr>
            </w:pPr>
            <w:r>
              <w:rPr>
                <w:rFonts w:ascii="Arial" w:cs="Arial" w:eastAsia="Arial" w:hAnsi="Arial"/>
                <w:sz w:val="16"/>
                <w:szCs w:val="16"/>
                <w:b w:val="1"/>
                <w:bCs w:val="1"/>
                <w:color w:val="auto"/>
              </w:rPr>
              <w:t>comprehensiv</w:t>
            </w:r>
          </w:p>
        </w:tc>
        <w:tc>
          <w:tcPr>
            <w:tcW w:w="1140" w:type="dxa"/>
            <w:vAlign w:val="bottom"/>
            <w:gridSpan w:val="2"/>
          </w:tcPr>
          <w:p>
            <w:pPr>
              <w:jc w:val="center"/>
              <w:spacing w:after="0"/>
              <w:rPr>
                <w:sz w:val="20"/>
                <w:szCs w:val="20"/>
                <w:color w:val="auto"/>
              </w:rPr>
            </w:pPr>
            <w:r>
              <w:rPr>
                <w:rFonts w:ascii="Arial" w:cs="Arial" w:eastAsia="Arial" w:hAnsi="Arial"/>
                <w:sz w:val="16"/>
                <w:szCs w:val="16"/>
                <w:b w:val="1"/>
                <w:bCs w:val="1"/>
                <w:color w:val="auto"/>
              </w:rPr>
              <w:t>Accumulat</w:t>
            </w:r>
          </w:p>
        </w:tc>
        <w:tc>
          <w:tcPr>
            <w:tcW w:w="1180" w:type="dxa"/>
            <w:vAlign w:val="bottom"/>
            <w:gridSpan w:val="2"/>
          </w:tcPr>
          <w:p>
            <w:pPr>
              <w:ind w:left="100"/>
              <w:spacing w:after="0"/>
              <w:rPr>
                <w:sz w:val="20"/>
                <w:szCs w:val="20"/>
                <w:color w:val="auto"/>
              </w:rPr>
            </w:pPr>
            <w:r>
              <w:rPr>
                <w:rFonts w:ascii="Arial" w:cs="Arial" w:eastAsia="Arial" w:hAnsi="Arial"/>
                <w:sz w:val="16"/>
                <w:szCs w:val="16"/>
                <w:b w:val="1"/>
                <w:bCs w:val="1"/>
                <w:color w:val="auto"/>
              </w:rPr>
              <w:t>Stockholder</w:t>
            </w:r>
          </w:p>
        </w:tc>
        <w:tc>
          <w:tcPr>
            <w:tcW w:w="0" w:type="dxa"/>
            <w:vAlign w:val="bottom"/>
          </w:tcPr>
          <w:p>
            <w:pPr>
              <w:spacing w:after="0"/>
              <w:rPr>
                <w:sz w:val="1"/>
                <w:szCs w:val="1"/>
                <w:color w:val="auto"/>
              </w:rPr>
            </w:pPr>
          </w:p>
        </w:tc>
      </w:tr>
      <w:tr>
        <w:trPr>
          <w:trHeight w:val="189"/>
        </w:trPr>
        <w:tc>
          <w:tcPr>
            <w:tcW w:w="43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120" w:type="dxa"/>
            <w:vAlign w:val="bottom"/>
          </w:tcPr>
          <w:p>
            <w:pPr>
              <w:jc w:val="center"/>
              <w:spacing w:after="0"/>
              <w:rPr>
                <w:sz w:val="20"/>
                <w:szCs w:val="20"/>
                <w:color w:val="auto"/>
              </w:rPr>
            </w:pPr>
            <w:r>
              <w:rPr>
                <w:rFonts w:ascii="Arial" w:cs="Arial" w:eastAsia="Arial" w:hAnsi="Arial"/>
                <w:sz w:val="16"/>
                <w:szCs w:val="16"/>
                <w:b w:val="1"/>
                <w:bCs w:val="1"/>
                <w:color w:val="auto"/>
              </w:rPr>
              <w:t>paid-in</w:t>
            </w:r>
          </w:p>
        </w:tc>
        <w:tc>
          <w:tcPr>
            <w:tcW w:w="340" w:type="dxa"/>
            <w:vAlign w:val="bottom"/>
          </w:tcPr>
          <w:p>
            <w:pPr>
              <w:spacing w:after="0"/>
              <w:rPr>
                <w:sz w:val="16"/>
                <w:szCs w:val="16"/>
                <w:color w:val="auto"/>
              </w:rPr>
            </w:pPr>
          </w:p>
        </w:tc>
        <w:tc>
          <w:tcPr>
            <w:tcW w:w="1060" w:type="dxa"/>
            <w:vAlign w:val="bottom"/>
          </w:tcPr>
          <w:p>
            <w:pPr>
              <w:jc w:val="center"/>
              <w:ind w:right="339"/>
              <w:spacing w:after="0"/>
              <w:rPr>
                <w:sz w:val="20"/>
                <w:szCs w:val="20"/>
                <w:color w:val="auto"/>
              </w:rPr>
            </w:pPr>
            <w:r>
              <w:rPr>
                <w:rFonts w:ascii="Arial" w:cs="Arial" w:eastAsia="Arial" w:hAnsi="Arial"/>
                <w:sz w:val="16"/>
                <w:szCs w:val="16"/>
                <w:b w:val="1"/>
                <w:bCs w:val="1"/>
                <w:color w:val="auto"/>
                <w:w w:val="89"/>
              </w:rPr>
              <w:t>e</w:t>
            </w:r>
          </w:p>
        </w:tc>
        <w:tc>
          <w:tcPr>
            <w:tcW w:w="240" w:type="dxa"/>
            <w:vAlign w:val="bottom"/>
          </w:tcPr>
          <w:p>
            <w:pPr>
              <w:spacing w:after="0"/>
              <w:rPr>
                <w:sz w:val="16"/>
                <w:szCs w:val="16"/>
                <w:color w:val="auto"/>
              </w:rPr>
            </w:pPr>
          </w:p>
        </w:tc>
        <w:tc>
          <w:tcPr>
            <w:tcW w:w="900" w:type="dxa"/>
            <w:vAlign w:val="bottom"/>
          </w:tcPr>
          <w:p>
            <w:pPr>
              <w:jc w:val="center"/>
              <w:ind w:right="239"/>
              <w:spacing w:after="0"/>
              <w:rPr>
                <w:sz w:val="20"/>
                <w:szCs w:val="20"/>
                <w:color w:val="auto"/>
              </w:rPr>
            </w:pPr>
            <w:r>
              <w:rPr>
                <w:rFonts w:ascii="Arial" w:cs="Arial" w:eastAsia="Arial" w:hAnsi="Arial"/>
                <w:sz w:val="16"/>
                <w:szCs w:val="16"/>
                <w:b w:val="1"/>
                <w:bCs w:val="1"/>
                <w:color w:val="auto"/>
                <w:w w:val="96"/>
              </w:rPr>
              <w:t>ed</w:t>
            </w:r>
          </w:p>
        </w:tc>
        <w:tc>
          <w:tcPr>
            <w:tcW w:w="260" w:type="dxa"/>
            <w:vAlign w:val="bottom"/>
          </w:tcPr>
          <w:p>
            <w:pPr>
              <w:spacing w:after="0"/>
              <w:rPr>
                <w:sz w:val="16"/>
                <w:szCs w:val="16"/>
                <w:color w:val="auto"/>
              </w:rPr>
            </w:pPr>
          </w:p>
        </w:tc>
        <w:tc>
          <w:tcPr>
            <w:tcW w:w="920" w:type="dxa"/>
            <w:vAlign w:val="bottom"/>
          </w:tcPr>
          <w:p>
            <w:pPr>
              <w:jc w:val="center"/>
              <w:ind w:right="219"/>
              <w:spacing w:after="0"/>
              <w:rPr>
                <w:sz w:val="20"/>
                <w:szCs w:val="20"/>
                <w:color w:val="auto"/>
              </w:rPr>
            </w:pPr>
            <w:r>
              <w:rPr>
                <w:rFonts w:ascii="Arial" w:cs="Arial" w:eastAsia="Arial" w:hAnsi="Arial"/>
                <w:sz w:val="16"/>
                <w:szCs w:val="16"/>
                <w:b w:val="1"/>
                <w:bCs w:val="1"/>
                <w:color w:val="auto"/>
              </w:rPr>
              <w:t>s’</w:t>
            </w:r>
          </w:p>
        </w:tc>
        <w:tc>
          <w:tcPr>
            <w:tcW w:w="0" w:type="dxa"/>
            <w:vAlign w:val="bottom"/>
          </w:tcPr>
          <w:p>
            <w:pPr>
              <w:spacing w:after="0"/>
              <w:rPr>
                <w:sz w:val="1"/>
                <w:szCs w:val="1"/>
                <w:color w:val="auto"/>
              </w:rPr>
            </w:pPr>
          </w:p>
        </w:tc>
      </w:tr>
      <w:tr>
        <w:trPr>
          <w:trHeight w:val="203"/>
        </w:trPr>
        <w:tc>
          <w:tcPr>
            <w:tcW w:w="4300" w:type="dxa"/>
            <w:vAlign w:val="bottom"/>
            <w:tcBorders>
              <w:bottom w:val="single" w:sz="8" w:color="auto"/>
            </w:tcBorders>
          </w:tcPr>
          <w:p>
            <w:pPr>
              <w:spacing w:after="0"/>
              <w:rPr>
                <w:sz w:val="20"/>
                <w:szCs w:val="20"/>
                <w:color w:val="auto"/>
              </w:rPr>
            </w:pPr>
            <w:r>
              <w:rPr>
                <w:rFonts w:ascii="Arial" w:cs="Arial" w:eastAsia="Arial" w:hAnsi="Arial"/>
                <w:sz w:val="16"/>
                <w:szCs w:val="16"/>
                <w:b w:val="1"/>
                <w:bCs w:val="1"/>
                <w:color w:val="auto"/>
              </w:rPr>
              <w:t>(in thousands, except share amounts)</w:t>
            </w:r>
          </w:p>
        </w:tc>
        <w:tc>
          <w:tcPr>
            <w:tcW w:w="1020" w:type="dxa"/>
            <w:vAlign w:val="bottom"/>
            <w:tcBorders>
              <w:bottom w:val="single" w:sz="8" w:color="auto"/>
            </w:tcBorders>
          </w:tcPr>
          <w:p>
            <w:pPr>
              <w:jc w:val="right"/>
              <w:ind w:right="219"/>
              <w:spacing w:after="0"/>
              <w:rPr>
                <w:sz w:val="20"/>
                <w:szCs w:val="20"/>
                <w:color w:val="auto"/>
              </w:rPr>
            </w:pPr>
            <w:r>
              <w:rPr>
                <w:rFonts w:ascii="Arial" w:cs="Arial" w:eastAsia="Arial" w:hAnsi="Arial"/>
                <w:sz w:val="16"/>
                <w:szCs w:val="16"/>
                <w:b w:val="1"/>
                <w:bCs w:val="1"/>
                <w:color w:val="auto"/>
              </w:rPr>
              <w:t>Shares</w:t>
            </w:r>
          </w:p>
        </w:tc>
        <w:tc>
          <w:tcPr>
            <w:tcW w:w="24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b w:val="1"/>
                <w:bCs w:val="1"/>
                <w:color w:val="auto"/>
                <w:w w:val="99"/>
              </w:rPr>
              <w:t>Amount</w:t>
            </w:r>
          </w:p>
        </w:tc>
        <w:tc>
          <w:tcPr>
            <w:tcW w:w="112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8"/>
              </w:rPr>
              <w:t>capital</w:t>
            </w:r>
          </w:p>
        </w:tc>
        <w:tc>
          <w:tcPr>
            <w:tcW w:w="34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center"/>
              <w:ind w:right="299"/>
              <w:spacing w:after="0"/>
              <w:rPr>
                <w:sz w:val="20"/>
                <w:szCs w:val="20"/>
                <w:color w:val="auto"/>
              </w:rPr>
            </w:pPr>
            <w:r>
              <w:rPr>
                <w:rFonts w:ascii="Arial" w:cs="Arial" w:eastAsia="Arial" w:hAnsi="Arial"/>
                <w:sz w:val="16"/>
                <w:szCs w:val="16"/>
                <w:b w:val="1"/>
                <w:bCs w:val="1"/>
                <w:color w:val="auto"/>
                <w:w w:val="99"/>
              </w:rPr>
              <w:t>loss</w:t>
            </w:r>
          </w:p>
        </w:tc>
        <w:tc>
          <w:tcPr>
            <w:tcW w:w="24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center"/>
              <w:ind w:right="219"/>
              <w:spacing w:after="0"/>
              <w:rPr>
                <w:sz w:val="20"/>
                <w:szCs w:val="20"/>
                <w:color w:val="auto"/>
              </w:rPr>
            </w:pPr>
            <w:r>
              <w:rPr>
                <w:rFonts w:ascii="Arial" w:cs="Arial" w:eastAsia="Arial" w:hAnsi="Arial"/>
                <w:sz w:val="16"/>
                <w:szCs w:val="16"/>
                <w:b w:val="1"/>
                <w:bCs w:val="1"/>
                <w:color w:val="auto"/>
              </w:rPr>
              <w:t>deficit</w:t>
            </w:r>
          </w:p>
        </w:tc>
        <w:tc>
          <w:tcPr>
            <w:tcW w:w="26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center"/>
              <w:ind w:right="199"/>
              <w:spacing w:after="0"/>
              <w:rPr>
                <w:sz w:val="20"/>
                <w:szCs w:val="20"/>
                <w:color w:val="auto"/>
              </w:rPr>
            </w:pPr>
            <w:r>
              <w:rPr>
                <w:rFonts w:ascii="Arial" w:cs="Arial" w:eastAsia="Arial" w:hAnsi="Arial"/>
                <w:sz w:val="16"/>
                <w:szCs w:val="16"/>
                <w:b w:val="1"/>
                <w:bCs w:val="1"/>
                <w:color w:val="auto"/>
              </w:rPr>
              <w:t>equity</w:t>
            </w:r>
          </w:p>
        </w:tc>
        <w:tc>
          <w:tcPr>
            <w:tcW w:w="0" w:type="dxa"/>
            <w:vAlign w:val="bottom"/>
          </w:tcPr>
          <w:p>
            <w:pPr>
              <w:spacing w:after="0"/>
              <w:rPr>
                <w:sz w:val="1"/>
                <w:szCs w:val="1"/>
                <w:color w:val="auto"/>
              </w:rPr>
            </w:pPr>
          </w:p>
        </w:tc>
      </w:tr>
      <w:tr>
        <w:trPr>
          <w:trHeight w:val="168"/>
        </w:trPr>
        <w:tc>
          <w:tcPr>
            <w:tcW w:w="4300" w:type="dxa"/>
            <w:vAlign w:val="bottom"/>
            <w:shd w:val="clear" w:color="auto" w:fill="CFF0FC"/>
          </w:tcPr>
          <w:p>
            <w:pPr>
              <w:spacing w:after="0" w:line="168" w:lineRule="exact"/>
              <w:rPr>
                <w:sz w:val="20"/>
                <w:szCs w:val="20"/>
                <w:color w:val="auto"/>
              </w:rPr>
            </w:pPr>
            <w:r>
              <w:rPr>
                <w:rFonts w:ascii="Arial" w:cs="Arial" w:eastAsia="Arial" w:hAnsi="Arial"/>
                <w:sz w:val="16"/>
                <w:szCs w:val="16"/>
                <w:color w:val="auto"/>
              </w:rPr>
              <w:t>Balance—January 1, 2026</w:t>
            </w:r>
          </w:p>
        </w:tc>
        <w:tc>
          <w:tcPr>
            <w:tcW w:w="1020" w:type="dxa"/>
            <w:vAlign w:val="bottom"/>
            <w:shd w:val="clear" w:color="auto" w:fill="CFF0FC"/>
          </w:tcPr>
          <w:p>
            <w:pPr>
              <w:jc w:val="right"/>
              <w:ind w:right="39"/>
              <w:spacing w:after="0" w:line="168" w:lineRule="exact"/>
              <w:rPr>
                <w:sz w:val="20"/>
                <w:szCs w:val="20"/>
                <w:color w:val="auto"/>
              </w:rPr>
            </w:pPr>
            <w:r>
              <w:rPr>
                <w:rFonts w:ascii="Arial" w:cs="Arial" w:eastAsia="Arial" w:hAnsi="Arial"/>
                <w:sz w:val="16"/>
                <w:szCs w:val="16"/>
                <w:color w:val="auto"/>
              </w:rPr>
              <w:t>65,543,72</w:t>
            </w:r>
          </w:p>
        </w:tc>
        <w:tc>
          <w:tcPr>
            <w:tcW w:w="240" w:type="dxa"/>
            <w:vAlign w:val="bottom"/>
            <w:shd w:val="clear" w:color="auto" w:fill="CFF0FC"/>
          </w:tcPr>
          <w:p>
            <w:pPr>
              <w:spacing w:after="0"/>
              <w:rPr>
                <w:sz w:val="14"/>
                <w:szCs w:val="14"/>
                <w:color w:val="auto"/>
              </w:rPr>
            </w:pPr>
          </w:p>
        </w:tc>
        <w:tc>
          <w:tcPr>
            <w:tcW w:w="840" w:type="dxa"/>
            <w:vAlign w:val="bottom"/>
            <w:shd w:val="clear" w:color="auto" w:fill="CFF0FC"/>
          </w:tcPr>
          <w:p>
            <w:pPr>
              <w:spacing w:after="0"/>
              <w:rPr>
                <w:sz w:val="14"/>
                <w:szCs w:val="14"/>
                <w:color w:val="auto"/>
              </w:rPr>
            </w:pPr>
          </w:p>
        </w:tc>
        <w:tc>
          <w:tcPr>
            <w:tcW w:w="1120" w:type="dxa"/>
            <w:vAlign w:val="bottom"/>
            <w:shd w:val="clear" w:color="auto" w:fill="CFF0FC"/>
          </w:tcPr>
          <w:p>
            <w:pPr>
              <w:spacing w:after="0"/>
              <w:rPr>
                <w:sz w:val="14"/>
                <w:szCs w:val="14"/>
                <w:color w:val="auto"/>
              </w:rPr>
            </w:pPr>
          </w:p>
        </w:tc>
        <w:tc>
          <w:tcPr>
            <w:tcW w:w="340" w:type="dxa"/>
            <w:vAlign w:val="bottom"/>
            <w:shd w:val="clear" w:color="auto" w:fill="CFF0FC"/>
          </w:tcPr>
          <w:p>
            <w:pPr>
              <w:spacing w:after="0"/>
              <w:rPr>
                <w:sz w:val="14"/>
                <w:szCs w:val="14"/>
                <w:color w:val="auto"/>
              </w:rPr>
            </w:pPr>
          </w:p>
        </w:tc>
        <w:tc>
          <w:tcPr>
            <w:tcW w:w="106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90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92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4300" w:type="dxa"/>
            <w:vAlign w:val="bottom"/>
            <w:shd w:val="clear" w:color="auto" w:fill="CFF0FC"/>
          </w:tcPr>
          <w:p>
            <w:pPr>
              <w:spacing w:after="0"/>
              <w:rPr>
                <w:sz w:val="17"/>
                <w:szCs w:val="17"/>
                <w:color w:val="auto"/>
              </w:rPr>
            </w:pPr>
          </w:p>
        </w:tc>
        <w:tc>
          <w:tcPr>
            <w:tcW w:w="102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3</w:t>
            </w:r>
          </w:p>
        </w:tc>
        <w:tc>
          <w:tcPr>
            <w:tcW w:w="2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84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7</w:t>
            </w:r>
          </w:p>
        </w:tc>
        <w:tc>
          <w:tcPr>
            <w:tcW w:w="112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714,090</w:t>
            </w:r>
          </w:p>
        </w:tc>
        <w:tc>
          <w:tcPr>
            <w:tcW w:w="34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w:t>
            </w:r>
          </w:p>
        </w:tc>
        <w:tc>
          <w:tcPr>
            <w:tcW w:w="1060" w:type="dxa"/>
            <w:vAlign w:val="bottom"/>
            <w:shd w:val="clear" w:color="auto" w:fill="CFF0FC"/>
          </w:tcPr>
          <w:p>
            <w:pPr>
              <w:jc w:val="right"/>
              <w:ind w:right="19"/>
              <w:spacing w:after="0"/>
              <w:rPr>
                <w:sz w:val="20"/>
                <w:szCs w:val="20"/>
                <w:color w:val="auto"/>
              </w:rPr>
            </w:pPr>
            <w:r>
              <w:rPr>
                <w:rFonts w:ascii="Arial" w:cs="Arial" w:eastAsia="Arial" w:hAnsi="Arial"/>
                <w:sz w:val="16"/>
                <w:szCs w:val="16"/>
                <w:color w:val="auto"/>
              </w:rPr>
              <w:t>(3,827)</w:t>
            </w:r>
          </w:p>
        </w:tc>
        <w:tc>
          <w:tcPr>
            <w:tcW w:w="2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900" w:type="dxa"/>
            <w:vAlign w:val="bottom"/>
            <w:shd w:val="clear" w:color="auto" w:fill="CFF0FC"/>
          </w:tcPr>
          <w:p>
            <w:pPr>
              <w:jc w:val="right"/>
              <w:ind w:right="19"/>
              <w:spacing w:after="0"/>
              <w:rPr>
                <w:sz w:val="20"/>
                <w:szCs w:val="20"/>
                <w:color w:val="auto"/>
              </w:rPr>
            </w:pPr>
            <w:r>
              <w:rPr>
                <w:rFonts w:ascii="Arial" w:cs="Arial" w:eastAsia="Arial" w:hAnsi="Arial"/>
                <w:sz w:val="16"/>
                <w:szCs w:val="16"/>
                <w:color w:val="auto"/>
              </w:rPr>
              <w:t>(477,214)</w:t>
            </w:r>
          </w:p>
        </w:tc>
        <w:tc>
          <w:tcPr>
            <w:tcW w:w="260" w:type="dxa"/>
            <w:vAlign w:val="bottom"/>
            <w:shd w:val="clear" w:color="auto" w:fill="CFF0FC"/>
          </w:tcPr>
          <w:p>
            <w:pPr>
              <w:ind w:left="80"/>
              <w:spacing w:after="0"/>
              <w:rPr>
                <w:sz w:val="20"/>
                <w:szCs w:val="20"/>
                <w:color w:val="auto"/>
              </w:rPr>
            </w:pPr>
            <w:r>
              <w:rPr>
                <w:rFonts w:ascii="Arial" w:cs="Arial" w:eastAsia="Arial" w:hAnsi="Arial"/>
                <w:sz w:val="16"/>
                <w:szCs w:val="16"/>
                <w:color w:val="auto"/>
              </w:rPr>
              <w:t>$</w:t>
            </w:r>
          </w:p>
        </w:tc>
        <w:tc>
          <w:tcPr>
            <w:tcW w:w="92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233,056</w:t>
            </w:r>
          </w:p>
        </w:tc>
        <w:tc>
          <w:tcPr>
            <w:tcW w:w="0" w:type="dxa"/>
            <w:vAlign w:val="bottom"/>
          </w:tcPr>
          <w:p>
            <w:pPr>
              <w:spacing w:after="0"/>
              <w:rPr>
                <w:sz w:val="1"/>
                <w:szCs w:val="1"/>
                <w:color w:val="auto"/>
              </w:rPr>
            </w:pPr>
          </w:p>
        </w:tc>
      </w:tr>
      <w:tr>
        <w:trPr>
          <w:trHeight w:val="175"/>
        </w:trPr>
        <w:tc>
          <w:tcPr>
            <w:tcW w:w="4300" w:type="dxa"/>
            <w:vAlign w:val="bottom"/>
          </w:tcPr>
          <w:p>
            <w:pPr>
              <w:spacing w:after="0" w:line="175" w:lineRule="exact"/>
              <w:rPr>
                <w:sz w:val="20"/>
                <w:szCs w:val="20"/>
                <w:color w:val="auto"/>
              </w:rPr>
            </w:pPr>
            <w:r>
              <w:rPr>
                <w:rFonts w:ascii="Arial" w:cs="Arial" w:eastAsia="Arial" w:hAnsi="Arial"/>
                <w:sz w:val="16"/>
                <w:szCs w:val="16"/>
                <w:color w:val="auto"/>
              </w:rPr>
              <w:t>Issuance of common stock and pre-funded warrants</w:t>
            </w:r>
          </w:p>
        </w:tc>
        <w:tc>
          <w:tcPr>
            <w:tcW w:w="10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4300" w:type="dxa"/>
            <w:vAlign w:val="bottom"/>
          </w:tcPr>
          <w:p>
            <w:pPr>
              <w:spacing w:after="0"/>
              <w:rPr>
                <w:sz w:val="20"/>
                <w:szCs w:val="20"/>
                <w:color w:val="auto"/>
              </w:rPr>
            </w:pPr>
            <w:r>
              <w:rPr>
                <w:rFonts w:ascii="Arial" w:cs="Arial" w:eastAsia="Arial" w:hAnsi="Arial"/>
                <w:sz w:val="16"/>
                <w:szCs w:val="16"/>
                <w:color w:val="auto"/>
              </w:rPr>
              <w:t>pursuant to underwritten public offering, net of issuance</w:t>
            </w:r>
          </w:p>
        </w:tc>
        <w:tc>
          <w:tcPr>
            <w:tcW w:w="1020" w:type="dxa"/>
            <w:vAlign w:val="bottom"/>
          </w:tcPr>
          <w:p>
            <w:pPr>
              <w:jc w:val="right"/>
              <w:ind w:right="39"/>
              <w:spacing w:after="0"/>
              <w:rPr>
                <w:sz w:val="20"/>
                <w:szCs w:val="20"/>
                <w:color w:val="auto"/>
              </w:rPr>
            </w:pPr>
            <w:r>
              <w:rPr>
                <w:rFonts w:ascii="Arial" w:cs="Arial" w:eastAsia="Arial" w:hAnsi="Arial"/>
                <w:sz w:val="16"/>
                <w:szCs w:val="16"/>
                <w:color w:val="auto"/>
              </w:rPr>
              <w:t>13,000,00</w:t>
            </w:r>
          </w:p>
        </w:tc>
        <w:tc>
          <w:tcPr>
            <w:tcW w:w="2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4300" w:type="dxa"/>
            <w:vAlign w:val="bottom"/>
          </w:tcPr>
          <w:p>
            <w:pPr>
              <w:spacing w:after="0"/>
              <w:rPr>
                <w:sz w:val="20"/>
                <w:szCs w:val="20"/>
                <w:color w:val="auto"/>
              </w:rPr>
            </w:pPr>
            <w:r>
              <w:rPr>
                <w:rFonts w:ascii="Arial" w:cs="Arial" w:eastAsia="Arial" w:hAnsi="Arial"/>
                <w:sz w:val="16"/>
                <w:szCs w:val="16"/>
                <w:color w:val="auto"/>
              </w:rPr>
              <w:t>cost of $21,187</w:t>
            </w:r>
          </w:p>
        </w:tc>
        <w:tc>
          <w:tcPr>
            <w:tcW w:w="1020" w:type="dxa"/>
            <w:vAlign w:val="bottom"/>
          </w:tcPr>
          <w:p>
            <w:pPr>
              <w:jc w:val="right"/>
              <w:ind w:right="39"/>
              <w:spacing w:after="0"/>
              <w:rPr>
                <w:sz w:val="20"/>
                <w:szCs w:val="20"/>
                <w:color w:val="auto"/>
              </w:rPr>
            </w:pPr>
            <w:r>
              <w:rPr>
                <w:rFonts w:ascii="Arial" w:cs="Arial" w:eastAsia="Arial" w:hAnsi="Arial"/>
                <w:sz w:val="16"/>
                <w:szCs w:val="16"/>
                <w:color w:val="auto"/>
              </w:rPr>
              <w:t>0</w:t>
            </w:r>
          </w:p>
        </w:tc>
        <w:tc>
          <w:tcPr>
            <w:tcW w:w="240" w:type="dxa"/>
            <w:vAlign w:val="bottom"/>
          </w:tcPr>
          <w:p>
            <w:pPr>
              <w:spacing w:after="0"/>
              <w:rPr>
                <w:sz w:val="17"/>
                <w:szCs w:val="17"/>
                <w:color w:val="auto"/>
              </w:rPr>
            </w:pPr>
          </w:p>
        </w:tc>
        <w:tc>
          <w:tcPr>
            <w:tcW w:w="840" w:type="dxa"/>
            <w:vAlign w:val="bottom"/>
          </w:tcPr>
          <w:p>
            <w:pPr>
              <w:jc w:val="right"/>
              <w:ind w:right="39"/>
              <w:spacing w:after="0"/>
              <w:rPr>
                <w:sz w:val="20"/>
                <w:szCs w:val="20"/>
                <w:color w:val="auto"/>
              </w:rPr>
            </w:pPr>
            <w:r>
              <w:rPr>
                <w:rFonts w:ascii="Arial" w:cs="Arial" w:eastAsia="Arial" w:hAnsi="Arial"/>
                <w:sz w:val="16"/>
                <w:szCs w:val="16"/>
                <w:color w:val="auto"/>
              </w:rPr>
              <w:t>1</w:t>
            </w:r>
          </w:p>
        </w:tc>
        <w:tc>
          <w:tcPr>
            <w:tcW w:w="1120" w:type="dxa"/>
            <w:vAlign w:val="bottom"/>
          </w:tcPr>
          <w:p>
            <w:pPr>
              <w:jc w:val="right"/>
              <w:ind w:right="39"/>
              <w:spacing w:after="0"/>
              <w:rPr>
                <w:sz w:val="20"/>
                <w:szCs w:val="20"/>
                <w:color w:val="auto"/>
              </w:rPr>
            </w:pPr>
            <w:r>
              <w:rPr>
                <w:rFonts w:ascii="Arial" w:cs="Arial" w:eastAsia="Arial" w:hAnsi="Arial"/>
                <w:sz w:val="16"/>
                <w:szCs w:val="16"/>
                <w:color w:val="auto"/>
              </w:rPr>
              <w:t>323,810</w:t>
            </w:r>
          </w:p>
        </w:tc>
        <w:tc>
          <w:tcPr>
            <w:tcW w:w="340" w:type="dxa"/>
            <w:vAlign w:val="bottom"/>
          </w:tcPr>
          <w:p>
            <w:pPr>
              <w:spacing w:after="0"/>
              <w:rPr>
                <w:sz w:val="17"/>
                <w:szCs w:val="17"/>
                <w:color w:val="auto"/>
              </w:rPr>
            </w:pPr>
          </w:p>
        </w:tc>
        <w:tc>
          <w:tcPr>
            <w:tcW w:w="106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7"/>
                <w:szCs w:val="17"/>
                <w:color w:val="auto"/>
              </w:rPr>
            </w:pPr>
          </w:p>
        </w:tc>
        <w:tc>
          <w:tcPr>
            <w:tcW w:w="90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7"/>
                <w:szCs w:val="17"/>
                <w:color w:val="auto"/>
              </w:rPr>
            </w:pPr>
          </w:p>
        </w:tc>
        <w:tc>
          <w:tcPr>
            <w:tcW w:w="920" w:type="dxa"/>
            <w:vAlign w:val="bottom"/>
          </w:tcPr>
          <w:p>
            <w:pPr>
              <w:jc w:val="right"/>
              <w:ind w:right="39"/>
              <w:spacing w:after="0"/>
              <w:rPr>
                <w:sz w:val="20"/>
                <w:szCs w:val="20"/>
                <w:color w:val="auto"/>
              </w:rPr>
            </w:pPr>
            <w:r>
              <w:rPr>
                <w:rFonts w:ascii="Arial" w:cs="Arial" w:eastAsia="Arial" w:hAnsi="Arial"/>
                <w:sz w:val="16"/>
                <w:szCs w:val="16"/>
                <w:color w:val="auto"/>
              </w:rPr>
              <w:t>323,811</w:t>
            </w:r>
          </w:p>
        </w:tc>
        <w:tc>
          <w:tcPr>
            <w:tcW w:w="0" w:type="dxa"/>
            <w:vAlign w:val="bottom"/>
          </w:tcPr>
          <w:p>
            <w:pPr>
              <w:spacing w:after="0"/>
              <w:rPr>
                <w:sz w:val="1"/>
                <w:szCs w:val="1"/>
                <w:color w:val="auto"/>
              </w:rPr>
            </w:pPr>
          </w:p>
        </w:tc>
      </w:tr>
      <w:tr>
        <w:trPr>
          <w:trHeight w:val="189"/>
        </w:trPr>
        <w:tc>
          <w:tcPr>
            <w:tcW w:w="4300" w:type="dxa"/>
            <w:vAlign w:val="bottom"/>
            <w:shd w:val="clear" w:color="auto" w:fill="CFF0FC"/>
          </w:tcPr>
          <w:p>
            <w:pPr>
              <w:spacing w:after="0"/>
              <w:rPr>
                <w:sz w:val="20"/>
                <w:szCs w:val="20"/>
                <w:color w:val="auto"/>
              </w:rPr>
            </w:pPr>
            <w:r>
              <w:rPr>
                <w:rFonts w:ascii="Arial" w:cs="Arial" w:eastAsia="Arial" w:hAnsi="Arial"/>
                <w:sz w:val="16"/>
                <w:szCs w:val="16"/>
                <w:color w:val="auto"/>
              </w:rPr>
              <w:t>Exercise of pre-funded warrants</w:t>
            </w:r>
          </w:p>
        </w:tc>
        <w:tc>
          <w:tcPr>
            <w:tcW w:w="102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5,016,628</w:t>
            </w:r>
          </w:p>
        </w:tc>
        <w:tc>
          <w:tcPr>
            <w:tcW w:w="240" w:type="dxa"/>
            <w:vAlign w:val="bottom"/>
            <w:shd w:val="clear" w:color="auto" w:fill="CFF0FC"/>
          </w:tcPr>
          <w:p>
            <w:pPr>
              <w:spacing w:after="0"/>
              <w:rPr>
                <w:sz w:val="16"/>
                <w:szCs w:val="16"/>
                <w:color w:val="auto"/>
              </w:rPr>
            </w:pPr>
          </w:p>
        </w:tc>
        <w:tc>
          <w:tcPr>
            <w:tcW w:w="84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w:t>
            </w:r>
          </w:p>
        </w:tc>
        <w:tc>
          <w:tcPr>
            <w:tcW w:w="112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w:t>
            </w:r>
          </w:p>
        </w:tc>
        <w:tc>
          <w:tcPr>
            <w:tcW w:w="340" w:type="dxa"/>
            <w:vAlign w:val="bottom"/>
            <w:shd w:val="clear" w:color="auto" w:fill="CFF0FC"/>
          </w:tcPr>
          <w:p>
            <w:pPr>
              <w:spacing w:after="0"/>
              <w:rPr>
                <w:sz w:val="16"/>
                <w:szCs w:val="16"/>
                <w:color w:val="auto"/>
              </w:rPr>
            </w:pPr>
          </w:p>
        </w:tc>
        <w:tc>
          <w:tcPr>
            <w:tcW w:w="1060" w:type="dxa"/>
            <w:vAlign w:val="bottom"/>
            <w:shd w:val="clear" w:color="auto" w:fill="CFF0FC"/>
          </w:tcPr>
          <w:p>
            <w:pPr>
              <w:jc w:val="right"/>
              <w:ind w:right="79"/>
              <w:spacing w:after="0"/>
              <w:rPr>
                <w:sz w:val="20"/>
                <w:szCs w:val="20"/>
                <w:color w:val="auto"/>
              </w:rPr>
            </w:pPr>
            <w:r>
              <w:rPr>
                <w:rFonts w:ascii="Arial" w:cs="Arial" w:eastAsia="Arial" w:hAnsi="Arial"/>
                <w:sz w:val="16"/>
                <w:szCs w:val="16"/>
                <w:color w:val="auto"/>
              </w:rPr>
              <w:t>—</w:t>
            </w:r>
          </w:p>
        </w:tc>
        <w:tc>
          <w:tcPr>
            <w:tcW w:w="240" w:type="dxa"/>
            <w:vAlign w:val="bottom"/>
            <w:shd w:val="clear" w:color="auto" w:fill="CFF0FC"/>
          </w:tcPr>
          <w:p>
            <w:pPr>
              <w:spacing w:after="0"/>
              <w:rPr>
                <w:sz w:val="16"/>
                <w:szCs w:val="16"/>
                <w:color w:val="auto"/>
              </w:rPr>
            </w:pPr>
          </w:p>
        </w:tc>
        <w:tc>
          <w:tcPr>
            <w:tcW w:w="900" w:type="dxa"/>
            <w:vAlign w:val="bottom"/>
            <w:shd w:val="clear" w:color="auto" w:fill="CFF0FC"/>
          </w:tcPr>
          <w:p>
            <w:pPr>
              <w:jc w:val="right"/>
              <w:ind w:right="79"/>
              <w:spacing w:after="0"/>
              <w:rPr>
                <w:sz w:val="20"/>
                <w:szCs w:val="20"/>
                <w:color w:val="auto"/>
              </w:rPr>
            </w:pPr>
            <w:r>
              <w:rPr>
                <w:rFonts w:ascii="Arial" w:cs="Arial" w:eastAsia="Arial" w:hAnsi="Arial"/>
                <w:sz w:val="16"/>
                <w:szCs w:val="16"/>
                <w:color w:val="auto"/>
              </w:rPr>
              <w:t>—</w:t>
            </w:r>
          </w:p>
        </w:tc>
        <w:tc>
          <w:tcPr>
            <w:tcW w:w="260" w:type="dxa"/>
            <w:vAlign w:val="bottom"/>
            <w:shd w:val="clear" w:color="auto" w:fill="CFF0FC"/>
          </w:tcPr>
          <w:p>
            <w:pPr>
              <w:spacing w:after="0"/>
              <w:rPr>
                <w:sz w:val="16"/>
                <w:szCs w:val="16"/>
                <w:color w:val="auto"/>
              </w:rPr>
            </w:pPr>
          </w:p>
        </w:tc>
        <w:tc>
          <w:tcPr>
            <w:tcW w:w="92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89"/>
        </w:trPr>
        <w:tc>
          <w:tcPr>
            <w:tcW w:w="4300" w:type="dxa"/>
            <w:vAlign w:val="bottom"/>
          </w:tcPr>
          <w:p>
            <w:pPr>
              <w:spacing w:after="0"/>
              <w:rPr>
                <w:sz w:val="20"/>
                <w:szCs w:val="20"/>
                <w:color w:val="auto"/>
              </w:rPr>
            </w:pPr>
            <w:r>
              <w:rPr>
                <w:rFonts w:ascii="Arial" w:cs="Arial" w:eastAsia="Arial" w:hAnsi="Arial"/>
                <w:sz w:val="16"/>
                <w:szCs w:val="16"/>
                <w:color w:val="auto"/>
              </w:rPr>
              <w:t>Restricted common stock vesting</w:t>
            </w:r>
          </w:p>
        </w:tc>
        <w:tc>
          <w:tcPr>
            <w:tcW w:w="1020" w:type="dxa"/>
            <w:vAlign w:val="bottom"/>
          </w:tcPr>
          <w:p>
            <w:pPr>
              <w:jc w:val="right"/>
              <w:ind w:right="39"/>
              <w:spacing w:after="0"/>
              <w:rPr>
                <w:sz w:val="20"/>
                <w:szCs w:val="20"/>
                <w:color w:val="auto"/>
              </w:rPr>
            </w:pPr>
            <w:r>
              <w:rPr>
                <w:rFonts w:ascii="Arial" w:cs="Arial" w:eastAsia="Arial" w:hAnsi="Arial"/>
                <w:sz w:val="16"/>
                <w:szCs w:val="16"/>
                <w:color w:val="auto"/>
              </w:rPr>
              <w:t>186,515</w:t>
            </w:r>
          </w:p>
        </w:tc>
        <w:tc>
          <w:tcPr>
            <w:tcW w:w="240" w:type="dxa"/>
            <w:vAlign w:val="bottom"/>
          </w:tcPr>
          <w:p>
            <w:pPr>
              <w:spacing w:after="0"/>
              <w:rPr>
                <w:sz w:val="16"/>
                <w:szCs w:val="16"/>
                <w:color w:val="auto"/>
              </w:rPr>
            </w:pPr>
          </w:p>
        </w:tc>
        <w:tc>
          <w:tcPr>
            <w:tcW w:w="84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12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16"/>
                <w:szCs w:val="16"/>
                <w:color w:val="auto"/>
              </w:rPr>
            </w:pPr>
          </w:p>
        </w:tc>
        <w:tc>
          <w:tcPr>
            <w:tcW w:w="106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6"/>
                <w:szCs w:val="16"/>
                <w:color w:val="auto"/>
              </w:rPr>
            </w:pPr>
          </w:p>
        </w:tc>
        <w:tc>
          <w:tcPr>
            <w:tcW w:w="90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6"/>
                <w:szCs w:val="16"/>
                <w:color w:val="auto"/>
              </w:rPr>
            </w:pPr>
          </w:p>
        </w:tc>
        <w:tc>
          <w:tcPr>
            <w:tcW w:w="92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89"/>
        </w:trPr>
        <w:tc>
          <w:tcPr>
            <w:tcW w:w="4300" w:type="dxa"/>
            <w:vAlign w:val="bottom"/>
            <w:shd w:val="clear" w:color="auto" w:fill="CFF0FC"/>
          </w:tcPr>
          <w:p>
            <w:pPr>
              <w:spacing w:after="0"/>
              <w:rPr>
                <w:sz w:val="20"/>
                <w:szCs w:val="20"/>
                <w:color w:val="auto"/>
              </w:rPr>
            </w:pPr>
            <w:r>
              <w:rPr>
                <w:rFonts w:ascii="Arial" w:cs="Arial" w:eastAsia="Arial" w:hAnsi="Arial"/>
                <w:sz w:val="16"/>
                <w:szCs w:val="16"/>
                <w:color w:val="auto"/>
              </w:rPr>
              <w:t>Exercise of common stock options</w:t>
            </w:r>
          </w:p>
        </w:tc>
        <w:tc>
          <w:tcPr>
            <w:tcW w:w="102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574,839</w:t>
            </w:r>
          </w:p>
        </w:tc>
        <w:tc>
          <w:tcPr>
            <w:tcW w:w="240" w:type="dxa"/>
            <w:vAlign w:val="bottom"/>
            <w:shd w:val="clear" w:color="auto" w:fill="CFF0FC"/>
          </w:tcPr>
          <w:p>
            <w:pPr>
              <w:spacing w:after="0"/>
              <w:rPr>
                <w:sz w:val="16"/>
                <w:szCs w:val="16"/>
                <w:color w:val="auto"/>
              </w:rPr>
            </w:pPr>
          </w:p>
        </w:tc>
        <w:tc>
          <w:tcPr>
            <w:tcW w:w="84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w:t>
            </w:r>
          </w:p>
        </w:tc>
        <w:tc>
          <w:tcPr>
            <w:tcW w:w="112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4,522</w:t>
            </w:r>
          </w:p>
        </w:tc>
        <w:tc>
          <w:tcPr>
            <w:tcW w:w="340" w:type="dxa"/>
            <w:vAlign w:val="bottom"/>
            <w:shd w:val="clear" w:color="auto" w:fill="CFF0FC"/>
          </w:tcPr>
          <w:p>
            <w:pPr>
              <w:spacing w:after="0"/>
              <w:rPr>
                <w:sz w:val="16"/>
                <w:szCs w:val="16"/>
                <w:color w:val="auto"/>
              </w:rPr>
            </w:pPr>
          </w:p>
        </w:tc>
        <w:tc>
          <w:tcPr>
            <w:tcW w:w="1060" w:type="dxa"/>
            <w:vAlign w:val="bottom"/>
            <w:shd w:val="clear" w:color="auto" w:fill="CFF0FC"/>
          </w:tcPr>
          <w:p>
            <w:pPr>
              <w:jc w:val="right"/>
              <w:ind w:right="79"/>
              <w:spacing w:after="0"/>
              <w:rPr>
                <w:sz w:val="20"/>
                <w:szCs w:val="20"/>
                <w:color w:val="auto"/>
              </w:rPr>
            </w:pPr>
            <w:r>
              <w:rPr>
                <w:rFonts w:ascii="Arial" w:cs="Arial" w:eastAsia="Arial" w:hAnsi="Arial"/>
                <w:sz w:val="16"/>
                <w:szCs w:val="16"/>
                <w:color w:val="auto"/>
              </w:rPr>
              <w:t>—</w:t>
            </w:r>
          </w:p>
        </w:tc>
        <w:tc>
          <w:tcPr>
            <w:tcW w:w="240" w:type="dxa"/>
            <w:vAlign w:val="bottom"/>
            <w:shd w:val="clear" w:color="auto" w:fill="CFF0FC"/>
          </w:tcPr>
          <w:p>
            <w:pPr>
              <w:spacing w:after="0"/>
              <w:rPr>
                <w:sz w:val="16"/>
                <w:szCs w:val="16"/>
                <w:color w:val="auto"/>
              </w:rPr>
            </w:pPr>
          </w:p>
        </w:tc>
        <w:tc>
          <w:tcPr>
            <w:tcW w:w="900" w:type="dxa"/>
            <w:vAlign w:val="bottom"/>
            <w:shd w:val="clear" w:color="auto" w:fill="CFF0FC"/>
          </w:tcPr>
          <w:p>
            <w:pPr>
              <w:jc w:val="right"/>
              <w:ind w:right="79"/>
              <w:spacing w:after="0"/>
              <w:rPr>
                <w:sz w:val="20"/>
                <w:szCs w:val="20"/>
                <w:color w:val="auto"/>
              </w:rPr>
            </w:pPr>
            <w:r>
              <w:rPr>
                <w:rFonts w:ascii="Arial" w:cs="Arial" w:eastAsia="Arial" w:hAnsi="Arial"/>
                <w:sz w:val="16"/>
                <w:szCs w:val="16"/>
                <w:color w:val="auto"/>
              </w:rPr>
              <w:t>—</w:t>
            </w:r>
          </w:p>
        </w:tc>
        <w:tc>
          <w:tcPr>
            <w:tcW w:w="260" w:type="dxa"/>
            <w:vAlign w:val="bottom"/>
            <w:shd w:val="clear" w:color="auto" w:fill="CFF0FC"/>
          </w:tcPr>
          <w:p>
            <w:pPr>
              <w:spacing w:after="0"/>
              <w:rPr>
                <w:sz w:val="16"/>
                <w:szCs w:val="16"/>
                <w:color w:val="auto"/>
              </w:rPr>
            </w:pPr>
          </w:p>
        </w:tc>
        <w:tc>
          <w:tcPr>
            <w:tcW w:w="92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4,522</w:t>
            </w:r>
          </w:p>
        </w:tc>
        <w:tc>
          <w:tcPr>
            <w:tcW w:w="0" w:type="dxa"/>
            <w:vAlign w:val="bottom"/>
          </w:tcPr>
          <w:p>
            <w:pPr>
              <w:spacing w:after="0"/>
              <w:rPr>
                <w:sz w:val="1"/>
                <w:szCs w:val="1"/>
                <w:color w:val="auto"/>
              </w:rPr>
            </w:pPr>
          </w:p>
        </w:tc>
      </w:tr>
      <w:tr>
        <w:trPr>
          <w:trHeight w:val="189"/>
        </w:trPr>
        <w:tc>
          <w:tcPr>
            <w:tcW w:w="4300" w:type="dxa"/>
            <w:vAlign w:val="bottom"/>
          </w:tcPr>
          <w:p>
            <w:pPr>
              <w:spacing w:after="0"/>
              <w:rPr>
                <w:sz w:val="20"/>
                <w:szCs w:val="20"/>
                <w:color w:val="auto"/>
              </w:rPr>
            </w:pPr>
            <w:r>
              <w:rPr>
                <w:rFonts w:ascii="Arial" w:cs="Arial" w:eastAsia="Arial" w:hAnsi="Arial"/>
                <w:sz w:val="16"/>
                <w:szCs w:val="16"/>
                <w:color w:val="auto"/>
              </w:rPr>
              <w:t>Provision for pension benefit obligation</w:t>
            </w:r>
          </w:p>
        </w:tc>
        <w:tc>
          <w:tcPr>
            <w:tcW w:w="102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6"/>
                <w:szCs w:val="16"/>
                <w:color w:val="auto"/>
              </w:rPr>
            </w:pPr>
          </w:p>
        </w:tc>
        <w:tc>
          <w:tcPr>
            <w:tcW w:w="84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12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16"/>
                <w:szCs w:val="16"/>
                <w:color w:val="auto"/>
              </w:rPr>
            </w:pPr>
          </w:p>
        </w:tc>
        <w:tc>
          <w:tcPr>
            <w:tcW w:w="1060" w:type="dxa"/>
            <w:vAlign w:val="bottom"/>
          </w:tcPr>
          <w:p>
            <w:pPr>
              <w:jc w:val="right"/>
              <w:ind w:right="79"/>
              <w:spacing w:after="0"/>
              <w:rPr>
                <w:sz w:val="20"/>
                <w:szCs w:val="20"/>
                <w:color w:val="auto"/>
              </w:rPr>
            </w:pPr>
            <w:r>
              <w:rPr>
                <w:rFonts w:ascii="Arial" w:cs="Arial" w:eastAsia="Arial" w:hAnsi="Arial"/>
                <w:sz w:val="16"/>
                <w:szCs w:val="16"/>
                <w:color w:val="auto"/>
              </w:rPr>
              <w:t>55</w:t>
            </w:r>
          </w:p>
        </w:tc>
        <w:tc>
          <w:tcPr>
            <w:tcW w:w="240" w:type="dxa"/>
            <w:vAlign w:val="bottom"/>
          </w:tcPr>
          <w:p>
            <w:pPr>
              <w:spacing w:after="0"/>
              <w:rPr>
                <w:sz w:val="16"/>
                <w:szCs w:val="16"/>
                <w:color w:val="auto"/>
              </w:rPr>
            </w:pPr>
          </w:p>
        </w:tc>
        <w:tc>
          <w:tcPr>
            <w:tcW w:w="90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6"/>
                <w:szCs w:val="16"/>
                <w:color w:val="auto"/>
              </w:rPr>
            </w:pPr>
          </w:p>
        </w:tc>
        <w:tc>
          <w:tcPr>
            <w:tcW w:w="920" w:type="dxa"/>
            <w:vAlign w:val="bottom"/>
          </w:tcPr>
          <w:p>
            <w:pPr>
              <w:jc w:val="right"/>
              <w:ind w:right="39"/>
              <w:spacing w:after="0"/>
              <w:rPr>
                <w:sz w:val="20"/>
                <w:szCs w:val="20"/>
                <w:color w:val="auto"/>
              </w:rPr>
            </w:pPr>
            <w:r>
              <w:rPr>
                <w:rFonts w:ascii="Arial" w:cs="Arial" w:eastAsia="Arial" w:hAnsi="Arial"/>
                <w:sz w:val="16"/>
                <w:szCs w:val="16"/>
                <w:color w:val="auto"/>
              </w:rPr>
              <w:t>55</w:t>
            </w:r>
          </w:p>
        </w:tc>
        <w:tc>
          <w:tcPr>
            <w:tcW w:w="0" w:type="dxa"/>
            <w:vAlign w:val="bottom"/>
          </w:tcPr>
          <w:p>
            <w:pPr>
              <w:spacing w:after="0"/>
              <w:rPr>
                <w:sz w:val="1"/>
                <w:szCs w:val="1"/>
                <w:color w:val="auto"/>
              </w:rPr>
            </w:pPr>
          </w:p>
        </w:tc>
      </w:tr>
      <w:tr>
        <w:trPr>
          <w:trHeight w:val="189"/>
        </w:trPr>
        <w:tc>
          <w:tcPr>
            <w:tcW w:w="4300" w:type="dxa"/>
            <w:vAlign w:val="bottom"/>
            <w:shd w:val="clear" w:color="auto" w:fill="CFF0FC"/>
          </w:tcPr>
          <w:p>
            <w:pPr>
              <w:spacing w:after="0"/>
              <w:rPr>
                <w:sz w:val="20"/>
                <w:szCs w:val="20"/>
                <w:color w:val="auto"/>
              </w:rPr>
            </w:pPr>
            <w:r>
              <w:rPr>
                <w:rFonts w:ascii="Arial" w:cs="Arial" w:eastAsia="Arial" w:hAnsi="Arial"/>
                <w:sz w:val="16"/>
                <w:szCs w:val="16"/>
                <w:color w:val="auto"/>
              </w:rPr>
              <w:t>Stock-based compensation expense</w:t>
            </w:r>
          </w:p>
        </w:tc>
        <w:tc>
          <w:tcPr>
            <w:tcW w:w="102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w:t>
            </w:r>
          </w:p>
        </w:tc>
        <w:tc>
          <w:tcPr>
            <w:tcW w:w="240" w:type="dxa"/>
            <w:vAlign w:val="bottom"/>
            <w:shd w:val="clear" w:color="auto" w:fill="CFF0FC"/>
          </w:tcPr>
          <w:p>
            <w:pPr>
              <w:spacing w:after="0"/>
              <w:rPr>
                <w:sz w:val="16"/>
                <w:szCs w:val="16"/>
                <w:color w:val="auto"/>
              </w:rPr>
            </w:pPr>
          </w:p>
        </w:tc>
        <w:tc>
          <w:tcPr>
            <w:tcW w:w="84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w:t>
            </w:r>
          </w:p>
        </w:tc>
        <w:tc>
          <w:tcPr>
            <w:tcW w:w="112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5,949</w:t>
            </w:r>
          </w:p>
        </w:tc>
        <w:tc>
          <w:tcPr>
            <w:tcW w:w="340" w:type="dxa"/>
            <w:vAlign w:val="bottom"/>
            <w:shd w:val="clear" w:color="auto" w:fill="CFF0FC"/>
          </w:tcPr>
          <w:p>
            <w:pPr>
              <w:spacing w:after="0"/>
              <w:rPr>
                <w:sz w:val="16"/>
                <w:szCs w:val="16"/>
                <w:color w:val="auto"/>
              </w:rPr>
            </w:pPr>
          </w:p>
        </w:tc>
        <w:tc>
          <w:tcPr>
            <w:tcW w:w="1060" w:type="dxa"/>
            <w:vAlign w:val="bottom"/>
            <w:shd w:val="clear" w:color="auto" w:fill="CFF0FC"/>
          </w:tcPr>
          <w:p>
            <w:pPr>
              <w:jc w:val="right"/>
              <w:ind w:right="79"/>
              <w:spacing w:after="0"/>
              <w:rPr>
                <w:sz w:val="20"/>
                <w:szCs w:val="20"/>
                <w:color w:val="auto"/>
              </w:rPr>
            </w:pPr>
            <w:r>
              <w:rPr>
                <w:rFonts w:ascii="Arial" w:cs="Arial" w:eastAsia="Arial" w:hAnsi="Arial"/>
                <w:sz w:val="16"/>
                <w:szCs w:val="16"/>
                <w:color w:val="auto"/>
              </w:rPr>
              <w:t>—</w:t>
            </w:r>
          </w:p>
        </w:tc>
        <w:tc>
          <w:tcPr>
            <w:tcW w:w="240" w:type="dxa"/>
            <w:vAlign w:val="bottom"/>
            <w:shd w:val="clear" w:color="auto" w:fill="CFF0FC"/>
          </w:tcPr>
          <w:p>
            <w:pPr>
              <w:spacing w:after="0"/>
              <w:rPr>
                <w:sz w:val="16"/>
                <w:szCs w:val="16"/>
                <w:color w:val="auto"/>
              </w:rPr>
            </w:pPr>
          </w:p>
        </w:tc>
        <w:tc>
          <w:tcPr>
            <w:tcW w:w="900" w:type="dxa"/>
            <w:vAlign w:val="bottom"/>
            <w:shd w:val="clear" w:color="auto" w:fill="CFF0FC"/>
          </w:tcPr>
          <w:p>
            <w:pPr>
              <w:jc w:val="right"/>
              <w:ind w:right="79"/>
              <w:spacing w:after="0"/>
              <w:rPr>
                <w:sz w:val="20"/>
                <w:szCs w:val="20"/>
                <w:color w:val="auto"/>
              </w:rPr>
            </w:pPr>
            <w:r>
              <w:rPr>
                <w:rFonts w:ascii="Arial" w:cs="Arial" w:eastAsia="Arial" w:hAnsi="Arial"/>
                <w:sz w:val="16"/>
                <w:szCs w:val="16"/>
                <w:color w:val="auto"/>
              </w:rPr>
              <w:t>—</w:t>
            </w:r>
          </w:p>
        </w:tc>
        <w:tc>
          <w:tcPr>
            <w:tcW w:w="260" w:type="dxa"/>
            <w:vAlign w:val="bottom"/>
            <w:shd w:val="clear" w:color="auto" w:fill="CFF0FC"/>
          </w:tcPr>
          <w:p>
            <w:pPr>
              <w:spacing w:after="0"/>
              <w:rPr>
                <w:sz w:val="16"/>
                <w:szCs w:val="16"/>
                <w:color w:val="auto"/>
              </w:rPr>
            </w:pPr>
          </w:p>
        </w:tc>
        <w:tc>
          <w:tcPr>
            <w:tcW w:w="92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5,949</w:t>
            </w:r>
          </w:p>
        </w:tc>
        <w:tc>
          <w:tcPr>
            <w:tcW w:w="0" w:type="dxa"/>
            <w:vAlign w:val="bottom"/>
          </w:tcPr>
          <w:p>
            <w:pPr>
              <w:spacing w:after="0"/>
              <w:rPr>
                <w:sz w:val="1"/>
                <w:szCs w:val="1"/>
                <w:color w:val="auto"/>
              </w:rPr>
            </w:pPr>
          </w:p>
        </w:tc>
      </w:tr>
      <w:tr>
        <w:trPr>
          <w:trHeight w:val="189"/>
        </w:trPr>
        <w:tc>
          <w:tcPr>
            <w:tcW w:w="4300" w:type="dxa"/>
            <w:vAlign w:val="bottom"/>
          </w:tcPr>
          <w:p>
            <w:pPr>
              <w:spacing w:after="0"/>
              <w:rPr>
                <w:sz w:val="20"/>
                <w:szCs w:val="20"/>
                <w:color w:val="auto"/>
              </w:rPr>
            </w:pPr>
            <w:r>
              <w:rPr>
                <w:rFonts w:ascii="Arial" w:cs="Arial" w:eastAsia="Arial" w:hAnsi="Arial"/>
                <w:sz w:val="16"/>
                <w:szCs w:val="16"/>
                <w:color w:val="auto"/>
              </w:rPr>
              <w:t>Unrealized loss on available-for-sale securities</w:t>
            </w:r>
          </w:p>
        </w:tc>
        <w:tc>
          <w:tcPr>
            <w:tcW w:w="102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6"/>
                <w:szCs w:val="16"/>
                <w:color w:val="auto"/>
              </w:rPr>
            </w:pPr>
          </w:p>
        </w:tc>
        <w:tc>
          <w:tcPr>
            <w:tcW w:w="84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12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16"/>
                <w:szCs w:val="16"/>
                <w:color w:val="auto"/>
              </w:rPr>
            </w:pPr>
          </w:p>
        </w:tc>
        <w:tc>
          <w:tcPr>
            <w:tcW w:w="1060" w:type="dxa"/>
            <w:vAlign w:val="bottom"/>
          </w:tcPr>
          <w:p>
            <w:pPr>
              <w:jc w:val="right"/>
              <w:ind w:right="19"/>
              <w:spacing w:after="0"/>
              <w:rPr>
                <w:sz w:val="20"/>
                <w:szCs w:val="20"/>
                <w:color w:val="auto"/>
              </w:rPr>
            </w:pPr>
            <w:r>
              <w:rPr>
                <w:rFonts w:ascii="Arial" w:cs="Arial" w:eastAsia="Arial" w:hAnsi="Arial"/>
                <w:sz w:val="16"/>
                <w:szCs w:val="16"/>
                <w:color w:val="auto"/>
              </w:rPr>
              <w:t>(974)</w:t>
            </w:r>
          </w:p>
        </w:tc>
        <w:tc>
          <w:tcPr>
            <w:tcW w:w="240" w:type="dxa"/>
            <w:vAlign w:val="bottom"/>
          </w:tcPr>
          <w:p>
            <w:pPr>
              <w:spacing w:after="0"/>
              <w:rPr>
                <w:sz w:val="16"/>
                <w:szCs w:val="16"/>
                <w:color w:val="auto"/>
              </w:rPr>
            </w:pPr>
          </w:p>
        </w:tc>
        <w:tc>
          <w:tcPr>
            <w:tcW w:w="90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(974)</w:t>
            </w:r>
          </w:p>
        </w:tc>
        <w:tc>
          <w:tcPr>
            <w:tcW w:w="0" w:type="dxa"/>
            <w:vAlign w:val="bottom"/>
          </w:tcPr>
          <w:p>
            <w:pPr>
              <w:spacing w:after="0"/>
              <w:rPr>
                <w:sz w:val="1"/>
                <w:szCs w:val="1"/>
                <w:color w:val="auto"/>
              </w:rPr>
            </w:pPr>
          </w:p>
        </w:tc>
      </w:tr>
      <w:tr>
        <w:trPr>
          <w:trHeight w:val="189"/>
        </w:trPr>
        <w:tc>
          <w:tcPr>
            <w:tcW w:w="430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6"/>
                <w:szCs w:val="16"/>
                <w:color w:val="auto"/>
              </w:rPr>
              <w:t>Net Loss</w:t>
            </w:r>
          </w:p>
        </w:tc>
        <w:tc>
          <w:tcPr>
            <w:tcW w:w="1020" w:type="dxa"/>
            <w:vAlign w:val="bottom"/>
            <w:tcBorders>
              <w:bottom w:val="single" w:sz="8" w:color="auto"/>
            </w:tcBorders>
            <w:shd w:val="clear" w:color="auto" w:fill="CFF0FC"/>
          </w:tcPr>
          <w:p>
            <w:pPr>
              <w:jc w:val="right"/>
              <w:ind w:right="39"/>
              <w:spacing w:after="0"/>
              <w:rPr>
                <w:sz w:val="20"/>
                <w:szCs w:val="20"/>
                <w:color w:val="auto"/>
              </w:rPr>
            </w:pPr>
            <w:r>
              <w:rPr>
                <w:rFonts w:ascii="Arial" w:cs="Arial" w:eastAsia="Arial" w:hAnsi="Arial"/>
                <w:sz w:val="16"/>
                <w:szCs w:val="16"/>
                <w:color w:val="auto"/>
              </w:rPr>
              <w:t>—</w:t>
            </w:r>
          </w:p>
        </w:tc>
        <w:tc>
          <w:tcPr>
            <w:tcW w:w="240" w:type="dxa"/>
            <w:vAlign w:val="bottom"/>
            <w:tcBorders>
              <w:bottom w:val="single" w:sz="8" w:color="auto"/>
            </w:tcBorders>
            <w:shd w:val="clear" w:color="auto" w:fill="CFF0FC"/>
          </w:tcPr>
          <w:p>
            <w:pPr>
              <w:spacing w:after="0"/>
              <w:rPr>
                <w:sz w:val="16"/>
                <w:szCs w:val="16"/>
                <w:color w:val="auto"/>
              </w:rPr>
            </w:pPr>
          </w:p>
        </w:tc>
        <w:tc>
          <w:tcPr>
            <w:tcW w:w="840" w:type="dxa"/>
            <w:vAlign w:val="bottom"/>
            <w:tcBorders>
              <w:bottom w:val="single" w:sz="8" w:color="auto"/>
            </w:tcBorders>
            <w:shd w:val="clear" w:color="auto" w:fill="CFF0FC"/>
          </w:tcPr>
          <w:p>
            <w:pPr>
              <w:jc w:val="right"/>
              <w:ind w:right="39"/>
              <w:spacing w:after="0"/>
              <w:rPr>
                <w:sz w:val="20"/>
                <w:szCs w:val="20"/>
                <w:color w:val="auto"/>
              </w:rPr>
            </w:pPr>
            <w:r>
              <w:rPr>
                <w:rFonts w:ascii="Arial" w:cs="Arial" w:eastAsia="Arial" w:hAnsi="Arial"/>
                <w:sz w:val="16"/>
                <w:szCs w:val="16"/>
                <w:color w:val="auto"/>
              </w:rPr>
              <w:t>—</w:t>
            </w:r>
          </w:p>
        </w:tc>
        <w:tc>
          <w:tcPr>
            <w:tcW w:w="1120" w:type="dxa"/>
            <w:vAlign w:val="bottom"/>
            <w:tcBorders>
              <w:bottom w:val="single" w:sz="8" w:color="auto"/>
            </w:tcBorders>
            <w:shd w:val="clear" w:color="auto" w:fill="CFF0FC"/>
          </w:tcPr>
          <w:p>
            <w:pPr>
              <w:jc w:val="right"/>
              <w:ind w:right="39"/>
              <w:spacing w:after="0"/>
              <w:rPr>
                <w:sz w:val="20"/>
                <w:szCs w:val="20"/>
                <w:color w:val="auto"/>
              </w:rPr>
            </w:pPr>
            <w:r>
              <w:rPr>
                <w:rFonts w:ascii="Arial" w:cs="Arial" w:eastAsia="Arial" w:hAnsi="Arial"/>
                <w:sz w:val="16"/>
                <w:szCs w:val="16"/>
                <w:color w:val="auto"/>
              </w:rPr>
              <w:t>—</w:t>
            </w:r>
          </w:p>
        </w:tc>
        <w:tc>
          <w:tcPr>
            <w:tcW w:w="340" w:type="dxa"/>
            <w:vAlign w:val="bottom"/>
            <w:tcBorders>
              <w:bottom w:val="single" w:sz="8" w:color="auto"/>
            </w:tcBorders>
            <w:shd w:val="clear" w:color="auto" w:fill="CFF0FC"/>
          </w:tcPr>
          <w:p>
            <w:pPr>
              <w:spacing w:after="0"/>
              <w:rPr>
                <w:sz w:val="16"/>
                <w:szCs w:val="16"/>
                <w:color w:val="auto"/>
              </w:rPr>
            </w:pPr>
          </w:p>
        </w:tc>
        <w:tc>
          <w:tcPr>
            <w:tcW w:w="1060" w:type="dxa"/>
            <w:vAlign w:val="bottom"/>
            <w:tcBorders>
              <w:bottom w:val="single" w:sz="8" w:color="auto"/>
            </w:tcBorders>
            <w:shd w:val="clear" w:color="auto" w:fill="CFF0FC"/>
          </w:tcPr>
          <w:p>
            <w:pPr>
              <w:jc w:val="right"/>
              <w:ind w:right="79"/>
              <w:spacing w:after="0"/>
              <w:rPr>
                <w:sz w:val="20"/>
                <w:szCs w:val="20"/>
                <w:color w:val="auto"/>
              </w:rPr>
            </w:pPr>
            <w:r>
              <w:rPr>
                <w:rFonts w:ascii="Arial" w:cs="Arial" w:eastAsia="Arial" w:hAnsi="Arial"/>
                <w:sz w:val="16"/>
                <w:szCs w:val="16"/>
                <w:color w:val="auto"/>
              </w:rPr>
              <w:t>—</w:t>
            </w:r>
          </w:p>
        </w:tc>
        <w:tc>
          <w:tcPr>
            <w:tcW w:w="240" w:type="dxa"/>
            <w:vAlign w:val="bottom"/>
            <w:tcBorders>
              <w:bottom w:val="single" w:sz="8" w:color="auto"/>
            </w:tcBorders>
            <w:shd w:val="clear" w:color="auto" w:fill="CFF0FC"/>
          </w:tcPr>
          <w:p>
            <w:pPr>
              <w:spacing w:after="0"/>
              <w:rPr>
                <w:sz w:val="16"/>
                <w:szCs w:val="16"/>
                <w:color w:val="auto"/>
              </w:rPr>
            </w:pPr>
          </w:p>
        </w:tc>
        <w:tc>
          <w:tcPr>
            <w:tcW w:w="900" w:type="dxa"/>
            <w:vAlign w:val="bottom"/>
            <w:tcBorders>
              <w:bottom w:val="single" w:sz="8" w:color="auto"/>
            </w:tcBorders>
            <w:shd w:val="clear" w:color="auto" w:fill="CFF0FC"/>
          </w:tcPr>
          <w:p>
            <w:pPr>
              <w:jc w:val="right"/>
              <w:ind w:right="19"/>
              <w:spacing w:after="0"/>
              <w:rPr>
                <w:sz w:val="20"/>
                <w:szCs w:val="20"/>
                <w:color w:val="auto"/>
              </w:rPr>
            </w:pPr>
            <w:r>
              <w:rPr>
                <w:rFonts w:ascii="Arial" w:cs="Arial" w:eastAsia="Arial" w:hAnsi="Arial"/>
                <w:sz w:val="16"/>
                <w:szCs w:val="16"/>
                <w:color w:val="auto"/>
              </w:rPr>
              <w:t>(44,503)</w:t>
            </w:r>
          </w:p>
        </w:tc>
        <w:tc>
          <w:tcPr>
            <w:tcW w:w="260" w:type="dxa"/>
            <w:vAlign w:val="bottom"/>
            <w:tcBorders>
              <w:bottom w:val="single" w:sz="8" w:color="auto"/>
            </w:tcBorders>
            <w:shd w:val="clear" w:color="auto" w:fill="CFF0FC"/>
          </w:tcPr>
          <w:p>
            <w:pPr>
              <w:spacing w:after="0"/>
              <w:rPr>
                <w:sz w:val="16"/>
                <w:szCs w:val="16"/>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(44,503)</w:t>
            </w:r>
          </w:p>
        </w:tc>
        <w:tc>
          <w:tcPr>
            <w:tcW w:w="0" w:type="dxa"/>
            <w:vAlign w:val="bottom"/>
          </w:tcPr>
          <w:p>
            <w:pPr>
              <w:spacing w:after="0"/>
              <w:rPr>
                <w:sz w:val="1"/>
                <w:szCs w:val="1"/>
                <w:color w:val="auto"/>
              </w:rPr>
            </w:pPr>
          </w:p>
        </w:tc>
      </w:tr>
      <w:tr>
        <w:trPr>
          <w:trHeight w:val="168"/>
        </w:trPr>
        <w:tc>
          <w:tcPr>
            <w:tcW w:w="4300" w:type="dxa"/>
            <w:vAlign w:val="bottom"/>
          </w:tcPr>
          <w:p>
            <w:pPr>
              <w:spacing w:after="0" w:line="168" w:lineRule="exact"/>
              <w:rPr>
                <w:sz w:val="20"/>
                <w:szCs w:val="20"/>
                <w:color w:val="auto"/>
              </w:rPr>
            </w:pPr>
            <w:r>
              <w:rPr>
                <w:rFonts w:ascii="Arial" w:cs="Arial" w:eastAsia="Arial" w:hAnsi="Arial"/>
                <w:sz w:val="16"/>
                <w:szCs w:val="16"/>
                <w:color w:val="auto"/>
              </w:rPr>
              <w:t>Balance—March 31, 2026</w:t>
            </w:r>
          </w:p>
        </w:tc>
        <w:tc>
          <w:tcPr>
            <w:tcW w:w="1020" w:type="dxa"/>
            <w:vAlign w:val="bottom"/>
          </w:tcPr>
          <w:p>
            <w:pPr>
              <w:jc w:val="right"/>
              <w:ind w:right="39"/>
              <w:spacing w:after="0" w:line="168" w:lineRule="exact"/>
              <w:rPr>
                <w:sz w:val="20"/>
                <w:szCs w:val="20"/>
                <w:color w:val="auto"/>
              </w:rPr>
            </w:pPr>
            <w:r>
              <w:rPr>
                <w:rFonts w:ascii="Arial" w:cs="Arial" w:eastAsia="Arial" w:hAnsi="Arial"/>
                <w:sz w:val="16"/>
                <w:szCs w:val="16"/>
                <w:color w:val="auto"/>
              </w:rPr>
              <w:t>84,321,70</w:t>
            </w:r>
          </w:p>
        </w:tc>
        <w:tc>
          <w:tcPr>
            <w:tcW w:w="2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4300" w:type="dxa"/>
            <w:vAlign w:val="bottom"/>
          </w:tcPr>
          <w:p>
            <w:pPr>
              <w:spacing w:after="0"/>
              <w:rPr>
                <w:sz w:val="17"/>
                <w:szCs w:val="17"/>
                <w:color w:val="auto"/>
              </w:rPr>
            </w:pPr>
          </w:p>
        </w:tc>
        <w:tc>
          <w:tcPr>
            <w:tcW w:w="10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5</w:t>
            </w: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8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8</w:t>
            </w:r>
          </w:p>
        </w:tc>
        <w:tc>
          <w:tcPr>
            <w:tcW w:w="11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$ 1,048,371</w:t>
            </w:r>
          </w:p>
        </w:tc>
        <w:tc>
          <w:tcPr>
            <w:tcW w:w="3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10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(4,746)</w:t>
            </w: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(521,717)</w:t>
            </w:r>
          </w:p>
        </w:tc>
        <w:tc>
          <w:tcPr>
            <w:tcW w:w="260" w:type="dxa"/>
            <w:vAlign w:val="bottom"/>
            <w:tcBorders>
              <w:bottom w:val="single" w:sz="8" w:color="auto"/>
            </w:tcBorders>
          </w:tcPr>
          <w:p>
            <w:pPr>
              <w:ind w:left="80"/>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521,916</w:t>
            </w:r>
          </w:p>
        </w:tc>
        <w:tc>
          <w:tcPr>
            <w:tcW w:w="0" w:type="dxa"/>
            <w:vAlign w:val="bottom"/>
          </w:tcPr>
          <w:p>
            <w:pPr>
              <w:spacing w:after="0"/>
              <w:rPr>
                <w:sz w:val="1"/>
                <w:szCs w:val="1"/>
                <w:color w:val="auto"/>
              </w:rPr>
            </w:pPr>
          </w:p>
        </w:tc>
      </w:tr>
      <w:tr>
        <w:trPr>
          <w:trHeight w:val="371"/>
        </w:trPr>
        <w:tc>
          <w:tcPr>
            <w:tcW w:w="4300" w:type="dxa"/>
            <w:vAlign w:val="bottom"/>
            <w:tcBorders>
              <w:bottom w:val="single" w:sz="8" w:color="auto"/>
            </w:tcBorders>
          </w:tcPr>
          <w:p>
            <w:pPr>
              <w:spacing w:after="0"/>
              <w:rPr>
                <w:sz w:val="24"/>
                <w:szCs w:val="24"/>
                <w:color w:val="auto"/>
              </w:rPr>
            </w:pPr>
          </w:p>
        </w:tc>
        <w:tc>
          <w:tcPr>
            <w:tcW w:w="2100" w:type="dxa"/>
            <w:vAlign w:val="bottom"/>
            <w:tcBorders>
              <w:bottom w:val="single" w:sz="8" w:color="auto"/>
            </w:tcBorders>
            <w:gridSpan w:val="3"/>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83"/>
        </w:trPr>
        <w:tc>
          <w:tcPr>
            <w:tcW w:w="4300" w:type="dxa"/>
            <w:vAlign w:val="bottom"/>
          </w:tcPr>
          <w:p>
            <w:pPr>
              <w:spacing w:after="0"/>
              <w:rPr>
                <w:sz w:val="15"/>
                <w:szCs w:val="15"/>
                <w:color w:val="auto"/>
              </w:rPr>
            </w:pPr>
          </w:p>
        </w:tc>
        <w:tc>
          <w:tcPr>
            <w:tcW w:w="2100" w:type="dxa"/>
            <w:vAlign w:val="bottom"/>
            <w:tcBorders>
              <w:bottom w:val="single" w:sz="8" w:color="auto"/>
            </w:tcBorders>
            <w:gridSpan w:val="3"/>
          </w:tcPr>
          <w:p>
            <w:pPr>
              <w:jc w:val="right"/>
              <w:ind w:right="439"/>
              <w:spacing w:after="0" w:line="183" w:lineRule="exact"/>
              <w:rPr>
                <w:sz w:val="20"/>
                <w:szCs w:val="20"/>
                <w:color w:val="auto"/>
              </w:rPr>
            </w:pPr>
            <w:r>
              <w:rPr>
                <w:rFonts w:ascii="Arial" w:cs="Arial" w:eastAsia="Arial" w:hAnsi="Arial"/>
                <w:sz w:val="16"/>
                <w:szCs w:val="16"/>
                <w:b w:val="1"/>
                <w:bCs w:val="1"/>
                <w:color w:val="auto"/>
              </w:rPr>
              <w:t>Common stock</w:t>
            </w:r>
          </w:p>
        </w:tc>
        <w:tc>
          <w:tcPr>
            <w:tcW w:w="1120" w:type="dxa"/>
            <w:vAlign w:val="bottom"/>
          </w:tcPr>
          <w:p>
            <w:pPr>
              <w:spacing w:after="0"/>
              <w:rPr>
                <w:sz w:val="15"/>
                <w:szCs w:val="15"/>
                <w:color w:val="auto"/>
              </w:rPr>
            </w:pPr>
          </w:p>
        </w:tc>
        <w:tc>
          <w:tcPr>
            <w:tcW w:w="1400" w:type="dxa"/>
            <w:vAlign w:val="bottom"/>
            <w:gridSpan w:val="2"/>
            <w:vMerge w:val="restart"/>
          </w:tcPr>
          <w:p>
            <w:pPr>
              <w:jc w:val="center"/>
              <w:spacing w:after="0"/>
              <w:rPr>
                <w:sz w:val="20"/>
                <w:szCs w:val="20"/>
                <w:color w:val="auto"/>
              </w:rPr>
            </w:pPr>
            <w:r>
              <w:rPr>
                <w:rFonts w:ascii="Arial" w:cs="Arial" w:eastAsia="Arial" w:hAnsi="Arial"/>
                <w:sz w:val="16"/>
                <w:szCs w:val="16"/>
                <w:b w:val="1"/>
                <w:bCs w:val="1"/>
                <w:color w:val="auto"/>
              </w:rPr>
              <w:t>Accumulated</w:t>
            </w:r>
          </w:p>
        </w:tc>
        <w:tc>
          <w:tcPr>
            <w:tcW w:w="2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8"/>
        </w:trPr>
        <w:tc>
          <w:tcPr>
            <w:tcW w:w="43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400" w:type="dxa"/>
            <w:vAlign w:val="bottom"/>
            <w:gridSpan w:val="2"/>
            <w:vMerge w:val="continue"/>
          </w:tcPr>
          <w:p>
            <w:pPr>
              <w:spacing w:after="0"/>
              <w:rPr>
                <w:sz w:val="14"/>
                <w:szCs w:val="14"/>
                <w:color w:val="auto"/>
              </w:rPr>
            </w:pPr>
          </w:p>
        </w:tc>
        <w:tc>
          <w:tcPr>
            <w:tcW w:w="2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43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60" w:type="dxa"/>
            <w:vAlign w:val="bottom"/>
          </w:tcPr>
          <w:p>
            <w:pPr>
              <w:jc w:val="center"/>
              <w:ind w:right="299"/>
              <w:spacing w:after="0"/>
              <w:rPr>
                <w:sz w:val="20"/>
                <w:szCs w:val="20"/>
                <w:color w:val="auto"/>
              </w:rPr>
            </w:pPr>
            <w:r>
              <w:rPr>
                <w:rFonts w:ascii="Arial" w:cs="Arial" w:eastAsia="Arial" w:hAnsi="Arial"/>
                <w:sz w:val="16"/>
                <w:szCs w:val="16"/>
                <w:b w:val="1"/>
                <w:bCs w:val="1"/>
                <w:color w:val="auto"/>
                <w:w w:val="99"/>
              </w:rPr>
              <w:t>other</w:t>
            </w:r>
          </w:p>
        </w:tc>
        <w:tc>
          <w:tcPr>
            <w:tcW w:w="2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20" w:type="dxa"/>
            <w:vAlign w:val="bottom"/>
          </w:tcPr>
          <w:p>
            <w:pPr>
              <w:jc w:val="center"/>
              <w:ind w:right="219"/>
              <w:spacing w:after="0"/>
              <w:rPr>
                <w:sz w:val="20"/>
                <w:szCs w:val="20"/>
                <w:color w:val="auto"/>
              </w:rPr>
            </w:pPr>
            <w:r>
              <w:rPr>
                <w:rFonts w:ascii="Arial" w:cs="Arial" w:eastAsia="Arial" w:hAnsi="Arial"/>
                <w:sz w:val="16"/>
                <w:szCs w:val="16"/>
                <w:b w:val="1"/>
                <w:bCs w:val="1"/>
                <w:color w:val="auto"/>
                <w:w w:val="99"/>
              </w:rPr>
              <w:t>Total</w:t>
            </w:r>
          </w:p>
        </w:tc>
        <w:tc>
          <w:tcPr>
            <w:tcW w:w="0" w:type="dxa"/>
            <w:vAlign w:val="bottom"/>
          </w:tcPr>
          <w:p>
            <w:pPr>
              <w:spacing w:after="0"/>
              <w:rPr>
                <w:sz w:val="1"/>
                <w:szCs w:val="1"/>
                <w:color w:val="auto"/>
              </w:rPr>
            </w:pPr>
          </w:p>
        </w:tc>
      </w:tr>
      <w:tr>
        <w:trPr>
          <w:trHeight w:val="189"/>
        </w:trPr>
        <w:tc>
          <w:tcPr>
            <w:tcW w:w="43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120" w:type="dxa"/>
            <w:vAlign w:val="bottom"/>
          </w:tcPr>
          <w:p>
            <w:pPr>
              <w:jc w:val="center"/>
              <w:spacing w:after="0"/>
              <w:rPr>
                <w:sz w:val="20"/>
                <w:szCs w:val="20"/>
                <w:color w:val="auto"/>
              </w:rPr>
            </w:pPr>
            <w:r>
              <w:rPr>
                <w:rFonts w:ascii="Arial" w:cs="Arial" w:eastAsia="Arial" w:hAnsi="Arial"/>
                <w:sz w:val="16"/>
                <w:szCs w:val="16"/>
                <w:b w:val="1"/>
                <w:bCs w:val="1"/>
                <w:color w:val="auto"/>
                <w:w w:val="99"/>
              </w:rPr>
              <w:t>Additional</w:t>
            </w:r>
          </w:p>
        </w:tc>
        <w:tc>
          <w:tcPr>
            <w:tcW w:w="1400" w:type="dxa"/>
            <w:vAlign w:val="bottom"/>
            <w:gridSpan w:val="2"/>
          </w:tcPr>
          <w:p>
            <w:pPr>
              <w:jc w:val="center"/>
              <w:spacing w:after="0"/>
              <w:rPr>
                <w:sz w:val="20"/>
                <w:szCs w:val="20"/>
                <w:color w:val="auto"/>
              </w:rPr>
            </w:pPr>
            <w:r>
              <w:rPr>
                <w:rFonts w:ascii="Arial" w:cs="Arial" w:eastAsia="Arial" w:hAnsi="Arial"/>
                <w:sz w:val="16"/>
                <w:szCs w:val="16"/>
                <w:b w:val="1"/>
                <w:bCs w:val="1"/>
                <w:color w:val="auto"/>
              </w:rPr>
              <w:t>comprehensiv</w:t>
            </w:r>
          </w:p>
        </w:tc>
        <w:tc>
          <w:tcPr>
            <w:tcW w:w="1140" w:type="dxa"/>
            <w:vAlign w:val="bottom"/>
            <w:gridSpan w:val="2"/>
          </w:tcPr>
          <w:p>
            <w:pPr>
              <w:jc w:val="center"/>
              <w:spacing w:after="0"/>
              <w:rPr>
                <w:sz w:val="20"/>
                <w:szCs w:val="20"/>
                <w:color w:val="auto"/>
              </w:rPr>
            </w:pPr>
            <w:r>
              <w:rPr>
                <w:rFonts w:ascii="Arial" w:cs="Arial" w:eastAsia="Arial" w:hAnsi="Arial"/>
                <w:sz w:val="16"/>
                <w:szCs w:val="16"/>
                <w:b w:val="1"/>
                <w:bCs w:val="1"/>
                <w:color w:val="auto"/>
              </w:rPr>
              <w:t>Accumulat</w:t>
            </w:r>
          </w:p>
        </w:tc>
        <w:tc>
          <w:tcPr>
            <w:tcW w:w="1180" w:type="dxa"/>
            <w:vAlign w:val="bottom"/>
            <w:gridSpan w:val="2"/>
          </w:tcPr>
          <w:p>
            <w:pPr>
              <w:ind w:left="100"/>
              <w:spacing w:after="0"/>
              <w:rPr>
                <w:sz w:val="20"/>
                <w:szCs w:val="20"/>
                <w:color w:val="auto"/>
              </w:rPr>
            </w:pPr>
            <w:r>
              <w:rPr>
                <w:rFonts w:ascii="Arial" w:cs="Arial" w:eastAsia="Arial" w:hAnsi="Arial"/>
                <w:sz w:val="16"/>
                <w:szCs w:val="16"/>
                <w:b w:val="1"/>
                <w:bCs w:val="1"/>
                <w:color w:val="auto"/>
              </w:rPr>
              <w:t>Stockholder</w:t>
            </w:r>
          </w:p>
        </w:tc>
        <w:tc>
          <w:tcPr>
            <w:tcW w:w="0" w:type="dxa"/>
            <w:vAlign w:val="bottom"/>
          </w:tcPr>
          <w:p>
            <w:pPr>
              <w:spacing w:after="0"/>
              <w:rPr>
                <w:sz w:val="1"/>
                <w:szCs w:val="1"/>
                <w:color w:val="auto"/>
              </w:rPr>
            </w:pPr>
          </w:p>
        </w:tc>
      </w:tr>
      <w:tr>
        <w:trPr>
          <w:trHeight w:val="189"/>
        </w:trPr>
        <w:tc>
          <w:tcPr>
            <w:tcW w:w="43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120" w:type="dxa"/>
            <w:vAlign w:val="bottom"/>
          </w:tcPr>
          <w:p>
            <w:pPr>
              <w:jc w:val="center"/>
              <w:spacing w:after="0"/>
              <w:rPr>
                <w:sz w:val="20"/>
                <w:szCs w:val="20"/>
                <w:color w:val="auto"/>
              </w:rPr>
            </w:pPr>
            <w:r>
              <w:rPr>
                <w:rFonts w:ascii="Arial" w:cs="Arial" w:eastAsia="Arial" w:hAnsi="Arial"/>
                <w:sz w:val="16"/>
                <w:szCs w:val="16"/>
                <w:b w:val="1"/>
                <w:bCs w:val="1"/>
                <w:color w:val="auto"/>
              </w:rPr>
              <w:t>paid-in</w:t>
            </w:r>
          </w:p>
        </w:tc>
        <w:tc>
          <w:tcPr>
            <w:tcW w:w="340" w:type="dxa"/>
            <w:vAlign w:val="bottom"/>
          </w:tcPr>
          <w:p>
            <w:pPr>
              <w:spacing w:after="0"/>
              <w:rPr>
                <w:sz w:val="16"/>
                <w:szCs w:val="16"/>
                <w:color w:val="auto"/>
              </w:rPr>
            </w:pPr>
          </w:p>
        </w:tc>
        <w:tc>
          <w:tcPr>
            <w:tcW w:w="1060" w:type="dxa"/>
            <w:vAlign w:val="bottom"/>
          </w:tcPr>
          <w:p>
            <w:pPr>
              <w:jc w:val="center"/>
              <w:ind w:right="339"/>
              <w:spacing w:after="0"/>
              <w:rPr>
                <w:sz w:val="20"/>
                <w:szCs w:val="20"/>
                <w:color w:val="auto"/>
              </w:rPr>
            </w:pPr>
            <w:r>
              <w:rPr>
                <w:rFonts w:ascii="Arial" w:cs="Arial" w:eastAsia="Arial" w:hAnsi="Arial"/>
                <w:sz w:val="16"/>
                <w:szCs w:val="16"/>
                <w:b w:val="1"/>
                <w:bCs w:val="1"/>
                <w:color w:val="auto"/>
                <w:w w:val="89"/>
              </w:rPr>
              <w:t>e</w:t>
            </w:r>
          </w:p>
        </w:tc>
        <w:tc>
          <w:tcPr>
            <w:tcW w:w="240" w:type="dxa"/>
            <w:vAlign w:val="bottom"/>
          </w:tcPr>
          <w:p>
            <w:pPr>
              <w:spacing w:after="0"/>
              <w:rPr>
                <w:sz w:val="16"/>
                <w:szCs w:val="16"/>
                <w:color w:val="auto"/>
              </w:rPr>
            </w:pPr>
          </w:p>
        </w:tc>
        <w:tc>
          <w:tcPr>
            <w:tcW w:w="900" w:type="dxa"/>
            <w:vAlign w:val="bottom"/>
          </w:tcPr>
          <w:p>
            <w:pPr>
              <w:jc w:val="center"/>
              <w:ind w:right="239"/>
              <w:spacing w:after="0"/>
              <w:rPr>
                <w:sz w:val="20"/>
                <w:szCs w:val="20"/>
                <w:color w:val="auto"/>
              </w:rPr>
            </w:pPr>
            <w:r>
              <w:rPr>
                <w:rFonts w:ascii="Arial" w:cs="Arial" w:eastAsia="Arial" w:hAnsi="Arial"/>
                <w:sz w:val="16"/>
                <w:szCs w:val="16"/>
                <w:b w:val="1"/>
                <w:bCs w:val="1"/>
                <w:color w:val="auto"/>
                <w:w w:val="96"/>
              </w:rPr>
              <w:t>ed</w:t>
            </w:r>
          </w:p>
        </w:tc>
        <w:tc>
          <w:tcPr>
            <w:tcW w:w="260" w:type="dxa"/>
            <w:vAlign w:val="bottom"/>
          </w:tcPr>
          <w:p>
            <w:pPr>
              <w:spacing w:after="0"/>
              <w:rPr>
                <w:sz w:val="16"/>
                <w:szCs w:val="16"/>
                <w:color w:val="auto"/>
              </w:rPr>
            </w:pPr>
          </w:p>
        </w:tc>
        <w:tc>
          <w:tcPr>
            <w:tcW w:w="920" w:type="dxa"/>
            <w:vAlign w:val="bottom"/>
          </w:tcPr>
          <w:p>
            <w:pPr>
              <w:jc w:val="center"/>
              <w:ind w:right="219"/>
              <w:spacing w:after="0"/>
              <w:rPr>
                <w:sz w:val="20"/>
                <w:szCs w:val="20"/>
                <w:color w:val="auto"/>
              </w:rPr>
            </w:pPr>
            <w:r>
              <w:rPr>
                <w:rFonts w:ascii="Arial" w:cs="Arial" w:eastAsia="Arial" w:hAnsi="Arial"/>
                <w:sz w:val="16"/>
                <w:szCs w:val="16"/>
                <w:b w:val="1"/>
                <w:bCs w:val="1"/>
                <w:color w:val="auto"/>
              </w:rPr>
              <w:t>s’</w:t>
            </w:r>
          </w:p>
        </w:tc>
        <w:tc>
          <w:tcPr>
            <w:tcW w:w="0" w:type="dxa"/>
            <w:vAlign w:val="bottom"/>
          </w:tcPr>
          <w:p>
            <w:pPr>
              <w:spacing w:after="0"/>
              <w:rPr>
                <w:sz w:val="1"/>
                <w:szCs w:val="1"/>
                <w:color w:val="auto"/>
              </w:rPr>
            </w:pPr>
          </w:p>
        </w:tc>
      </w:tr>
      <w:tr>
        <w:trPr>
          <w:trHeight w:val="203"/>
        </w:trPr>
        <w:tc>
          <w:tcPr>
            <w:tcW w:w="4300" w:type="dxa"/>
            <w:vAlign w:val="bottom"/>
            <w:tcBorders>
              <w:bottom w:val="single" w:sz="8" w:color="auto"/>
            </w:tcBorders>
          </w:tcPr>
          <w:p>
            <w:pPr>
              <w:spacing w:after="0"/>
              <w:rPr>
                <w:sz w:val="20"/>
                <w:szCs w:val="20"/>
                <w:color w:val="auto"/>
              </w:rPr>
            </w:pPr>
            <w:r>
              <w:rPr>
                <w:rFonts w:ascii="Arial" w:cs="Arial" w:eastAsia="Arial" w:hAnsi="Arial"/>
                <w:sz w:val="16"/>
                <w:szCs w:val="16"/>
                <w:b w:val="1"/>
                <w:bCs w:val="1"/>
                <w:color w:val="auto"/>
              </w:rPr>
              <w:t>(in thousands, except share amounts)</w:t>
            </w:r>
          </w:p>
        </w:tc>
        <w:tc>
          <w:tcPr>
            <w:tcW w:w="1020" w:type="dxa"/>
            <w:vAlign w:val="bottom"/>
            <w:tcBorders>
              <w:bottom w:val="single" w:sz="8" w:color="auto"/>
            </w:tcBorders>
          </w:tcPr>
          <w:p>
            <w:pPr>
              <w:jc w:val="right"/>
              <w:ind w:right="219"/>
              <w:spacing w:after="0"/>
              <w:rPr>
                <w:sz w:val="20"/>
                <w:szCs w:val="20"/>
                <w:color w:val="auto"/>
              </w:rPr>
            </w:pPr>
            <w:r>
              <w:rPr>
                <w:rFonts w:ascii="Arial" w:cs="Arial" w:eastAsia="Arial" w:hAnsi="Arial"/>
                <w:sz w:val="16"/>
                <w:szCs w:val="16"/>
                <w:b w:val="1"/>
                <w:bCs w:val="1"/>
                <w:color w:val="auto"/>
              </w:rPr>
              <w:t>Shares</w:t>
            </w:r>
          </w:p>
        </w:tc>
        <w:tc>
          <w:tcPr>
            <w:tcW w:w="24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b w:val="1"/>
                <w:bCs w:val="1"/>
                <w:color w:val="auto"/>
                <w:w w:val="99"/>
              </w:rPr>
              <w:t>Amount</w:t>
            </w:r>
          </w:p>
        </w:tc>
        <w:tc>
          <w:tcPr>
            <w:tcW w:w="112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8"/>
              </w:rPr>
              <w:t>capital</w:t>
            </w:r>
          </w:p>
        </w:tc>
        <w:tc>
          <w:tcPr>
            <w:tcW w:w="34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center"/>
              <w:ind w:right="299"/>
              <w:spacing w:after="0"/>
              <w:rPr>
                <w:sz w:val="20"/>
                <w:szCs w:val="20"/>
                <w:color w:val="auto"/>
              </w:rPr>
            </w:pPr>
            <w:r>
              <w:rPr>
                <w:rFonts w:ascii="Arial" w:cs="Arial" w:eastAsia="Arial" w:hAnsi="Arial"/>
                <w:sz w:val="16"/>
                <w:szCs w:val="16"/>
                <w:b w:val="1"/>
                <w:bCs w:val="1"/>
                <w:color w:val="auto"/>
                <w:w w:val="99"/>
              </w:rPr>
              <w:t>loss</w:t>
            </w:r>
          </w:p>
        </w:tc>
        <w:tc>
          <w:tcPr>
            <w:tcW w:w="24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center"/>
              <w:ind w:right="219"/>
              <w:spacing w:after="0"/>
              <w:rPr>
                <w:sz w:val="20"/>
                <w:szCs w:val="20"/>
                <w:color w:val="auto"/>
              </w:rPr>
            </w:pPr>
            <w:r>
              <w:rPr>
                <w:rFonts w:ascii="Arial" w:cs="Arial" w:eastAsia="Arial" w:hAnsi="Arial"/>
                <w:sz w:val="16"/>
                <w:szCs w:val="16"/>
                <w:b w:val="1"/>
                <w:bCs w:val="1"/>
                <w:color w:val="auto"/>
              </w:rPr>
              <w:t>deficit</w:t>
            </w:r>
          </w:p>
        </w:tc>
        <w:tc>
          <w:tcPr>
            <w:tcW w:w="26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center"/>
              <w:ind w:right="199"/>
              <w:spacing w:after="0"/>
              <w:rPr>
                <w:sz w:val="20"/>
                <w:szCs w:val="20"/>
                <w:color w:val="auto"/>
              </w:rPr>
            </w:pPr>
            <w:r>
              <w:rPr>
                <w:rFonts w:ascii="Arial" w:cs="Arial" w:eastAsia="Arial" w:hAnsi="Arial"/>
                <w:sz w:val="16"/>
                <w:szCs w:val="16"/>
                <w:b w:val="1"/>
                <w:bCs w:val="1"/>
                <w:color w:val="auto"/>
              </w:rPr>
              <w:t>equity</w:t>
            </w:r>
          </w:p>
        </w:tc>
        <w:tc>
          <w:tcPr>
            <w:tcW w:w="0" w:type="dxa"/>
            <w:vAlign w:val="bottom"/>
          </w:tcPr>
          <w:p>
            <w:pPr>
              <w:spacing w:after="0"/>
              <w:rPr>
                <w:sz w:val="1"/>
                <w:szCs w:val="1"/>
                <w:color w:val="auto"/>
              </w:rPr>
            </w:pPr>
          </w:p>
        </w:tc>
      </w:tr>
      <w:tr>
        <w:trPr>
          <w:trHeight w:val="168"/>
        </w:trPr>
        <w:tc>
          <w:tcPr>
            <w:tcW w:w="4300" w:type="dxa"/>
            <w:vAlign w:val="bottom"/>
            <w:shd w:val="clear" w:color="auto" w:fill="CFF0FC"/>
          </w:tcPr>
          <w:p>
            <w:pPr>
              <w:spacing w:after="0" w:line="168" w:lineRule="exact"/>
              <w:rPr>
                <w:sz w:val="20"/>
                <w:szCs w:val="20"/>
                <w:color w:val="auto"/>
              </w:rPr>
            </w:pPr>
            <w:r>
              <w:rPr>
                <w:rFonts w:ascii="Arial" w:cs="Arial" w:eastAsia="Arial" w:hAnsi="Arial"/>
                <w:sz w:val="16"/>
                <w:szCs w:val="16"/>
                <w:color w:val="auto"/>
              </w:rPr>
              <w:t>Balance—January 1, 2025</w:t>
            </w:r>
          </w:p>
        </w:tc>
        <w:tc>
          <w:tcPr>
            <w:tcW w:w="1020" w:type="dxa"/>
            <w:vAlign w:val="bottom"/>
            <w:shd w:val="clear" w:color="auto" w:fill="CFF0FC"/>
          </w:tcPr>
          <w:p>
            <w:pPr>
              <w:jc w:val="right"/>
              <w:ind w:right="39"/>
              <w:spacing w:after="0" w:line="168" w:lineRule="exact"/>
              <w:rPr>
                <w:sz w:val="20"/>
                <w:szCs w:val="20"/>
                <w:color w:val="auto"/>
              </w:rPr>
            </w:pPr>
            <w:r>
              <w:rPr>
                <w:rFonts w:ascii="Arial" w:cs="Arial" w:eastAsia="Arial" w:hAnsi="Arial"/>
                <w:sz w:val="16"/>
                <w:szCs w:val="16"/>
                <w:color w:val="auto"/>
              </w:rPr>
              <w:t>61,507,44</w:t>
            </w:r>
          </w:p>
        </w:tc>
        <w:tc>
          <w:tcPr>
            <w:tcW w:w="240" w:type="dxa"/>
            <w:vAlign w:val="bottom"/>
            <w:shd w:val="clear" w:color="auto" w:fill="CFF0FC"/>
          </w:tcPr>
          <w:p>
            <w:pPr>
              <w:spacing w:after="0"/>
              <w:rPr>
                <w:sz w:val="14"/>
                <w:szCs w:val="14"/>
                <w:color w:val="auto"/>
              </w:rPr>
            </w:pPr>
          </w:p>
        </w:tc>
        <w:tc>
          <w:tcPr>
            <w:tcW w:w="840" w:type="dxa"/>
            <w:vAlign w:val="bottom"/>
            <w:shd w:val="clear" w:color="auto" w:fill="CFF0FC"/>
          </w:tcPr>
          <w:p>
            <w:pPr>
              <w:spacing w:after="0"/>
              <w:rPr>
                <w:sz w:val="14"/>
                <w:szCs w:val="14"/>
                <w:color w:val="auto"/>
              </w:rPr>
            </w:pPr>
          </w:p>
        </w:tc>
        <w:tc>
          <w:tcPr>
            <w:tcW w:w="1120" w:type="dxa"/>
            <w:vAlign w:val="bottom"/>
            <w:shd w:val="clear" w:color="auto" w:fill="CFF0FC"/>
          </w:tcPr>
          <w:p>
            <w:pPr>
              <w:spacing w:after="0"/>
              <w:rPr>
                <w:sz w:val="14"/>
                <w:szCs w:val="14"/>
                <w:color w:val="auto"/>
              </w:rPr>
            </w:pPr>
          </w:p>
        </w:tc>
        <w:tc>
          <w:tcPr>
            <w:tcW w:w="340" w:type="dxa"/>
            <w:vAlign w:val="bottom"/>
            <w:shd w:val="clear" w:color="auto" w:fill="CFF0FC"/>
          </w:tcPr>
          <w:p>
            <w:pPr>
              <w:spacing w:after="0"/>
              <w:rPr>
                <w:sz w:val="14"/>
                <w:szCs w:val="14"/>
                <w:color w:val="auto"/>
              </w:rPr>
            </w:pPr>
          </w:p>
        </w:tc>
        <w:tc>
          <w:tcPr>
            <w:tcW w:w="106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90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92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4300" w:type="dxa"/>
            <w:vAlign w:val="bottom"/>
            <w:shd w:val="clear" w:color="auto" w:fill="CFF0FC"/>
          </w:tcPr>
          <w:p>
            <w:pPr>
              <w:spacing w:after="0"/>
              <w:rPr>
                <w:sz w:val="17"/>
                <w:szCs w:val="17"/>
                <w:color w:val="auto"/>
              </w:rPr>
            </w:pPr>
          </w:p>
        </w:tc>
        <w:tc>
          <w:tcPr>
            <w:tcW w:w="102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6</w:t>
            </w:r>
          </w:p>
        </w:tc>
        <w:tc>
          <w:tcPr>
            <w:tcW w:w="2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84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6</w:t>
            </w:r>
          </w:p>
        </w:tc>
        <w:tc>
          <w:tcPr>
            <w:tcW w:w="112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664,874</w:t>
            </w:r>
          </w:p>
        </w:tc>
        <w:tc>
          <w:tcPr>
            <w:tcW w:w="34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w:t>
            </w:r>
          </w:p>
        </w:tc>
        <w:tc>
          <w:tcPr>
            <w:tcW w:w="1060" w:type="dxa"/>
            <w:vAlign w:val="bottom"/>
            <w:shd w:val="clear" w:color="auto" w:fill="CFF0FC"/>
          </w:tcPr>
          <w:p>
            <w:pPr>
              <w:jc w:val="right"/>
              <w:ind w:right="19"/>
              <w:spacing w:after="0"/>
              <w:rPr>
                <w:sz w:val="20"/>
                <w:szCs w:val="20"/>
                <w:color w:val="auto"/>
              </w:rPr>
            </w:pPr>
            <w:r>
              <w:rPr>
                <w:rFonts w:ascii="Arial" w:cs="Arial" w:eastAsia="Arial" w:hAnsi="Arial"/>
                <w:sz w:val="16"/>
                <w:szCs w:val="16"/>
                <w:color w:val="auto"/>
              </w:rPr>
              <w:t>(3,356)</w:t>
            </w:r>
          </w:p>
        </w:tc>
        <w:tc>
          <w:tcPr>
            <w:tcW w:w="2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900" w:type="dxa"/>
            <w:vAlign w:val="bottom"/>
            <w:shd w:val="clear" w:color="auto" w:fill="CFF0FC"/>
          </w:tcPr>
          <w:p>
            <w:pPr>
              <w:jc w:val="right"/>
              <w:ind w:right="19"/>
              <w:spacing w:after="0"/>
              <w:rPr>
                <w:sz w:val="20"/>
                <w:szCs w:val="20"/>
                <w:color w:val="auto"/>
              </w:rPr>
            </w:pPr>
            <w:r>
              <w:rPr>
                <w:rFonts w:ascii="Arial" w:cs="Arial" w:eastAsia="Arial" w:hAnsi="Arial"/>
                <w:sz w:val="16"/>
                <w:szCs w:val="16"/>
                <w:color w:val="auto"/>
              </w:rPr>
              <w:t>(438,588)</w:t>
            </w:r>
          </w:p>
        </w:tc>
        <w:tc>
          <w:tcPr>
            <w:tcW w:w="260" w:type="dxa"/>
            <w:vAlign w:val="bottom"/>
            <w:shd w:val="clear" w:color="auto" w:fill="CFF0FC"/>
          </w:tcPr>
          <w:p>
            <w:pPr>
              <w:ind w:left="80"/>
              <w:spacing w:after="0"/>
              <w:rPr>
                <w:sz w:val="20"/>
                <w:szCs w:val="20"/>
                <w:color w:val="auto"/>
              </w:rPr>
            </w:pPr>
            <w:r>
              <w:rPr>
                <w:rFonts w:ascii="Arial" w:cs="Arial" w:eastAsia="Arial" w:hAnsi="Arial"/>
                <w:sz w:val="16"/>
                <w:szCs w:val="16"/>
                <w:color w:val="auto"/>
              </w:rPr>
              <w:t>$</w:t>
            </w:r>
          </w:p>
        </w:tc>
        <w:tc>
          <w:tcPr>
            <w:tcW w:w="92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222,936</w:t>
            </w:r>
          </w:p>
        </w:tc>
        <w:tc>
          <w:tcPr>
            <w:tcW w:w="0" w:type="dxa"/>
            <w:vAlign w:val="bottom"/>
          </w:tcPr>
          <w:p>
            <w:pPr>
              <w:spacing w:after="0"/>
              <w:rPr>
                <w:sz w:val="1"/>
                <w:szCs w:val="1"/>
                <w:color w:val="auto"/>
              </w:rPr>
            </w:pPr>
          </w:p>
        </w:tc>
      </w:tr>
      <w:tr>
        <w:trPr>
          <w:trHeight w:val="189"/>
        </w:trPr>
        <w:tc>
          <w:tcPr>
            <w:tcW w:w="4300" w:type="dxa"/>
            <w:vAlign w:val="bottom"/>
          </w:tcPr>
          <w:p>
            <w:pPr>
              <w:spacing w:after="0"/>
              <w:rPr>
                <w:sz w:val="20"/>
                <w:szCs w:val="20"/>
                <w:color w:val="auto"/>
              </w:rPr>
            </w:pPr>
            <w:r>
              <w:rPr>
                <w:rFonts w:ascii="Arial" w:cs="Arial" w:eastAsia="Arial" w:hAnsi="Arial"/>
                <w:sz w:val="16"/>
                <w:szCs w:val="16"/>
                <w:color w:val="auto"/>
              </w:rPr>
              <w:t>Exercise of common stock options</w:t>
            </w:r>
          </w:p>
        </w:tc>
        <w:tc>
          <w:tcPr>
            <w:tcW w:w="1020" w:type="dxa"/>
            <w:vAlign w:val="bottom"/>
          </w:tcPr>
          <w:p>
            <w:pPr>
              <w:jc w:val="right"/>
              <w:ind w:right="39"/>
              <w:spacing w:after="0"/>
              <w:rPr>
                <w:sz w:val="20"/>
                <w:szCs w:val="20"/>
                <w:color w:val="auto"/>
              </w:rPr>
            </w:pPr>
            <w:r>
              <w:rPr>
                <w:rFonts w:ascii="Arial" w:cs="Arial" w:eastAsia="Arial" w:hAnsi="Arial"/>
                <w:sz w:val="16"/>
                <w:szCs w:val="16"/>
                <w:color w:val="auto"/>
              </w:rPr>
              <w:t>2,375</w:t>
            </w:r>
          </w:p>
        </w:tc>
        <w:tc>
          <w:tcPr>
            <w:tcW w:w="240" w:type="dxa"/>
            <w:vAlign w:val="bottom"/>
          </w:tcPr>
          <w:p>
            <w:pPr>
              <w:spacing w:after="0"/>
              <w:rPr>
                <w:sz w:val="16"/>
                <w:szCs w:val="16"/>
                <w:color w:val="auto"/>
              </w:rPr>
            </w:pPr>
          </w:p>
        </w:tc>
        <w:tc>
          <w:tcPr>
            <w:tcW w:w="84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120" w:type="dxa"/>
            <w:vAlign w:val="bottom"/>
          </w:tcPr>
          <w:p>
            <w:pPr>
              <w:jc w:val="right"/>
              <w:ind w:right="39"/>
              <w:spacing w:after="0"/>
              <w:rPr>
                <w:sz w:val="20"/>
                <w:szCs w:val="20"/>
                <w:color w:val="auto"/>
              </w:rPr>
            </w:pPr>
            <w:r>
              <w:rPr>
                <w:rFonts w:ascii="Arial" w:cs="Arial" w:eastAsia="Arial" w:hAnsi="Arial"/>
                <w:sz w:val="16"/>
                <w:szCs w:val="16"/>
                <w:color w:val="auto"/>
              </w:rPr>
              <w:t>14</w:t>
            </w:r>
          </w:p>
        </w:tc>
        <w:tc>
          <w:tcPr>
            <w:tcW w:w="340" w:type="dxa"/>
            <w:vAlign w:val="bottom"/>
          </w:tcPr>
          <w:p>
            <w:pPr>
              <w:spacing w:after="0"/>
              <w:rPr>
                <w:sz w:val="16"/>
                <w:szCs w:val="16"/>
                <w:color w:val="auto"/>
              </w:rPr>
            </w:pPr>
          </w:p>
        </w:tc>
        <w:tc>
          <w:tcPr>
            <w:tcW w:w="106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6"/>
                <w:szCs w:val="16"/>
                <w:color w:val="auto"/>
              </w:rPr>
            </w:pPr>
          </w:p>
        </w:tc>
        <w:tc>
          <w:tcPr>
            <w:tcW w:w="90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6"/>
                <w:szCs w:val="16"/>
                <w:color w:val="auto"/>
              </w:rPr>
            </w:pPr>
          </w:p>
        </w:tc>
        <w:tc>
          <w:tcPr>
            <w:tcW w:w="920" w:type="dxa"/>
            <w:vAlign w:val="bottom"/>
          </w:tcPr>
          <w:p>
            <w:pPr>
              <w:jc w:val="right"/>
              <w:ind w:right="39"/>
              <w:spacing w:after="0"/>
              <w:rPr>
                <w:sz w:val="20"/>
                <w:szCs w:val="20"/>
                <w:color w:val="auto"/>
              </w:rPr>
            </w:pPr>
            <w:r>
              <w:rPr>
                <w:rFonts w:ascii="Arial" w:cs="Arial" w:eastAsia="Arial" w:hAnsi="Arial"/>
                <w:sz w:val="16"/>
                <w:szCs w:val="16"/>
                <w:color w:val="auto"/>
              </w:rPr>
              <w:t>14</w:t>
            </w:r>
          </w:p>
        </w:tc>
        <w:tc>
          <w:tcPr>
            <w:tcW w:w="0" w:type="dxa"/>
            <w:vAlign w:val="bottom"/>
          </w:tcPr>
          <w:p>
            <w:pPr>
              <w:spacing w:after="0"/>
              <w:rPr>
                <w:sz w:val="1"/>
                <w:szCs w:val="1"/>
                <w:color w:val="auto"/>
              </w:rPr>
            </w:pPr>
          </w:p>
        </w:tc>
      </w:tr>
      <w:tr>
        <w:trPr>
          <w:trHeight w:val="189"/>
        </w:trPr>
        <w:tc>
          <w:tcPr>
            <w:tcW w:w="4300" w:type="dxa"/>
            <w:vAlign w:val="bottom"/>
            <w:shd w:val="clear" w:color="auto" w:fill="CFF0FC"/>
          </w:tcPr>
          <w:p>
            <w:pPr>
              <w:spacing w:after="0"/>
              <w:rPr>
                <w:sz w:val="20"/>
                <w:szCs w:val="20"/>
                <w:color w:val="auto"/>
              </w:rPr>
            </w:pPr>
            <w:r>
              <w:rPr>
                <w:rFonts w:ascii="Arial" w:cs="Arial" w:eastAsia="Arial" w:hAnsi="Arial"/>
                <w:sz w:val="16"/>
                <w:szCs w:val="16"/>
                <w:color w:val="auto"/>
              </w:rPr>
              <w:t>Provision for pension benefit obligation</w:t>
            </w:r>
          </w:p>
        </w:tc>
        <w:tc>
          <w:tcPr>
            <w:tcW w:w="102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w:t>
            </w:r>
          </w:p>
        </w:tc>
        <w:tc>
          <w:tcPr>
            <w:tcW w:w="240" w:type="dxa"/>
            <w:vAlign w:val="bottom"/>
            <w:shd w:val="clear" w:color="auto" w:fill="CFF0FC"/>
          </w:tcPr>
          <w:p>
            <w:pPr>
              <w:spacing w:after="0"/>
              <w:rPr>
                <w:sz w:val="16"/>
                <w:szCs w:val="16"/>
                <w:color w:val="auto"/>
              </w:rPr>
            </w:pPr>
          </w:p>
        </w:tc>
        <w:tc>
          <w:tcPr>
            <w:tcW w:w="84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w:t>
            </w:r>
          </w:p>
        </w:tc>
        <w:tc>
          <w:tcPr>
            <w:tcW w:w="112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w:t>
            </w:r>
          </w:p>
        </w:tc>
        <w:tc>
          <w:tcPr>
            <w:tcW w:w="340" w:type="dxa"/>
            <w:vAlign w:val="bottom"/>
            <w:shd w:val="clear" w:color="auto" w:fill="CFF0FC"/>
          </w:tcPr>
          <w:p>
            <w:pPr>
              <w:spacing w:after="0"/>
              <w:rPr>
                <w:sz w:val="16"/>
                <w:szCs w:val="16"/>
                <w:color w:val="auto"/>
              </w:rPr>
            </w:pPr>
          </w:p>
        </w:tc>
        <w:tc>
          <w:tcPr>
            <w:tcW w:w="1060" w:type="dxa"/>
            <w:vAlign w:val="bottom"/>
            <w:shd w:val="clear" w:color="auto" w:fill="CFF0FC"/>
          </w:tcPr>
          <w:p>
            <w:pPr>
              <w:jc w:val="right"/>
              <w:ind w:right="79"/>
              <w:spacing w:after="0"/>
              <w:rPr>
                <w:sz w:val="20"/>
                <w:szCs w:val="20"/>
                <w:color w:val="auto"/>
              </w:rPr>
            </w:pPr>
            <w:r>
              <w:rPr>
                <w:rFonts w:ascii="Arial" w:cs="Arial" w:eastAsia="Arial" w:hAnsi="Arial"/>
                <w:sz w:val="16"/>
                <w:szCs w:val="16"/>
                <w:color w:val="auto"/>
              </w:rPr>
              <w:t>48</w:t>
            </w:r>
          </w:p>
        </w:tc>
        <w:tc>
          <w:tcPr>
            <w:tcW w:w="240" w:type="dxa"/>
            <w:vAlign w:val="bottom"/>
            <w:shd w:val="clear" w:color="auto" w:fill="CFF0FC"/>
          </w:tcPr>
          <w:p>
            <w:pPr>
              <w:spacing w:after="0"/>
              <w:rPr>
                <w:sz w:val="16"/>
                <w:szCs w:val="16"/>
                <w:color w:val="auto"/>
              </w:rPr>
            </w:pPr>
          </w:p>
        </w:tc>
        <w:tc>
          <w:tcPr>
            <w:tcW w:w="900" w:type="dxa"/>
            <w:vAlign w:val="bottom"/>
            <w:shd w:val="clear" w:color="auto" w:fill="CFF0FC"/>
          </w:tcPr>
          <w:p>
            <w:pPr>
              <w:jc w:val="right"/>
              <w:ind w:right="79"/>
              <w:spacing w:after="0"/>
              <w:rPr>
                <w:sz w:val="20"/>
                <w:szCs w:val="20"/>
                <w:color w:val="auto"/>
              </w:rPr>
            </w:pPr>
            <w:r>
              <w:rPr>
                <w:rFonts w:ascii="Arial" w:cs="Arial" w:eastAsia="Arial" w:hAnsi="Arial"/>
                <w:sz w:val="16"/>
                <w:szCs w:val="16"/>
                <w:color w:val="auto"/>
              </w:rPr>
              <w:t>—</w:t>
            </w:r>
          </w:p>
        </w:tc>
        <w:tc>
          <w:tcPr>
            <w:tcW w:w="260" w:type="dxa"/>
            <w:vAlign w:val="bottom"/>
            <w:shd w:val="clear" w:color="auto" w:fill="CFF0FC"/>
          </w:tcPr>
          <w:p>
            <w:pPr>
              <w:spacing w:after="0"/>
              <w:rPr>
                <w:sz w:val="16"/>
                <w:szCs w:val="16"/>
                <w:color w:val="auto"/>
              </w:rPr>
            </w:pPr>
          </w:p>
        </w:tc>
        <w:tc>
          <w:tcPr>
            <w:tcW w:w="92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48</w:t>
            </w:r>
          </w:p>
        </w:tc>
        <w:tc>
          <w:tcPr>
            <w:tcW w:w="0" w:type="dxa"/>
            <w:vAlign w:val="bottom"/>
          </w:tcPr>
          <w:p>
            <w:pPr>
              <w:spacing w:after="0"/>
              <w:rPr>
                <w:sz w:val="1"/>
                <w:szCs w:val="1"/>
                <w:color w:val="auto"/>
              </w:rPr>
            </w:pPr>
          </w:p>
        </w:tc>
      </w:tr>
      <w:tr>
        <w:trPr>
          <w:trHeight w:val="189"/>
        </w:trPr>
        <w:tc>
          <w:tcPr>
            <w:tcW w:w="4300" w:type="dxa"/>
            <w:vAlign w:val="bottom"/>
          </w:tcPr>
          <w:p>
            <w:pPr>
              <w:spacing w:after="0"/>
              <w:rPr>
                <w:sz w:val="20"/>
                <w:szCs w:val="20"/>
                <w:color w:val="auto"/>
              </w:rPr>
            </w:pPr>
            <w:r>
              <w:rPr>
                <w:rFonts w:ascii="Arial" w:cs="Arial" w:eastAsia="Arial" w:hAnsi="Arial"/>
                <w:sz w:val="16"/>
                <w:szCs w:val="16"/>
                <w:color w:val="auto"/>
              </w:rPr>
              <w:t>Stock-based compensation expense</w:t>
            </w:r>
          </w:p>
        </w:tc>
        <w:tc>
          <w:tcPr>
            <w:tcW w:w="102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6"/>
                <w:szCs w:val="16"/>
                <w:color w:val="auto"/>
              </w:rPr>
            </w:pPr>
          </w:p>
        </w:tc>
        <w:tc>
          <w:tcPr>
            <w:tcW w:w="84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120" w:type="dxa"/>
            <w:vAlign w:val="bottom"/>
          </w:tcPr>
          <w:p>
            <w:pPr>
              <w:jc w:val="right"/>
              <w:ind w:right="39"/>
              <w:spacing w:after="0"/>
              <w:rPr>
                <w:sz w:val="20"/>
                <w:szCs w:val="20"/>
                <w:color w:val="auto"/>
              </w:rPr>
            </w:pPr>
            <w:r>
              <w:rPr>
                <w:rFonts w:ascii="Arial" w:cs="Arial" w:eastAsia="Arial" w:hAnsi="Arial"/>
                <w:sz w:val="16"/>
                <w:szCs w:val="16"/>
                <w:color w:val="auto"/>
              </w:rPr>
              <w:t>5,298</w:t>
            </w:r>
          </w:p>
        </w:tc>
        <w:tc>
          <w:tcPr>
            <w:tcW w:w="340" w:type="dxa"/>
            <w:vAlign w:val="bottom"/>
          </w:tcPr>
          <w:p>
            <w:pPr>
              <w:spacing w:after="0"/>
              <w:rPr>
                <w:sz w:val="16"/>
                <w:szCs w:val="16"/>
                <w:color w:val="auto"/>
              </w:rPr>
            </w:pPr>
          </w:p>
        </w:tc>
        <w:tc>
          <w:tcPr>
            <w:tcW w:w="106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6"/>
                <w:szCs w:val="16"/>
                <w:color w:val="auto"/>
              </w:rPr>
            </w:pPr>
          </w:p>
        </w:tc>
        <w:tc>
          <w:tcPr>
            <w:tcW w:w="90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6"/>
                <w:szCs w:val="16"/>
                <w:color w:val="auto"/>
              </w:rPr>
            </w:pPr>
          </w:p>
        </w:tc>
        <w:tc>
          <w:tcPr>
            <w:tcW w:w="920" w:type="dxa"/>
            <w:vAlign w:val="bottom"/>
          </w:tcPr>
          <w:p>
            <w:pPr>
              <w:jc w:val="right"/>
              <w:ind w:right="39"/>
              <w:spacing w:after="0"/>
              <w:rPr>
                <w:sz w:val="20"/>
                <w:szCs w:val="20"/>
                <w:color w:val="auto"/>
              </w:rPr>
            </w:pPr>
            <w:r>
              <w:rPr>
                <w:rFonts w:ascii="Arial" w:cs="Arial" w:eastAsia="Arial" w:hAnsi="Arial"/>
                <w:sz w:val="16"/>
                <w:szCs w:val="16"/>
                <w:color w:val="auto"/>
              </w:rPr>
              <w:t>5,298</w:t>
            </w:r>
          </w:p>
        </w:tc>
        <w:tc>
          <w:tcPr>
            <w:tcW w:w="0" w:type="dxa"/>
            <w:vAlign w:val="bottom"/>
          </w:tcPr>
          <w:p>
            <w:pPr>
              <w:spacing w:after="0"/>
              <w:rPr>
                <w:sz w:val="1"/>
                <w:szCs w:val="1"/>
                <w:color w:val="auto"/>
              </w:rPr>
            </w:pPr>
          </w:p>
        </w:tc>
      </w:tr>
      <w:tr>
        <w:trPr>
          <w:trHeight w:val="189"/>
        </w:trPr>
        <w:tc>
          <w:tcPr>
            <w:tcW w:w="4300" w:type="dxa"/>
            <w:vAlign w:val="bottom"/>
            <w:shd w:val="clear" w:color="auto" w:fill="CFF0FC"/>
          </w:tcPr>
          <w:p>
            <w:pPr>
              <w:spacing w:after="0"/>
              <w:rPr>
                <w:sz w:val="20"/>
                <w:szCs w:val="20"/>
                <w:color w:val="auto"/>
              </w:rPr>
            </w:pPr>
            <w:r>
              <w:rPr>
                <w:rFonts w:ascii="Arial" w:cs="Arial" w:eastAsia="Arial" w:hAnsi="Arial"/>
                <w:sz w:val="16"/>
                <w:szCs w:val="16"/>
                <w:color w:val="auto"/>
              </w:rPr>
              <w:t>Unrealized loss on available-for-sale securities</w:t>
            </w:r>
          </w:p>
        </w:tc>
        <w:tc>
          <w:tcPr>
            <w:tcW w:w="102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w:t>
            </w:r>
          </w:p>
        </w:tc>
        <w:tc>
          <w:tcPr>
            <w:tcW w:w="240" w:type="dxa"/>
            <w:vAlign w:val="bottom"/>
            <w:shd w:val="clear" w:color="auto" w:fill="CFF0FC"/>
          </w:tcPr>
          <w:p>
            <w:pPr>
              <w:spacing w:after="0"/>
              <w:rPr>
                <w:sz w:val="16"/>
                <w:szCs w:val="16"/>
                <w:color w:val="auto"/>
              </w:rPr>
            </w:pPr>
          </w:p>
        </w:tc>
        <w:tc>
          <w:tcPr>
            <w:tcW w:w="84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w:t>
            </w:r>
          </w:p>
        </w:tc>
        <w:tc>
          <w:tcPr>
            <w:tcW w:w="112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w:t>
            </w:r>
          </w:p>
        </w:tc>
        <w:tc>
          <w:tcPr>
            <w:tcW w:w="340" w:type="dxa"/>
            <w:vAlign w:val="bottom"/>
            <w:shd w:val="clear" w:color="auto" w:fill="CFF0FC"/>
          </w:tcPr>
          <w:p>
            <w:pPr>
              <w:spacing w:after="0"/>
              <w:rPr>
                <w:sz w:val="16"/>
                <w:szCs w:val="16"/>
                <w:color w:val="auto"/>
              </w:rPr>
            </w:pPr>
          </w:p>
        </w:tc>
        <w:tc>
          <w:tcPr>
            <w:tcW w:w="1060" w:type="dxa"/>
            <w:vAlign w:val="bottom"/>
            <w:shd w:val="clear" w:color="auto" w:fill="CFF0FC"/>
          </w:tcPr>
          <w:p>
            <w:pPr>
              <w:jc w:val="right"/>
              <w:ind w:right="19"/>
              <w:spacing w:after="0"/>
              <w:rPr>
                <w:sz w:val="20"/>
                <w:szCs w:val="20"/>
                <w:color w:val="auto"/>
              </w:rPr>
            </w:pPr>
            <w:r>
              <w:rPr>
                <w:rFonts w:ascii="Arial" w:cs="Arial" w:eastAsia="Arial" w:hAnsi="Arial"/>
                <w:sz w:val="16"/>
                <w:szCs w:val="16"/>
                <w:color w:val="auto"/>
              </w:rPr>
              <w:t>(21)</w:t>
            </w:r>
          </w:p>
        </w:tc>
        <w:tc>
          <w:tcPr>
            <w:tcW w:w="240" w:type="dxa"/>
            <w:vAlign w:val="bottom"/>
            <w:shd w:val="clear" w:color="auto" w:fill="CFF0FC"/>
          </w:tcPr>
          <w:p>
            <w:pPr>
              <w:spacing w:after="0"/>
              <w:rPr>
                <w:sz w:val="16"/>
                <w:szCs w:val="16"/>
                <w:color w:val="auto"/>
              </w:rPr>
            </w:pPr>
          </w:p>
        </w:tc>
        <w:tc>
          <w:tcPr>
            <w:tcW w:w="900" w:type="dxa"/>
            <w:vAlign w:val="bottom"/>
            <w:shd w:val="clear" w:color="auto" w:fill="CFF0FC"/>
          </w:tcPr>
          <w:p>
            <w:pPr>
              <w:jc w:val="right"/>
              <w:ind w:right="79"/>
              <w:spacing w:after="0"/>
              <w:rPr>
                <w:sz w:val="20"/>
                <w:szCs w:val="20"/>
                <w:color w:val="auto"/>
              </w:rPr>
            </w:pPr>
            <w:r>
              <w:rPr>
                <w:rFonts w:ascii="Arial" w:cs="Arial" w:eastAsia="Arial" w:hAnsi="Arial"/>
                <w:sz w:val="16"/>
                <w:szCs w:val="16"/>
                <w:color w:val="auto"/>
              </w:rPr>
              <w:t>—</w:t>
            </w:r>
          </w:p>
        </w:tc>
        <w:tc>
          <w:tcPr>
            <w:tcW w:w="260" w:type="dxa"/>
            <w:vAlign w:val="bottom"/>
            <w:shd w:val="clear" w:color="auto" w:fill="CFF0FC"/>
          </w:tcPr>
          <w:p>
            <w:pPr>
              <w:spacing w:after="0"/>
              <w:rPr>
                <w:sz w:val="16"/>
                <w:szCs w:val="16"/>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(21)</w:t>
            </w:r>
          </w:p>
        </w:tc>
        <w:tc>
          <w:tcPr>
            <w:tcW w:w="0" w:type="dxa"/>
            <w:vAlign w:val="bottom"/>
          </w:tcPr>
          <w:p>
            <w:pPr>
              <w:spacing w:after="0"/>
              <w:rPr>
                <w:sz w:val="1"/>
                <w:szCs w:val="1"/>
                <w:color w:val="auto"/>
              </w:rPr>
            </w:pPr>
          </w:p>
        </w:tc>
      </w:tr>
      <w:tr>
        <w:trPr>
          <w:trHeight w:val="189"/>
        </w:trPr>
        <w:tc>
          <w:tcPr>
            <w:tcW w:w="4300" w:type="dxa"/>
            <w:vAlign w:val="bottom"/>
          </w:tcPr>
          <w:p>
            <w:pPr>
              <w:spacing w:after="0"/>
              <w:rPr>
                <w:sz w:val="20"/>
                <w:szCs w:val="20"/>
                <w:color w:val="auto"/>
              </w:rPr>
            </w:pPr>
            <w:r>
              <w:rPr>
                <w:rFonts w:ascii="Arial" w:cs="Arial" w:eastAsia="Arial" w:hAnsi="Arial"/>
                <w:sz w:val="16"/>
                <w:szCs w:val="16"/>
                <w:color w:val="auto"/>
              </w:rPr>
              <w:t>Net income</w:t>
            </w:r>
          </w:p>
        </w:tc>
        <w:tc>
          <w:tcPr>
            <w:tcW w:w="10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24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11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34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w:t>
            </w:r>
          </w:p>
        </w:tc>
        <w:tc>
          <w:tcPr>
            <w:tcW w:w="24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46,885</w:t>
            </w:r>
          </w:p>
        </w:tc>
        <w:tc>
          <w:tcPr>
            <w:tcW w:w="26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46,885</w:t>
            </w:r>
          </w:p>
        </w:tc>
        <w:tc>
          <w:tcPr>
            <w:tcW w:w="0" w:type="dxa"/>
            <w:vAlign w:val="bottom"/>
          </w:tcPr>
          <w:p>
            <w:pPr>
              <w:spacing w:after="0"/>
              <w:rPr>
                <w:sz w:val="1"/>
                <w:szCs w:val="1"/>
                <w:color w:val="auto"/>
              </w:rPr>
            </w:pPr>
          </w:p>
        </w:tc>
      </w:tr>
      <w:tr>
        <w:trPr>
          <w:trHeight w:val="168"/>
        </w:trPr>
        <w:tc>
          <w:tcPr>
            <w:tcW w:w="4300" w:type="dxa"/>
            <w:vAlign w:val="bottom"/>
            <w:shd w:val="clear" w:color="auto" w:fill="CFF0FC"/>
          </w:tcPr>
          <w:p>
            <w:pPr>
              <w:spacing w:after="0" w:line="168" w:lineRule="exact"/>
              <w:rPr>
                <w:sz w:val="20"/>
                <w:szCs w:val="20"/>
                <w:color w:val="auto"/>
              </w:rPr>
            </w:pPr>
            <w:r>
              <w:rPr>
                <w:rFonts w:ascii="Arial" w:cs="Arial" w:eastAsia="Arial" w:hAnsi="Arial"/>
                <w:sz w:val="16"/>
                <w:szCs w:val="16"/>
                <w:color w:val="auto"/>
              </w:rPr>
              <w:t>Balance—March 31, 2025</w:t>
            </w:r>
          </w:p>
        </w:tc>
        <w:tc>
          <w:tcPr>
            <w:tcW w:w="1020" w:type="dxa"/>
            <w:vAlign w:val="bottom"/>
            <w:shd w:val="clear" w:color="auto" w:fill="CFF0FC"/>
          </w:tcPr>
          <w:p>
            <w:pPr>
              <w:jc w:val="right"/>
              <w:ind w:right="39"/>
              <w:spacing w:after="0" w:line="168" w:lineRule="exact"/>
              <w:rPr>
                <w:sz w:val="20"/>
                <w:szCs w:val="20"/>
                <w:color w:val="auto"/>
              </w:rPr>
            </w:pPr>
            <w:r>
              <w:rPr>
                <w:rFonts w:ascii="Arial" w:cs="Arial" w:eastAsia="Arial" w:hAnsi="Arial"/>
                <w:sz w:val="16"/>
                <w:szCs w:val="16"/>
                <w:color w:val="auto"/>
              </w:rPr>
              <w:t>61,509,82</w:t>
            </w:r>
          </w:p>
        </w:tc>
        <w:tc>
          <w:tcPr>
            <w:tcW w:w="240" w:type="dxa"/>
            <w:vAlign w:val="bottom"/>
            <w:shd w:val="clear" w:color="auto" w:fill="CFF0FC"/>
          </w:tcPr>
          <w:p>
            <w:pPr>
              <w:spacing w:after="0"/>
              <w:rPr>
                <w:sz w:val="14"/>
                <w:szCs w:val="14"/>
                <w:color w:val="auto"/>
              </w:rPr>
            </w:pPr>
          </w:p>
        </w:tc>
        <w:tc>
          <w:tcPr>
            <w:tcW w:w="840" w:type="dxa"/>
            <w:vAlign w:val="bottom"/>
            <w:shd w:val="clear" w:color="auto" w:fill="CFF0FC"/>
          </w:tcPr>
          <w:p>
            <w:pPr>
              <w:spacing w:after="0"/>
              <w:rPr>
                <w:sz w:val="14"/>
                <w:szCs w:val="14"/>
                <w:color w:val="auto"/>
              </w:rPr>
            </w:pPr>
          </w:p>
        </w:tc>
        <w:tc>
          <w:tcPr>
            <w:tcW w:w="1120" w:type="dxa"/>
            <w:vAlign w:val="bottom"/>
            <w:shd w:val="clear" w:color="auto" w:fill="CFF0FC"/>
          </w:tcPr>
          <w:p>
            <w:pPr>
              <w:spacing w:after="0"/>
              <w:rPr>
                <w:sz w:val="14"/>
                <w:szCs w:val="14"/>
                <w:color w:val="auto"/>
              </w:rPr>
            </w:pPr>
          </w:p>
        </w:tc>
        <w:tc>
          <w:tcPr>
            <w:tcW w:w="340" w:type="dxa"/>
            <w:vAlign w:val="bottom"/>
            <w:shd w:val="clear" w:color="auto" w:fill="CFF0FC"/>
          </w:tcPr>
          <w:p>
            <w:pPr>
              <w:spacing w:after="0"/>
              <w:rPr>
                <w:sz w:val="14"/>
                <w:szCs w:val="14"/>
                <w:color w:val="auto"/>
              </w:rPr>
            </w:pPr>
          </w:p>
        </w:tc>
        <w:tc>
          <w:tcPr>
            <w:tcW w:w="106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90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92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4300" w:type="dxa"/>
            <w:vAlign w:val="bottom"/>
            <w:tcBorders>
              <w:bottom w:val="single" w:sz="8" w:color="CFF0FC"/>
            </w:tcBorders>
            <w:shd w:val="clear" w:color="auto" w:fill="CFF0FC"/>
          </w:tcPr>
          <w:p>
            <w:pPr>
              <w:spacing w:after="0"/>
              <w:rPr>
                <w:sz w:val="17"/>
                <w:szCs w:val="17"/>
                <w:color w:val="auto"/>
              </w:rPr>
            </w:pPr>
          </w:p>
        </w:tc>
        <w:tc>
          <w:tcPr>
            <w:tcW w:w="1020" w:type="dxa"/>
            <w:vAlign w:val="bottom"/>
            <w:tcBorders>
              <w:bottom w:val="single" w:sz="8" w:color="auto"/>
            </w:tcBorders>
            <w:shd w:val="clear" w:color="auto" w:fill="CFF0FC"/>
          </w:tcPr>
          <w:p>
            <w:pPr>
              <w:jc w:val="right"/>
              <w:ind w:right="39"/>
              <w:spacing w:after="0"/>
              <w:rPr>
                <w:sz w:val="20"/>
                <w:szCs w:val="20"/>
                <w:color w:val="auto"/>
              </w:rPr>
            </w:pPr>
            <w:r>
              <w:rPr>
                <w:rFonts w:ascii="Arial" w:cs="Arial" w:eastAsia="Arial" w:hAnsi="Arial"/>
                <w:sz w:val="16"/>
                <w:szCs w:val="16"/>
                <w:color w:val="auto"/>
              </w:rPr>
              <w:t>1</w:t>
            </w:r>
          </w:p>
        </w:tc>
        <w:tc>
          <w:tcPr>
            <w:tcW w:w="2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840" w:type="dxa"/>
            <w:vAlign w:val="bottom"/>
            <w:tcBorders>
              <w:bottom w:val="single" w:sz="8" w:color="auto"/>
            </w:tcBorders>
            <w:shd w:val="clear" w:color="auto" w:fill="CFF0FC"/>
          </w:tcPr>
          <w:p>
            <w:pPr>
              <w:jc w:val="right"/>
              <w:ind w:right="39"/>
              <w:spacing w:after="0"/>
              <w:rPr>
                <w:sz w:val="20"/>
                <w:szCs w:val="20"/>
                <w:color w:val="auto"/>
              </w:rPr>
            </w:pPr>
            <w:r>
              <w:rPr>
                <w:rFonts w:ascii="Arial" w:cs="Arial" w:eastAsia="Arial" w:hAnsi="Arial"/>
                <w:sz w:val="16"/>
                <w:szCs w:val="16"/>
                <w:color w:val="auto"/>
              </w:rPr>
              <w:t>6</w:t>
            </w:r>
          </w:p>
        </w:tc>
        <w:tc>
          <w:tcPr>
            <w:tcW w:w="1120" w:type="dxa"/>
            <w:vAlign w:val="bottom"/>
            <w:tcBorders>
              <w:bottom w:val="single" w:sz="8" w:color="auto"/>
            </w:tcBorders>
            <w:shd w:val="clear" w:color="auto" w:fill="CFF0FC"/>
          </w:tcPr>
          <w:p>
            <w:pPr>
              <w:jc w:val="right"/>
              <w:ind w:right="39"/>
              <w:spacing w:after="0"/>
              <w:rPr>
                <w:sz w:val="20"/>
                <w:szCs w:val="20"/>
                <w:color w:val="auto"/>
              </w:rPr>
            </w:pPr>
            <w:r>
              <w:rPr>
                <w:rFonts w:ascii="Arial" w:cs="Arial" w:eastAsia="Arial" w:hAnsi="Arial"/>
                <w:sz w:val="16"/>
                <w:szCs w:val="16"/>
                <w:color w:val="auto"/>
              </w:rPr>
              <w:t>$  670,186</w:t>
            </w:r>
          </w:p>
        </w:tc>
        <w:tc>
          <w:tcPr>
            <w:tcW w:w="340" w:type="dxa"/>
            <w:vAlign w:val="bottom"/>
            <w:tcBorders>
              <w:bottom w:val="single" w:sz="8" w:color="auto"/>
            </w:tcBorders>
            <w:shd w:val="clear" w:color="auto" w:fill="CFF0FC"/>
          </w:tcPr>
          <w:p>
            <w:pPr>
              <w:jc w:val="right"/>
              <w:ind w:right="39"/>
              <w:spacing w:after="0"/>
              <w:rPr>
                <w:sz w:val="20"/>
                <w:szCs w:val="20"/>
                <w:color w:val="auto"/>
              </w:rPr>
            </w:pPr>
            <w:r>
              <w:rPr>
                <w:rFonts w:ascii="Arial" w:cs="Arial" w:eastAsia="Arial" w:hAnsi="Arial"/>
                <w:sz w:val="16"/>
                <w:szCs w:val="16"/>
                <w:color w:val="auto"/>
              </w:rPr>
              <w:t>$</w:t>
            </w:r>
          </w:p>
        </w:tc>
        <w:tc>
          <w:tcPr>
            <w:tcW w:w="1060" w:type="dxa"/>
            <w:vAlign w:val="bottom"/>
            <w:tcBorders>
              <w:bottom w:val="single" w:sz="8" w:color="auto"/>
            </w:tcBorders>
            <w:shd w:val="clear" w:color="auto" w:fill="CFF0FC"/>
          </w:tcPr>
          <w:p>
            <w:pPr>
              <w:jc w:val="right"/>
              <w:ind w:right="19"/>
              <w:spacing w:after="0"/>
              <w:rPr>
                <w:sz w:val="20"/>
                <w:szCs w:val="20"/>
                <w:color w:val="auto"/>
              </w:rPr>
            </w:pPr>
            <w:r>
              <w:rPr>
                <w:rFonts w:ascii="Arial" w:cs="Arial" w:eastAsia="Arial" w:hAnsi="Arial"/>
                <w:sz w:val="16"/>
                <w:szCs w:val="16"/>
                <w:color w:val="auto"/>
              </w:rPr>
              <w:t>(3,329)</w:t>
            </w:r>
          </w:p>
        </w:tc>
        <w:tc>
          <w:tcPr>
            <w:tcW w:w="2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auto"/>
            </w:tcBorders>
            <w:shd w:val="clear" w:color="auto" w:fill="CFF0FC"/>
          </w:tcPr>
          <w:p>
            <w:pPr>
              <w:jc w:val="right"/>
              <w:ind w:right="19"/>
              <w:spacing w:after="0"/>
              <w:rPr>
                <w:sz w:val="20"/>
                <w:szCs w:val="20"/>
                <w:color w:val="auto"/>
              </w:rPr>
            </w:pPr>
            <w:r>
              <w:rPr>
                <w:rFonts w:ascii="Arial" w:cs="Arial" w:eastAsia="Arial" w:hAnsi="Arial"/>
                <w:sz w:val="16"/>
                <w:szCs w:val="16"/>
                <w:color w:val="auto"/>
              </w:rPr>
              <w:t>(391,703)</w:t>
            </w:r>
          </w:p>
        </w:tc>
        <w:tc>
          <w:tcPr>
            <w:tcW w:w="260" w:type="dxa"/>
            <w:vAlign w:val="bottom"/>
            <w:tcBorders>
              <w:bottom w:val="single" w:sz="8" w:color="auto"/>
            </w:tcBorders>
            <w:shd w:val="clear" w:color="auto" w:fill="CFF0FC"/>
          </w:tcPr>
          <w:p>
            <w:pPr>
              <w:ind w:left="80"/>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auto"/>
            </w:tcBorders>
            <w:shd w:val="clear" w:color="auto" w:fill="CFF0FC"/>
          </w:tcPr>
          <w:p>
            <w:pPr>
              <w:jc w:val="right"/>
              <w:ind w:right="39"/>
              <w:spacing w:after="0"/>
              <w:rPr>
                <w:sz w:val="20"/>
                <w:szCs w:val="20"/>
                <w:color w:val="auto"/>
              </w:rPr>
            </w:pPr>
            <w:r>
              <w:rPr>
                <w:rFonts w:ascii="Arial" w:cs="Arial" w:eastAsia="Arial" w:hAnsi="Arial"/>
                <w:sz w:val="16"/>
                <w:szCs w:val="16"/>
                <w:color w:val="auto"/>
              </w:rPr>
              <w:t>275,160</w:t>
            </w:r>
          </w:p>
        </w:tc>
        <w:tc>
          <w:tcPr>
            <w:tcW w:w="0" w:type="dxa"/>
            <w:vAlign w:val="bottom"/>
          </w:tcPr>
          <w:p>
            <w:pPr>
              <w:spacing w:after="0"/>
              <w:rPr>
                <w:sz w:val="1"/>
                <w:szCs w:val="1"/>
                <w:color w:val="auto"/>
              </w:rPr>
            </w:pPr>
          </w:p>
        </w:tc>
      </w:tr>
    </w:tbl>
    <w:p>
      <w:pPr>
        <w:spacing w:after="0" w:line="101"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See accompanying notes to the condensed consolidated financial statements</w:t>
      </w:r>
    </w:p>
    <w:p>
      <w:pPr>
        <w:spacing w:after="0" w:line="3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00" w:right="339" w:bottom="1440" w:gutter="0" w:footer="0" w:header="0"/>
        </w:sectPr>
      </w:pPr>
    </w:p>
    <w:bookmarkStart w:id="7" w:name="page8"/>
    <w:bookmarkEnd w:id="7"/>
    <w:p>
      <w:pPr>
        <w:spacing w:after="0"/>
        <w:rPr>
          <w:sz w:val="20"/>
          <w:szCs w:val="20"/>
          <w:color w:val="auto"/>
        </w:rPr>
      </w:pPr>
      <w:r>
        <w:rPr>
          <w:rFonts w:ascii="Arial" w:cs="Arial" w:eastAsia="Arial" w:hAnsi="Arial"/>
          <w:sz w:val="32"/>
          <w:szCs w:val="32"/>
          <w:b w:val="1"/>
          <w:bCs w:val="1"/>
          <w:color w:val="auto"/>
        </w:rPr>
        <w:t>Monte Rosa Therapeutics, Inc.</w:t>
      </w:r>
    </w:p>
    <w:p>
      <w:pPr>
        <w:spacing w:after="0" w:line="44" w:lineRule="exact"/>
        <w:rPr>
          <w:sz w:val="20"/>
          <w:szCs w:val="20"/>
          <w:color w:val="auto"/>
        </w:rPr>
      </w:pPr>
    </w:p>
    <w:p>
      <w:pPr>
        <w:spacing w:after="0"/>
        <w:rPr>
          <w:sz w:val="20"/>
          <w:szCs w:val="20"/>
          <w:color w:val="auto"/>
        </w:rPr>
      </w:pPr>
      <w:r>
        <w:rPr>
          <w:rFonts w:ascii="Arial" w:cs="Arial" w:eastAsia="Arial" w:hAnsi="Arial"/>
          <w:sz w:val="32"/>
          <w:szCs w:val="32"/>
          <w:b w:val="1"/>
          <w:bCs w:val="1"/>
          <w:color w:val="auto"/>
        </w:rPr>
        <w:t>Condensed consolidated statements of cash flows (unaudited)</w:t>
      </w:r>
    </w:p>
    <w:p>
      <w:pPr>
        <w:spacing w:after="0" w:line="127" w:lineRule="exact"/>
        <w:rPr>
          <w:sz w:val="20"/>
          <w:szCs w:val="20"/>
          <w:color w:val="auto"/>
        </w:rPr>
      </w:pPr>
    </w:p>
    <w:p>
      <w:pPr>
        <w:ind w:left="8960"/>
        <w:spacing w:after="0"/>
        <w:rPr>
          <w:sz w:val="20"/>
          <w:szCs w:val="20"/>
          <w:color w:val="auto"/>
        </w:rPr>
      </w:pPr>
      <w:r>
        <w:rPr>
          <w:rFonts w:ascii="Arial" w:cs="Arial" w:eastAsia="Arial" w:hAnsi="Arial"/>
          <w:sz w:val="16"/>
          <w:szCs w:val="16"/>
          <w:b w:val="1"/>
          <w:bCs w:val="1"/>
          <w:color w:val="auto"/>
        </w:rPr>
        <w:t>Three months 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-115570</wp:posOffset>
            </wp:positionV>
            <wp:extent cx="7132320"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 w:lineRule="exact"/>
        <w:rPr>
          <w:sz w:val="20"/>
          <w:szCs w:val="20"/>
          <w:color w:val="auto"/>
        </w:rPr>
      </w:pPr>
    </w:p>
    <w:p>
      <w:pPr>
        <w:ind w:left="9400"/>
        <w:spacing w:after="0"/>
        <w:rPr>
          <w:sz w:val="20"/>
          <w:szCs w:val="20"/>
          <w:color w:val="auto"/>
        </w:rPr>
      </w:pPr>
      <w:r>
        <w:rPr>
          <w:rFonts w:ascii="Arial" w:cs="Arial" w:eastAsia="Arial" w:hAnsi="Arial"/>
          <w:sz w:val="16"/>
          <w:szCs w:val="16"/>
          <w:b w:val="1"/>
          <w:bCs w:val="1"/>
          <w:color w:val="auto"/>
        </w:rPr>
        <w:t>March 31,</w:t>
      </w:r>
    </w:p>
    <w:p>
      <w:pPr>
        <w:spacing w:after="0" w:line="3" w:lineRule="exact"/>
        <w:rPr>
          <w:sz w:val="20"/>
          <w:szCs w:val="20"/>
          <w:color w:val="auto"/>
        </w:rPr>
      </w:pPr>
    </w:p>
    <w:tbl>
      <w:tblPr>
        <w:tblLayout w:type="fixed"/>
        <w:tblInd w:w="0" w:type="dxa"/>
        <w:tblCellMar>
          <w:top w:w="0" w:type="dxa"/>
          <w:left w:w="0" w:type="dxa"/>
          <w:bottom w:w="0" w:type="dxa"/>
          <w:right w:w="0" w:type="dxa"/>
        </w:tblCellMar>
      </w:tblPr>
      <w:tr>
        <w:trPr>
          <w:trHeight w:val="198"/>
        </w:trPr>
        <w:tc>
          <w:tcPr>
            <w:tcW w:w="8440" w:type="dxa"/>
            <w:vAlign w:val="bottom"/>
          </w:tcPr>
          <w:p>
            <w:pPr>
              <w:spacing w:after="0"/>
              <w:rPr>
                <w:sz w:val="20"/>
                <w:szCs w:val="20"/>
                <w:color w:val="auto"/>
              </w:rPr>
            </w:pPr>
            <w:r>
              <w:rPr>
                <w:rFonts w:ascii="Arial" w:cs="Arial" w:eastAsia="Arial" w:hAnsi="Arial"/>
                <w:sz w:val="16"/>
                <w:szCs w:val="16"/>
                <w:b w:val="1"/>
                <w:bCs w:val="1"/>
                <w:color w:val="auto"/>
              </w:rPr>
              <w:t>(in thousands)</w:t>
            </w:r>
          </w:p>
        </w:tc>
        <w:tc>
          <w:tcPr>
            <w:tcW w:w="1340" w:type="dxa"/>
            <w:vAlign w:val="bottom"/>
            <w:tcBorders>
              <w:top w:val="single" w:sz="8" w:color="auto"/>
            </w:tcBorders>
          </w:tcPr>
          <w:p>
            <w:pPr>
              <w:jc w:val="right"/>
              <w:ind w:right="459"/>
              <w:spacing w:after="0"/>
              <w:rPr>
                <w:sz w:val="20"/>
                <w:szCs w:val="20"/>
                <w:color w:val="auto"/>
              </w:rPr>
            </w:pPr>
            <w:r>
              <w:rPr>
                <w:rFonts w:ascii="Arial" w:cs="Arial" w:eastAsia="Arial" w:hAnsi="Arial"/>
                <w:sz w:val="16"/>
                <w:szCs w:val="16"/>
                <w:b w:val="1"/>
                <w:bCs w:val="1"/>
                <w:color w:val="auto"/>
              </w:rPr>
              <w:t>2026</w:t>
            </w:r>
          </w:p>
        </w:tc>
        <w:tc>
          <w:tcPr>
            <w:tcW w:w="1460" w:type="dxa"/>
            <w:vAlign w:val="bottom"/>
            <w:tcBorders>
              <w:top w:val="single" w:sz="8" w:color="auto"/>
            </w:tcBorders>
          </w:tcPr>
          <w:p>
            <w:pPr>
              <w:jc w:val="right"/>
              <w:ind w:right="459"/>
              <w:spacing w:after="0"/>
              <w:rPr>
                <w:sz w:val="20"/>
                <w:szCs w:val="20"/>
                <w:color w:val="auto"/>
              </w:rPr>
            </w:pPr>
            <w:r>
              <w:rPr>
                <w:rFonts w:ascii="Arial" w:cs="Arial" w:eastAsia="Arial" w:hAnsi="Arial"/>
                <w:sz w:val="16"/>
                <w:szCs w:val="16"/>
                <w:b w:val="1"/>
                <w:bCs w:val="1"/>
                <w:color w:val="auto"/>
              </w:rPr>
              <w:t>2025</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-8890</wp:posOffset>
            </wp:positionV>
            <wp:extent cx="7132320" cy="12890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128905"/>
                    </a:xfrm>
                    <a:prstGeom prst="rect">
                      <a:avLst/>
                    </a:prstGeom>
                    <a:noFill/>
                  </pic:spPr>
                </pic:pic>
              </a:graphicData>
            </a:graphic>
          </wp:anchor>
        </w:drawing>
      </w:r>
    </w:p>
    <w:p>
      <w:pPr>
        <w:sectPr>
          <w:pgSz w:w="11900" w:h="16838" w:orient="portrait"/>
          <w:cols w:equalWidth="0" w:num="1">
            <w:col w:w="11240"/>
          </w:cols>
          <w:pgMar w:left="320" w:top="1000" w:right="339" w:bottom="1440" w:gutter="0" w:footer="0" w:header="0"/>
        </w:sectPr>
      </w:pPr>
    </w:p>
    <w:p>
      <w:pPr>
        <w:spacing w:after="0"/>
        <w:rPr>
          <w:sz w:val="20"/>
          <w:szCs w:val="20"/>
          <w:color w:val="auto"/>
        </w:rPr>
      </w:pPr>
      <w:r>
        <w:rPr>
          <w:rFonts w:ascii="Arial" w:cs="Arial" w:eastAsia="Arial" w:hAnsi="Arial"/>
          <w:sz w:val="16"/>
          <w:szCs w:val="16"/>
          <w:color w:val="auto"/>
        </w:rPr>
        <w:t>Cash flows from operating activities:</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Net loss (income)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wp:posOffset>
            </wp:positionV>
            <wp:extent cx="7132320" cy="12001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120015"/>
                    </a:xfrm>
                    <a:prstGeom prst="rect">
                      <a:avLst/>
                    </a:prstGeom>
                    <a:noFill/>
                  </pic:spPr>
                </pic:pic>
              </a:graphicData>
            </a:graphic>
          </wp:anchor>
        </w:drawing>
      </w:r>
    </w:p>
    <w:p>
      <w:pPr>
        <w:ind w:left="160" w:right="2560" w:hanging="152"/>
        <w:spacing w:after="0" w:line="246" w:lineRule="auto"/>
        <w:rPr>
          <w:sz w:val="20"/>
          <w:szCs w:val="20"/>
          <w:color w:val="auto"/>
        </w:rPr>
      </w:pPr>
      <w:r>
        <w:rPr>
          <w:rFonts w:ascii="Arial" w:cs="Arial" w:eastAsia="Arial" w:hAnsi="Arial"/>
          <w:sz w:val="16"/>
          <w:szCs w:val="16"/>
          <w:color w:val="auto"/>
        </w:rPr>
        <w:t>Adjustments to reconcile net loss to net cash used in operating activities Stock-based compensation expense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0</wp:posOffset>
            </wp:positionV>
            <wp:extent cx="7132320" cy="12001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120015"/>
                    </a:xfrm>
                    <a:prstGeom prst="rect">
                      <a:avLst/>
                    </a:prstGeom>
                    <a:noFill/>
                  </pic:spPr>
                </pic:pic>
              </a:graphicData>
            </a:graphic>
          </wp:anchor>
        </w:drawing>
      </w:r>
    </w:p>
    <w:p>
      <w:pPr>
        <w:ind w:left="160"/>
        <w:spacing w:after="0"/>
        <w:rPr>
          <w:sz w:val="20"/>
          <w:szCs w:val="20"/>
          <w:color w:val="auto"/>
        </w:rPr>
      </w:pPr>
      <w:r>
        <w:rPr>
          <w:rFonts w:ascii="Arial" w:cs="Arial" w:eastAsia="Arial" w:hAnsi="Arial"/>
          <w:sz w:val="16"/>
          <w:szCs w:val="16"/>
          <w:color w:val="auto"/>
        </w:rPr>
        <w:t>Depreciation</w:t>
      </w:r>
    </w:p>
    <w:p>
      <w:pPr>
        <w:spacing w:after="0" w:line="5" w:lineRule="exact"/>
        <w:rPr>
          <w:sz w:val="20"/>
          <w:szCs w:val="20"/>
          <w:color w:val="auto"/>
        </w:rPr>
      </w:pPr>
    </w:p>
    <w:p>
      <w:pPr>
        <w:ind w:left="160"/>
        <w:spacing w:after="0"/>
        <w:rPr>
          <w:sz w:val="20"/>
          <w:szCs w:val="20"/>
          <w:color w:val="auto"/>
        </w:rPr>
      </w:pPr>
      <w:r>
        <w:rPr>
          <w:rFonts w:ascii="Arial" w:cs="Arial" w:eastAsia="Arial" w:hAnsi="Arial"/>
          <w:sz w:val="16"/>
          <w:szCs w:val="16"/>
          <w:color w:val="auto"/>
        </w:rPr>
        <w:t>Net accretion of discounts/premiums on marketable securities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wp:posOffset>
            </wp:positionV>
            <wp:extent cx="7132320" cy="12001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120015"/>
                    </a:xfrm>
                    <a:prstGeom prst="rect">
                      <a:avLst/>
                    </a:prstGeom>
                    <a:noFill/>
                  </pic:spPr>
                </pic:pic>
              </a:graphicData>
            </a:graphic>
          </wp:anchor>
        </w:drawing>
      </w:r>
    </w:p>
    <w:p>
      <w:pPr>
        <w:ind w:left="160"/>
        <w:spacing w:after="0"/>
        <w:rPr>
          <w:sz w:val="20"/>
          <w:szCs w:val="20"/>
          <w:color w:val="auto"/>
        </w:rPr>
      </w:pPr>
      <w:r>
        <w:rPr>
          <w:rFonts w:ascii="Arial" w:cs="Arial" w:eastAsia="Arial" w:hAnsi="Arial"/>
          <w:sz w:val="16"/>
          <w:szCs w:val="16"/>
          <w:color w:val="auto"/>
        </w:rPr>
        <w:t>Gain on disposal of property and equipment</w:t>
      </w:r>
    </w:p>
    <w:p>
      <w:pPr>
        <w:spacing w:after="0" w:line="5" w:lineRule="exact"/>
        <w:rPr>
          <w:sz w:val="20"/>
          <w:szCs w:val="20"/>
          <w:color w:val="auto"/>
        </w:rPr>
      </w:pPr>
    </w:p>
    <w:p>
      <w:pPr>
        <w:ind w:left="160"/>
        <w:spacing w:after="0"/>
        <w:rPr>
          <w:sz w:val="20"/>
          <w:szCs w:val="20"/>
          <w:color w:val="auto"/>
        </w:rPr>
      </w:pPr>
      <w:r>
        <w:rPr>
          <w:rFonts w:ascii="Arial" w:cs="Arial" w:eastAsia="Arial" w:hAnsi="Arial"/>
          <w:sz w:val="16"/>
          <w:szCs w:val="16"/>
          <w:color w:val="auto"/>
        </w:rPr>
        <w:t>Changes in operating assets and 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wp:posOffset>
            </wp:positionV>
            <wp:extent cx="7132320" cy="12001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2320" cy="120015"/>
                    </a:xfrm>
                    <a:prstGeom prst="rect">
                      <a:avLst/>
                    </a:prstGeom>
                    <a:noFill/>
                  </pic:spPr>
                </pic:pic>
              </a:graphicData>
            </a:graphic>
          </wp:anchor>
        </w:drawing>
      </w:r>
    </w:p>
    <w:p>
      <w:pPr>
        <w:ind w:left="320"/>
        <w:spacing w:after="0"/>
        <w:rPr>
          <w:sz w:val="20"/>
          <w:szCs w:val="20"/>
          <w:color w:val="auto"/>
        </w:rPr>
      </w:pPr>
      <w:r>
        <w:rPr>
          <w:rFonts w:ascii="Arial" w:cs="Arial" w:eastAsia="Arial" w:hAnsi="Arial"/>
          <w:sz w:val="16"/>
          <w:szCs w:val="16"/>
          <w:color w:val="auto"/>
        </w:rPr>
        <w:t>Collaboration receivable</w:t>
      </w:r>
    </w:p>
    <w:p>
      <w:pPr>
        <w:spacing w:after="0" w:line="5" w:lineRule="exact"/>
        <w:rPr>
          <w:sz w:val="20"/>
          <w:szCs w:val="20"/>
          <w:color w:val="auto"/>
        </w:rPr>
      </w:pPr>
    </w:p>
    <w:p>
      <w:pPr>
        <w:ind w:left="320"/>
        <w:spacing w:after="0"/>
        <w:rPr>
          <w:sz w:val="20"/>
          <w:szCs w:val="20"/>
          <w:color w:val="auto"/>
        </w:rPr>
      </w:pPr>
      <w:r>
        <w:rPr>
          <w:rFonts w:ascii="Arial" w:cs="Arial" w:eastAsia="Arial" w:hAnsi="Arial"/>
          <w:sz w:val="16"/>
          <w:szCs w:val="16"/>
          <w:color w:val="auto"/>
        </w:rPr>
        <w:t>Other receivables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wp:posOffset>
            </wp:positionV>
            <wp:extent cx="7132320" cy="12001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2320" cy="120015"/>
                    </a:xfrm>
                    <a:prstGeom prst="rect">
                      <a:avLst/>
                    </a:prstGeom>
                    <a:noFill/>
                  </pic:spPr>
                </pic:pic>
              </a:graphicData>
            </a:graphic>
          </wp:anchor>
        </w:drawing>
      </w:r>
    </w:p>
    <w:p>
      <w:pPr>
        <w:ind w:left="320"/>
        <w:spacing w:after="0"/>
        <w:rPr>
          <w:sz w:val="20"/>
          <w:szCs w:val="20"/>
          <w:color w:val="auto"/>
        </w:rPr>
      </w:pPr>
      <w:r>
        <w:rPr>
          <w:rFonts w:ascii="Arial" w:cs="Arial" w:eastAsia="Arial" w:hAnsi="Arial"/>
          <w:sz w:val="16"/>
          <w:szCs w:val="16"/>
          <w:color w:val="auto"/>
        </w:rPr>
        <w:t>Prepaid expenses and other assets</w:t>
      </w:r>
    </w:p>
    <w:p>
      <w:pPr>
        <w:spacing w:after="0" w:line="5" w:lineRule="exact"/>
        <w:rPr>
          <w:sz w:val="20"/>
          <w:szCs w:val="20"/>
          <w:color w:val="auto"/>
        </w:rPr>
      </w:pPr>
    </w:p>
    <w:p>
      <w:pPr>
        <w:ind w:left="320"/>
        <w:spacing w:after="0"/>
        <w:rPr>
          <w:sz w:val="20"/>
          <w:szCs w:val="20"/>
          <w:color w:val="auto"/>
        </w:rPr>
      </w:pPr>
      <w:r>
        <w:rPr>
          <w:rFonts w:ascii="Arial" w:cs="Arial" w:eastAsia="Arial" w:hAnsi="Arial"/>
          <w:sz w:val="16"/>
          <w:szCs w:val="16"/>
          <w:color w:val="auto"/>
        </w:rPr>
        <w:t>Accounts payable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wp:posOffset>
            </wp:positionV>
            <wp:extent cx="7132320" cy="12001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2320" cy="120015"/>
                    </a:xfrm>
                    <a:prstGeom prst="rect">
                      <a:avLst/>
                    </a:prstGeom>
                    <a:noFill/>
                  </pic:spPr>
                </pic:pic>
              </a:graphicData>
            </a:graphic>
          </wp:anchor>
        </w:drawing>
      </w:r>
    </w:p>
    <w:p>
      <w:pPr>
        <w:ind w:left="320"/>
        <w:spacing w:after="0"/>
        <w:rPr>
          <w:sz w:val="20"/>
          <w:szCs w:val="20"/>
          <w:color w:val="auto"/>
        </w:rPr>
      </w:pPr>
      <w:r>
        <w:rPr>
          <w:rFonts w:ascii="Arial" w:cs="Arial" w:eastAsia="Arial" w:hAnsi="Arial"/>
          <w:sz w:val="16"/>
          <w:szCs w:val="16"/>
          <w:color w:val="auto"/>
        </w:rPr>
        <w:t>Accrued expenses and other current liabilities</w:t>
      </w:r>
    </w:p>
    <w:p>
      <w:pPr>
        <w:spacing w:after="0" w:line="5" w:lineRule="exact"/>
        <w:rPr>
          <w:sz w:val="20"/>
          <w:szCs w:val="20"/>
          <w:color w:val="auto"/>
        </w:rPr>
      </w:pPr>
    </w:p>
    <w:p>
      <w:pPr>
        <w:ind w:left="320"/>
        <w:spacing w:after="0"/>
        <w:rPr>
          <w:sz w:val="20"/>
          <w:szCs w:val="20"/>
          <w:color w:val="auto"/>
        </w:rPr>
      </w:pPr>
      <w:r>
        <w:rPr>
          <w:rFonts w:ascii="Arial" w:cs="Arial" w:eastAsia="Arial" w:hAnsi="Arial"/>
          <w:sz w:val="16"/>
          <w:szCs w:val="16"/>
          <w:color w:val="auto"/>
        </w:rPr>
        <w:t>Defined benefit plan liability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wp:posOffset>
            </wp:positionV>
            <wp:extent cx="7132320" cy="12001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2320" cy="120015"/>
                    </a:xfrm>
                    <a:prstGeom prst="rect">
                      <a:avLst/>
                    </a:prstGeom>
                    <a:noFill/>
                  </pic:spPr>
                </pic:pic>
              </a:graphicData>
            </a:graphic>
          </wp:anchor>
        </w:drawing>
      </w:r>
    </w:p>
    <w:p>
      <w:pPr>
        <w:ind w:left="320"/>
        <w:spacing w:after="0"/>
        <w:rPr>
          <w:sz w:val="20"/>
          <w:szCs w:val="20"/>
          <w:color w:val="auto"/>
        </w:rPr>
      </w:pPr>
      <w:r>
        <w:rPr>
          <w:rFonts w:ascii="Arial" w:cs="Arial" w:eastAsia="Arial" w:hAnsi="Arial"/>
          <w:sz w:val="16"/>
          <w:szCs w:val="16"/>
          <w:color w:val="auto"/>
        </w:rPr>
        <w:t>Right-of-use assets and operating lease liabilities</w:t>
      </w:r>
    </w:p>
    <w:p>
      <w:pPr>
        <w:spacing w:after="0" w:line="15" w:lineRule="exact"/>
        <w:rPr>
          <w:sz w:val="20"/>
          <w:szCs w:val="20"/>
          <w:color w:val="auto"/>
        </w:rPr>
      </w:pPr>
    </w:p>
    <w:p>
      <w:pPr>
        <w:ind w:left="320"/>
        <w:spacing w:after="0"/>
        <w:rPr>
          <w:sz w:val="20"/>
          <w:szCs w:val="20"/>
          <w:color w:val="auto"/>
        </w:rPr>
      </w:pPr>
      <w:r>
        <w:rPr>
          <w:rFonts w:ascii="Arial" w:cs="Arial" w:eastAsia="Arial" w:hAnsi="Arial"/>
          <w:sz w:val="16"/>
          <w:szCs w:val="16"/>
          <w:color w:val="auto"/>
        </w:rPr>
        <w:t>Deferred revenue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7132320" cy="12890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2320" cy="128905"/>
                    </a:xfrm>
                    <a:prstGeom prst="rect">
                      <a:avLst/>
                    </a:prstGeom>
                    <a:noFill/>
                  </pic:spPr>
                </pic:pic>
              </a:graphicData>
            </a:graphic>
          </wp:anchor>
        </w:drawing>
      </w:r>
    </w:p>
    <w:p>
      <w:pPr>
        <w:ind w:left="460"/>
        <w:spacing w:after="0"/>
        <w:rPr>
          <w:sz w:val="20"/>
          <w:szCs w:val="20"/>
          <w:color w:val="auto"/>
        </w:rPr>
      </w:pPr>
      <w:r>
        <w:rPr>
          <w:rFonts w:ascii="Arial" w:cs="Arial" w:eastAsia="Arial" w:hAnsi="Arial"/>
          <w:sz w:val="16"/>
          <w:szCs w:val="16"/>
          <w:color w:val="auto"/>
        </w:rPr>
        <w:t>Net cash used in operating activities</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Cash flows from investing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wp:posOffset>
            </wp:positionV>
            <wp:extent cx="7132320" cy="12001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2320" cy="120015"/>
                    </a:xfrm>
                    <a:prstGeom prst="rect">
                      <a:avLst/>
                    </a:prstGeom>
                    <a:noFill/>
                  </pic:spPr>
                </pic:pic>
              </a:graphicData>
            </a:graphic>
          </wp:anchor>
        </w:drawing>
      </w:r>
    </w:p>
    <w:p>
      <w:pPr>
        <w:ind w:left="160"/>
        <w:spacing w:after="0"/>
        <w:rPr>
          <w:sz w:val="20"/>
          <w:szCs w:val="20"/>
          <w:color w:val="auto"/>
        </w:rPr>
      </w:pPr>
      <w:r>
        <w:rPr>
          <w:rFonts w:ascii="Arial" w:cs="Arial" w:eastAsia="Arial" w:hAnsi="Arial"/>
          <w:sz w:val="16"/>
          <w:szCs w:val="16"/>
          <w:color w:val="auto"/>
        </w:rPr>
        <w:t>Purchases of property and equipment</w:t>
      </w:r>
    </w:p>
    <w:p>
      <w:pPr>
        <w:spacing w:after="0" w:line="5" w:lineRule="exact"/>
        <w:rPr>
          <w:sz w:val="20"/>
          <w:szCs w:val="20"/>
          <w:color w:val="auto"/>
        </w:rPr>
      </w:pPr>
    </w:p>
    <w:p>
      <w:pPr>
        <w:ind w:left="160"/>
        <w:spacing w:after="0"/>
        <w:rPr>
          <w:sz w:val="20"/>
          <w:szCs w:val="20"/>
          <w:color w:val="auto"/>
        </w:rPr>
      </w:pPr>
      <w:r>
        <w:rPr>
          <w:rFonts w:ascii="Arial" w:cs="Arial" w:eastAsia="Arial" w:hAnsi="Arial"/>
          <w:sz w:val="16"/>
          <w:szCs w:val="16"/>
          <w:color w:val="auto"/>
        </w:rPr>
        <w:t>Purchases of marketable securities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wp:posOffset>
            </wp:positionV>
            <wp:extent cx="7132320" cy="12890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2320" cy="128905"/>
                    </a:xfrm>
                    <a:prstGeom prst="rect">
                      <a:avLst/>
                    </a:prstGeom>
                    <a:noFill/>
                  </pic:spPr>
                </pic:pic>
              </a:graphicData>
            </a:graphic>
          </wp:anchor>
        </w:drawing>
      </w:r>
    </w:p>
    <w:p>
      <w:pPr>
        <w:ind w:left="160"/>
        <w:spacing w:after="0"/>
        <w:rPr>
          <w:sz w:val="20"/>
          <w:szCs w:val="20"/>
          <w:color w:val="auto"/>
        </w:rPr>
      </w:pPr>
      <w:r>
        <w:rPr>
          <w:rFonts w:ascii="Arial" w:cs="Arial" w:eastAsia="Arial" w:hAnsi="Arial"/>
          <w:sz w:val="16"/>
          <w:szCs w:val="16"/>
          <w:color w:val="auto"/>
        </w:rPr>
        <w:t>Proceeds from maturities of marketable securities</w:t>
      </w:r>
    </w:p>
    <w:p>
      <w:pPr>
        <w:spacing w:after="0" w:line="19" w:lineRule="exact"/>
        <w:rPr>
          <w:sz w:val="20"/>
          <w:szCs w:val="20"/>
          <w:color w:val="auto"/>
        </w:rPr>
      </w:pPr>
    </w:p>
    <w:p>
      <w:pPr>
        <w:ind w:left="460"/>
        <w:spacing w:after="0"/>
        <w:rPr>
          <w:sz w:val="20"/>
          <w:szCs w:val="20"/>
          <w:color w:val="auto"/>
        </w:rPr>
      </w:pPr>
      <w:r>
        <w:rPr>
          <w:rFonts w:ascii="Arial" w:cs="Arial" w:eastAsia="Arial" w:hAnsi="Arial"/>
          <w:sz w:val="16"/>
          <w:szCs w:val="16"/>
          <w:color w:val="auto"/>
        </w:rPr>
        <w:t>Net cash used in investing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7132320" cy="12001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2320" cy="120015"/>
                    </a:xfrm>
                    <a:prstGeom prst="rect">
                      <a:avLst/>
                    </a:prstGeom>
                    <a:noFill/>
                  </pic:spPr>
                </pic:pic>
              </a:graphicData>
            </a:graphic>
          </wp:anchor>
        </w:drawing>
      </w:r>
    </w:p>
    <w:p>
      <w:pPr>
        <w:spacing w:after="0"/>
        <w:rPr>
          <w:sz w:val="20"/>
          <w:szCs w:val="20"/>
          <w:color w:val="auto"/>
        </w:rPr>
      </w:pPr>
      <w:r>
        <w:rPr>
          <w:rFonts w:ascii="Arial" w:cs="Arial" w:eastAsia="Arial" w:hAnsi="Arial"/>
          <w:sz w:val="16"/>
          <w:szCs w:val="16"/>
          <w:color w:val="auto"/>
        </w:rPr>
        <w:t>Cash flows from financing activities:</w:t>
      </w:r>
    </w:p>
    <w:p>
      <w:pPr>
        <w:spacing w:after="0" w:line="5" w:lineRule="exact"/>
        <w:rPr>
          <w:sz w:val="20"/>
          <w:szCs w:val="20"/>
          <w:color w:val="auto"/>
        </w:rPr>
      </w:pPr>
    </w:p>
    <w:p>
      <w:pPr>
        <w:ind w:left="160"/>
        <w:spacing w:after="0"/>
        <w:rPr>
          <w:sz w:val="20"/>
          <w:szCs w:val="20"/>
          <w:color w:val="auto"/>
        </w:rPr>
      </w:pPr>
      <w:r>
        <w:rPr>
          <w:rFonts w:ascii="Arial" w:cs="Arial" w:eastAsia="Arial" w:hAnsi="Arial"/>
          <w:sz w:val="16"/>
          <w:szCs w:val="16"/>
          <w:color w:val="auto"/>
        </w:rPr>
        <w:t>Proceeds from exercise of employee stock options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wp:posOffset>
            </wp:positionV>
            <wp:extent cx="7132320" cy="12001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32320" cy="120015"/>
                    </a:xfrm>
                    <a:prstGeom prst="rect">
                      <a:avLst/>
                    </a:prstGeom>
                    <a:noFill/>
                  </pic:spPr>
                </pic:pic>
              </a:graphicData>
            </a:graphic>
          </wp:anchor>
        </w:drawing>
      </w:r>
    </w:p>
    <w:p>
      <w:pPr>
        <w:ind w:left="160"/>
        <w:spacing w:after="0"/>
        <w:rPr>
          <w:sz w:val="20"/>
          <w:szCs w:val="20"/>
          <w:color w:val="auto"/>
        </w:rPr>
      </w:pPr>
      <w:r>
        <w:rPr>
          <w:rFonts w:ascii="Arial" w:cs="Arial" w:eastAsia="Arial" w:hAnsi="Arial"/>
          <w:sz w:val="16"/>
          <w:szCs w:val="16"/>
          <w:color w:val="auto"/>
        </w:rPr>
        <w:t>Proceeds from underwritten public offering, net of underwriter's commission of $20,700</w:t>
      </w:r>
    </w:p>
    <w:p>
      <w:pPr>
        <w:spacing w:after="0" w:line="8" w:lineRule="exact"/>
        <w:rPr>
          <w:sz w:val="20"/>
          <w:szCs w:val="20"/>
          <w:color w:val="auto"/>
        </w:rPr>
      </w:pPr>
    </w:p>
    <w:p>
      <w:pPr>
        <w:ind w:left="160"/>
        <w:spacing w:after="0"/>
        <w:rPr>
          <w:sz w:val="20"/>
          <w:szCs w:val="20"/>
          <w:color w:val="auto"/>
        </w:rPr>
      </w:pPr>
      <w:r>
        <w:rPr>
          <w:rFonts w:ascii="Arial" w:cs="Arial" w:eastAsia="Arial" w:hAnsi="Arial"/>
          <w:sz w:val="16"/>
          <w:szCs w:val="16"/>
          <w:color w:val="auto"/>
        </w:rPr>
        <w:t>Payment of offering costs</w:t>
      </w:r>
    </w:p>
    <w:p>
      <w:pPr>
        <w:spacing w:after="0" w:line="20" w:lineRule="exact"/>
        <w:rPr>
          <w:sz w:val="20"/>
          <w:szCs w:val="20"/>
          <w:color w:val="auto"/>
        </w:rPr>
      </w:pPr>
      <w:r>
        <w:rPr>
          <w:sz w:val="20"/>
          <w:szCs w:val="20"/>
          <w:color w:val="auto"/>
        </w:rPr>
        <w:br w:type="column"/>
      </w:r>
    </w:p>
    <w:p>
      <w:pPr>
        <w:spacing w:after="0" w:line="153"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5"/>
        </w:trPr>
        <w:tc>
          <w:tcPr>
            <w:tcW w:w="340" w:type="dxa"/>
            <w:vAlign w:val="bottom"/>
            <w:gridSpan w:val="2"/>
          </w:tcPr>
          <w:p>
            <w:pPr>
              <w:jc w:val="right"/>
              <w:ind w:right="164"/>
              <w:spacing w:after="0"/>
              <w:rPr>
                <w:sz w:val="20"/>
                <w:szCs w:val="20"/>
                <w:color w:val="auto"/>
              </w:rPr>
            </w:pPr>
            <w:r>
              <w:rPr>
                <w:rFonts w:ascii="Arial" w:cs="Arial" w:eastAsia="Arial" w:hAnsi="Arial"/>
                <w:sz w:val="16"/>
                <w:szCs w:val="16"/>
                <w:color w:val="auto"/>
                <w:w w:val="89"/>
              </w:rPr>
              <w:t>$</w:t>
            </w: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(44,503)</w:t>
            </w:r>
          </w:p>
        </w:tc>
        <w:tc>
          <w:tcPr>
            <w:tcW w:w="440" w:type="dxa"/>
            <w:vAlign w:val="bottom"/>
          </w:tcPr>
          <w:p>
            <w:pPr>
              <w:jc w:val="right"/>
              <w:ind w:right="159"/>
              <w:spacing w:after="0"/>
              <w:rPr>
                <w:sz w:val="20"/>
                <w:szCs w:val="20"/>
                <w:color w:val="auto"/>
              </w:rPr>
            </w:pPr>
            <w:r>
              <w:rPr>
                <w:rFonts w:ascii="Arial" w:cs="Arial" w:eastAsia="Arial" w:hAnsi="Arial"/>
                <w:sz w:val="16"/>
                <w:szCs w:val="16"/>
                <w:color w:val="auto"/>
              </w:rPr>
              <w:t>$</w:t>
            </w:r>
          </w:p>
        </w:tc>
        <w:tc>
          <w:tcPr>
            <w:tcW w:w="980" w:type="dxa"/>
            <w:vAlign w:val="bottom"/>
          </w:tcPr>
          <w:p>
            <w:pPr>
              <w:jc w:val="right"/>
              <w:ind w:right="39"/>
              <w:spacing w:after="0"/>
              <w:rPr>
                <w:sz w:val="20"/>
                <w:szCs w:val="20"/>
                <w:color w:val="auto"/>
              </w:rPr>
            </w:pPr>
            <w:r>
              <w:rPr>
                <w:rFonts w:ascii="Arial" w:cs="Arial" w:eastAsia="Arial" w:hAnsi="Arial"/>
                <w:sz w:val="16"/>
                <w:szCs w:val="16"/>
                <w:color w:val="auto"/>
              </w:rPr>
              <w:t>46,885</w:t>
            </w:r>
          </w:p>
        </w:tc>
      </w:tr>
      <w:tr>
        <w:trPr>
          <w:trHeight w:val="352"/>
        </w:trPr>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40" w:type="dxa"/>
            <w:vAlign w:val="bottom"/>
          </w:tcPr>
          <w:p>
            <w:pPr>
              <w:jc w:val="right"/>
              <w:ind w:right="79"/>
              <w:spacing w:after="0"/>
              <w:rPr>
                <w:sz w:val="20"/>
                <w:szCs w:val="20"/>
                <w:color w:val="auto"/>
              </w:rPr>
            </w:pPr>
            <w:r>
              <w:rPr>
                <w:rFonts w:ascii="Arial" w:cs="Arial" w:eastAsia="Arial" w:hAnsi="Arial"/>
                <w:sz w:val="16"/>
                <w:szCs w:val="16"/>
                <w:color w:val="auto"/>
              </w:rPr>
              <w:t>5,949</w:t>
            </w:r>
          </w:p>
        </w:tc>
        <w:tc>
          <w:tcPr>
            <w:tcW w:w="440" w:type="dxa"/>
            <w:vAlign w:val="bottom"/>
          </w:tcPr>
          <w:p>
            <w:pPr>
              <w:spacing w:after="0"/>
              <w:rPr>
                <w:sz w:val="24"/>
                <w:szCs w:val="24"/>
                <w:color w:val="auto"/>
              </w:rPr>
            </w:pPr>
          </w:p>
        </w:tc>
        <w:tc>
          <w:tcPr>
            <w:tcW w:w="980" w:type="dxa"/>
            <w:vAlign w:val="bottom"/>
          </w:tcPr>
          <w:p>
            <w:pPr>
              <w:jc w:val="right"/>
              <w:ind w:right="39"/>
              <w:spacing w:after="0"/>
              <w:rPr>
                <w:sz w:val="20"/>
                <w:szCs w:val="20"/>
                <w:color w:val="auto"/>
              </w:rPr>
            </w:pPr>
            <w:r>
              <w:rPr>
                <w:rFonts w:ascii="Arial" w:cs="Arial" w:eastAsia="Arial" w:hAnsi="Arial"/>
                <w:sz w:val="16"/>
                <w:szCs w:val="16"/>
                <w:color w:val="auto"/>
              </w:rPr>
              <w:t>5,298</w:t>
            </w:r>
          </w:p>
        </w:tc>
      </w:tr>
      <w:tr>
        <w:trPr>
          <w:trHeight w:val="189"/>
        </w:trPr>
        <w:tc>
          <w:tcPr>
            <w:tcW w:w="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40" w:type="dxa"/>
            <w:vAlign w:val="bottom"/>
          </w:tcPr>
          <w:p>
            <w:pPr>
              <w:jc w:val="right"/>
              <w:ind w:right="79"/>
              <w:spacing w:after="0"/>
              <w:rPr>
                <w:sz w:val="20"/>
                <w:szCs w:val="20"/>
                <w:color w:val="auto"/>
              </w:rPr>
            </w:pPr>
            <w:r>
              <w:rPr>
                <w:rFonts w:ascii="Arial" w:cs="Arial" w:eastAsia="Arial" w:hAnsi="Arial"/>
                <w:sz w:val="16"/>
                <w:szCs w:val="16"/>
                <w:color w:val="auto"/>
              </w:rPr>
              <w:t>2,029</w:t>
            </w:r>
          </w:p>
        </w:tc>
        <w:tc>
          <w:tcPr>
            <w:tcW w:w="440" w:type="dxa"/>
            <w:vAlign w:val="bottom"/>
          </w:tcPr>
          <w:p>
            <w:pPr>
              <w:spacing w:after="0"/>
              <w:rPr>
                <w:sz w:val="16"/>
                <w:szCs w:val="16"/>
                <w:color w:val="auto"/>
              </w:rPr>
            </w:pPr>
          </w:p>
        </w:tc>
        <w:tc>
          <w:tcPr>
            <w:tcW w:w="980" w:type="dxa"/>
            <w:vAlign w:val="bottom"/>
          </w:tcPr>
          <w:p>
            <w:pPr>
              <w:jc w:val="right"/>
              <w:ind w:right="39"/>
              <w:spacing w:after="0"/>
              <w:rPr>
                <w:sz w:val="20"/>
                <w:szCs w:val="20"/>
                <w:color w:val="auto"/>
              </w:rPr>
            </w:pPr>
            <w:r>
              <w:rPr>
                <w:rFonts w:ascii="Arial" w:cs="Arial" w:eastAsia="Arial" w:hAnsi="Arial"/>
                <w:sz w:val="16"/>
                <w:szCs w:val="16"/>
                <w:color w:val="auto"/>
              </w:rPr>
              <w:t>2,048</w:t>
            </w:r>
          </w:p>
        </w:tc>
      </w:tr>
      <w:tr>
        <w:trPr>
          <w:trHeight w:val="189"/>
        </w:trPr>
        <w:tc>
          <w:tcPr>
            <w:tcW w:w="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(985)</w:t>
            </w:r>
          </w:p>
        </w:tc>
        <w:tc>
          <w:tcPr>
            <w:tcW w:w="44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(1,029)</w:t>
            </w:r>
          </w:p>
        </w:tc>
      </w:tr>
      <w:tr>
        <w:trPr>
          <w:trHeight w:val="215"/>
        </w:trPr>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4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(59)</w:t>
            </w:r>
          </w:p>
        </w:tc>
      </w:tr>
      <w:tr>
        <w:trPr>
          <w:trHeight w:val="352"/>
        </w:trPr>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40" w:type="dxa"/>
            <w:vAlign w:val="bottom"/>
          </w:tcPr>
          <w:p>
            <w:pPr>
              <w:jc w:val="right"/>
              <w:ind w:right="79"/>
              <w:spacing w:after="0"/>
              <w:rPr>
                <w:sz w:val="20"/>
                <w:szCs w:val="20"/>
                <w:color w:val="auto"/>
              </w:rPr>
            </w:pPr>
            <w:r>
              <w:rPr>
                <w:rFonts w:ascii="Arial" w:cs="Arial" w:eastAsia="Arial" w:hAnsi="Arial"/>
                <w:sz w:val="16"/>
                <w:szCs w:val="16"/>
                <w:color w:val="auto"/>
              </w:rPr>
              <w:t>7,000</w:t>
            </w:r>
          </w:p>
        </w:tc>
        <w:tc>
          <w:tcPr>
            <w:tcW w:w="440" w:type="dxa"/>
            <w:vAlign w:val="bottom"/>
          </w:tcPr>
          <w:p>
            <w:pPr>
              <w:spacing w:after="0"/>
              <w:rPr>
                <w:sz w:val="24"/>
                <w:szCs w:val="24"/>
                <w:color w:val="auto"/>
              </w:rPr>
            </w:pPr>
          </w:p>
        </w:tc>
        <w:tc>
          <w:tcPr>
            <w:tcW w:w="980" w:type="dxa"/>
            <w:vAlign w:val="bottom"/>
          </w:tcPr>
          <w:p>
            <w:pPr>
              <w:jc w:val="right"/>
              <w:ind w:right="39"/>
              <w:spacing w:after="0"/>
              <w:rPr>
                <w:sz w:val="20"/>
                <w:szCs w:val="20"/>
                <w:color w:val="auto"/>
              </w:rPr>
            </w:pPr>
            <w:r>
              <w:rPr>
                <w:rFonts w:ascii="Arial" w:cs="Arial" w:eastAsia="Arial" w:hAnsi="Arial"/>
                <w:sz w:val="16"/>
                <w:szCs w:val="16"/>
                <w:color w:val="auto"/>
              </w:rPr>
              <w:t>—</w:t>
            </w:r>
          </w:p>
        </w:tc>
      </w:tr>
      <w:tr>
        <w:trPr>
          <w:trHeight w:val="189"/>
        </w:trPr>
        <w:tc>
          <w:tcPr>
            <w:tcW w:w="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(9)</w:t>
            </w:r>
          </w:p>
        </w:tc>
        <w:tc>
          <w:tcPr>
            <w:tcW w:w="44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(1,235)</w:t>
            </w:r>
          </w:p>
        </w:tc>
      </w:tr>
      <w:tr>
        <w:trPr>
          <w:trHeight w:val="189"/>
        </w:trPr>
        <w:tc>
          <w:tcPr>
            <w:tcW w:w="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(2,921)</w:t>
            </w:r>
          </w:p>
        </w:tc>
        <w:tc>
          <w:tcPr>
            <w:tcW w:w="44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(4)</w:t>
            </w:r>
          </w:p>
        </w:tc>
      </w:tr>
      <w:tr>
        <w:trPr>
          <w:trHeight w:val="189"/>
        </w:trPr>
        <w:tc>
          <w:tcPr>
            <w:tcW w:w="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40" w:type="dxa"/>
            <w:vAlign w:val="bottom"/>
          </w:tcPr>
          <w:p>
            <w:pPr>
              <w:jc w:val="right"/>
              <w:ind w:right="79"/>
              <w:spacing w:after="0"/>
              <w:rPr>
                <w:sz w:val="20"/>
                <w:szCs w:val="20"/>
                <w:color w:val="auto"/>
              </w:rPr>
            </w:pPr>
            <w:r>
              <w:rPr>
                <w:rFonts w:ascii="Arial" w:cs="Arial" w:eastAsia="Arial" w:hAnsi="Arial"/>
                <w:sz w:val="16"/>
                <w:szCs w:val="16"/>
                <w:color w:val="auto"/>
              </w:rPr>
              <w:t>4,377</w:t>
            </w:r>
          </w:p>
        </w:tc>
        <w:tc>
          <w:tcPr>
            <w:tcW w:w="44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(10,874)</w:t>
            </w:r>
          </w:p>
        </w:tc>
      </w:tr>
      <w:tr>
        <w:trPr>
          <w:trHeight w:val="189"/>
        </w:trPr>
        <w:tc>
          <w:tcPr>
            <w:tcW w:w="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(3,712)</w:t>
            </w:r>
          </w:p>
        </w:tc>
        <w:tc>
          <w:tcPr>
            <w:tcW w:w="44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(2,606)</w:t>
            </w:r>
          </w:p>
        </w:tc>
      </w:tr>
      <w:tr>
        <w:trPr>
          <w:trHeight w:val="189"/>
        </w:trPr>
        <w:tc>
          <w:tcPr>
            <w:tcW w:w="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40" w:type="dxa"/>
            <w:vAlign w:val="bottom"/>
          </w:tcPr>
          <w:p>
            <w:pPr>
              <w:jc w:val="right"/>
              <w:ind w:right="79"/>
              <w:spacing w:after="0"/>
              <w:rPr>
                <w:sz w:val="20"/>
                <w:szCs w:val="20"/>
                <w:color w:val="auto"/>
              </w:rPr>
            </w:pPr>
            <w:r>
              <w:rPr>
                <w:rFonts w:ascii="Arial" w:cs="Arial" w:eastAsia="Arial" w:hAnsi="Arial"/>
                <w:sz w:val="16"/>
                <w:szCs w:val="16"/>
                <w:color w:val="auto"/>
              </w:rPr>
              <w:t>49</w:t>
            </w:r>
          </w:p>
        </w:tc>
        <w:tc>
          <w:tcPr>
            <w:tcW w:w="440" w:type="dxa"/>
            <w:vAlign w:val="bottom"/>
          </w:tcPr>
          <w:p>
            <w:pPr>
              <w:spacing w:after="0"/>
              <w:rPr>
                <w:sz w:val="16"/>
                <w:szCs w:val="16"/>
                <w:color w:val="auto"/>
              </w:rPr>
            </w:pPr>
          </w:p>
        </w:tc>
        <w:tc>
          <w:tcPr>
            <w:tcW w:w="980" w:type="dxa"/>
            <w:vAlign w:val="bottom"/>
          </w:tcPr>
          <w:p>
            <w:pPr>
              <w:jc w:val="right"/>
              <w:ind w:right="39"/>
              <w:spacing w:after="0"/>
              <w:rPr>
                <w:sz w:val="20"/>
                <w:szCs w:val="20"/>
                <w:color w:val="auto"/>
              </w:rPr>
            </w:pPr>
            <w:r>
              <w:rPr>
                <w:rFonts w:ascii="Arial" w:cs="Arial" w:eastAsia="Arial" w:hAnsi="Arial"/>
                <w:sz w:val="16"/>
                <w:szCs w:val="16"/>
                <w:color w:val="auto"/>
              </w:rPr>
              <w:t>307</w:t>
            </w:r>
          </w:p>
        </w:tc>
      </w:tr>
      <w:tr>
        <w:trPr>
          <w:trHeight w:val="189"/>
        </w:trPr>
        <w:tc>
          <w:tcPr>
            <w:tcW w:w="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(434)</w:t>
            </w:r>
          </w:p>
        </w:tc>
        <w:tc>
          <w:tcPr>
            <w:tcW w:w="44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(283)</w:t>
            </w:r>
          </w:p>
        </w:tc>
      </w:tr>
      <w:tr>
        <w:trPr>
          <w:trHeight w:val="203"/>
        </w:trPr>
        <w:tc>
          <w:tcPr>
            <w:tcW w:w="2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(4,209)</w:t>
            </w:r>
          </w:p>
        </w:tc>
        <w:tc>
          <w:tcPr>
            <w:tcW w:w="44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(83,940)</w:t>
            </w:r>
          </w:p>
        </w:tc>
      </w:tr>
      <w:tr>
        <w:trPr>
          <w:trHeight w:val="183"/>
        </w:trPr>
        <w:tc>
          <w:tcPr>
            <w:tcW w:w="20" w:type="dxa"/>
            <w:vAlign w:val="bottom"/>
          </w:tcPr>
          <w:p>
            <w:pPr>
              <w:spacing w:after="0"/>
              <w:rPr>
                <w:sz w:val="15"/>
                <w:szCs w:val="15"/>
                <w:color w:val="auto"/>
              </w:rPr>
            </w:pPr>
          </w:p>
        </w:tc>
        <w:tc>
          <w:tcPr>
            <w:tcW w:w="320" w:type="dxa"/>
            <w:vAlign w:val="bottom"/>
            <w:tcBorders>
              <w:bottom w:val="single" w:sz="8" w:color="auto"/>
            </w:tcBorders>
          </w:tcPr>
          <w:p>
            <w:pPr>
              <w:jc w:val="right"/>
              <w:ind w:right="164"/>
              <w:spacing w:after="0"/>
              <w:rPr>
                <w:sz w:val="20"/>
                <w:szCs w:val="20"/>
                <w:color w:val="auto"/>
              </w:rPr>
            </w:pPr>
            <w:r>
              <w:rPr>
                <w:rFonts w:ascii="Arial" w:cs="Arial" w:eastAsia="Arial" w:hAnsi="Arial"/>
                <w:sz w:val="15"/>
                <w:szCs w:val="15"/>
                <w:color w:val="auto"/>
                <w:w w:val="71"/>
              </w:rPr>
              <w:t>$</w:t>
            </w:r>
          </w:p>
        </w:tc>
        <w:tc>
          <w:tcPr>
            <w:tcW w:w="1040" w:type="dxa"/>
            <w:vAlign w:val="bottom"/>
            <w:tcBorders>
              <w:bottom w:val="single" w:sz="8" w:color="auto"/>
            </w:tcBorders>
          </w:tcPr>
          <w:p>
            <w:pPr>
              <w:jc w:val="right"/>
              <w:ind w:right="19"/>
              <w:spacing w:after="0" w:line="183" w:lineRule="exact"/>
              <w:rPr>
                <w:sz w:val="20"/>
                <w:szCs w:val="20"/>
                <w:color w:val="auto"/>
              </w:rPr>
            </w:pPr>
            <w:r>
              <w:rPr>
                <w:rFonts w:ascii="Arial" w:cs="Arial" w:eastAsia="Arial" w:hAnsi="Arial"/>
                <w:sz w:val="16"/>
                <w:szCs w:val="16"/>
                <w:color w:val="auto"/>
              </w:rPr>
              <w:t>(37,369)</w:t>
            </w:r>
          </w:p>
        </w:tc>
        <w:tc>
          <w:tcPr>
            <w:tcW w:w="440" w:type="dxa"/>
            <w:vAlign w:val="bottom"/>
            <w:tcBorders>
              <w:bottom w:val="single" w:sz="8" w:color="auto"/>
            </w:tcBorders>
          </w:tcPr>
          <w:p>
            <w:pPr>
              <w:jc w:val="right"/>
              <w:ind w:right="159"/>
              <w:spacing w:after="0" w:line="183" w:lineRule="exact"/>
              <w:rPr>
                <w:sz w:val="20"/>
                <w:szCs w:val="20"/>
                <w:color w:val="auto"/>
              </w:rPr>
            </w:pPr>
            <w:r>
              <w:rPr>
                <w:rFonts w:ascii="Arial" w:cs="Arial" w:eastAsia="Arial" w:hAnsi="Arial"/>
                <w:sz w:val="16"/>
                <w:szCs w:val="16"/>
                <w:color w:val="auto"/>
              </w:rPr>
              <w:t>$</w:t>
            </w:r>
          </w:p>
        </w:tc>
        <w:tc>
          <w:tcPr>
            <w:tcW w:w="98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(45,492)</w:t>
            </w:r>
          </w:p>
        </w:tc>
      </w:tr>
      <w:tr>
        <w:trPr>
          <w:trHeight w:val="357"/>
        </w:trPr>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(1,868)</w:t>
            </w:r>
          </w:p>
        </w:tc>
        <w:tc>
          <w:tcPr>
            <w:tcW w:w="44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(1,587)</w:t>
            </w:r>
          </w:p>
        </w:tc>
      </w:tr>
      <w:tr>
        <w:trPr>
          <w:trHeight w:val="189"/>
        </w:trPr>
        <w:tc>
          <w:tcPr>
            <w:tcW w:w="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(331,997)</w:t>
            </w:r>
          </w:p>
        </w:tc>
        <w:tc>
          <w:tcPr>
            <w:tcW w:w="44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(138,014)</w:t>
            </w:r>
          </w:p>
        </w:tc>
      </w:tr>
      <w:tr>
        <w:trPr>
          <w:trHeight w:val="203"/>
        </w:trPr>
        <w:tc>
          <w:tcPr>
            <w:tcW w:w="2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72,868</w:t>
            </w:r>
          </w:p>
        </w:tc>
        <w:tc>
          <w:tcPr>
            <w:tcW w:w="44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39,372</w:t>
            </w:r>
          </w:p>
        </w:tc>
      </w:tr>
      <w:tr>
        <w:trPr>
          <w:trHeight w:val="183"/>
        </w:trPr>
        <w:tc>
          <w:tcPr>
            <w:tcW w:w="20" w:type="dxa"/>
            <w:vAlign w:val="bottom"/>
          </w:tcPr>
          <w:p>
            <w:pPr>
              <w:spacing w:after="0"/>
              <w:rPr>
                <w:sz w:val="15"/>
                <w:szCs w:val="15"/>
                <w:color w:val="auto"/>
              </w:rPr>
            </w:pPr>
          </w:p>
        </w:tc>
        <w:tc>
          <w:tcPr>
            <w:tcW w:w="320" w:type="dxa"/>
            <w:vAlign w:val="bottom"/>
            <w:tcBorders>
              <w:bottom w:val="single" w:sz="8" w:color="auto"/>
            </w:tcBorders>
          </w:tcPr>
          <w:p>
            <w:pPr>
              <w:jc w:val="right"/>
              <w:ind w:right="164"/>
              <w:spacing w:after="0"/>
              <w:rPr>
                <w:sz w:val="20"/>
                <w:szCs w:val="20"/>
                <w:color w:val="auto"/>
              </w:rPr>
            </w:pPr>
            <w:r>
              <w:rPr>
                <w:rFonts w:ascii="Arial" w:cs="Arial" w:eastAsia="Arial" w:hAnsi="Arial"/>
                <w:sz w:val="15"/>
                <w:szCs w:val="15"/>
                <w:color w:val="auto"/>
                <w:w w:val="71"/>
              </w:rPr>
              <w:t>$</w:t>
            </w:r>
          </w:p>
        </w:tc>
        <w:tc>
          <w:tcPr>
            <w:tcW w:w="1040" w:type="dxa"/>
            <w:vAlign w:val="bottom"/>
            <w:tcBorders>
              <w:bottom w:val="single" w:sz="8" w:color="auto"/>
            </w:tcBorders>
          </w:tcPr>
          <w:p>
            <w:pPr>
              <w:jc w:val="right"/>
              <w:ind w:right="19"/>
              <w:spacing w:after="0" w:line="183" w:lineRule="exact"/>
              <w:rPr>
                <w:sz w:val="20"/>
                <w:szCs w:val="20"/>
                <w:color w:val="auto"/>
              </w:rPr>
            </w:pPr>
            <w:r>
              <w:rPr>
                <w:rFonts w:ascii="Arial" w:cs="Arial" w:eastAsia="Arial" w:hAnsi="Arial"/>
                <w:sz w:val="16"/>
                <w:szCs w:val="16"/>
                <w:color w:val="auto"/>
              </w:rPr>
              <w:t>(260,997)</w:t>
            </w:r>
          </w:p>
        </w:tc>
        <w:tc>
          <w:tcPr>
            <w:tcW w:w="440" w:type="dxa"/>
            <w:vAlign w:val="bottom"/>
            <w:tcBorders>
              <w:bottom w:val="single" w:sz="8" w:color="auto"/>
            </w:tcBorders>
          </w:tcPr>
          <w:p>
            <w:pPr>
              <w:jc w:val="right"/>
              <w:ind w:right="159"/>
              <w:spacing w:after="0" w:line="183" w:lineRule="exact"/>
              <w:rPr>
                <w:sz w:val="20"/>
                <w:szCs w:val="20"/>
                <w:color w:val="auto"/>
              </w:rPr>
            </w:pPr>
            <w:r>
              <w:rPr>
                <w:rFonts w:ascii="Arial" w:cs="Arial" w:eastAsia="Arial" w:hAnsi="Arial"/>
                <w:sz w:val="16"/>
                <w:szCs w:val="16"/>
                <w:color w:val="auto"/>
              </w:rPr>
              <w:t>$</w:t>
            </w:r>
          </w:p>
        </w:tc>
        <w:tc>
          <w:tcPr>
            <w:tcW w:w="98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(100,229)</w:t>
            </w:r>
          </w:p>
        </w:tc>
      </w:tr>
      <w:tr>
        <w:trPr>
          <w:trHeight w:val="357"/>
        </w:trPr>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40" w:type="dxa"/>
            <w:vAlign w:val="bottom"/>
          </w:tcPr>
          <w:p>
            <w:pPr>
              <w:jc w:val="right"/>
              <w:ind w:right="79"/>
              <w:spacing w:after="0"/>
              <w:rPr>
                <w:sz w:val="20"/>
                <w:szCs w:val="20"/>
                <w:color w:val="auto"/>
              </w:rPr>
            </w:pPr>
            <w:r>
              <w:rPr>
                <w:rFonts w:ascii="Arial" w:cs="Arial" w:eastAsia="Arial" w:hAnsi="Arial"/>
                <w:sz w:val="16"/>
                <w:szCs w:val="16"/>
                <w:color w:val="auto"/>
              </w:rPr>
              <w:t>4,522</w:t>
            </w:r>
          </w:p>
        </w:tc>
        <w:tc>
          <w:tcPr>
            <w:tcW w:w="440" w:type="dxa"/>
            <w:vAlign w:val="bottom"/>
          </w:tcPr>
          <w:p>
            <w:pPr>
              <w:spacing w:after="0"/>
              <w:rPr>
                <w:sz w:val="24"/>
                <w:szCs w:val="24"/>
                <w:color w:val="auto"/>
              </w:rPr>
            </w:pPr>
          </w:p>
        </w:tc>
        <w:tc>
          <w:tcPr>
            <w:tcW w:w="980" w:type="dxa"/>
            <w:vAlign w:val="bottom"/>
          </w:tcPr>
          <w:p>
            <w:pPr>
              <w:jc w:val="right"/>
              <w:ind w:right="39"/>
              <w:spacing w:after="0"/>
              <w:rPr>
                <w:sz w:val="20"/>
                <w:szCs w:val="20"/>
                <w:color w:val="auto"/>
              </w:rPr>
            </w:pPr>
            <w:r>
              <w:rPr>
                <w:rFonts w:ascii="Arial" w:cs="Arial" w:eastAsia="Arial" w:hAnsi="Arial"/>
                <w:sz w:val="16"/>
                <w:szCs w:val="16"/>
                <w:color w:val="auto"/>
              </w:rPr>
              <w:t>14</w:t>
            </w:r>
          </w:p>
        </w:tc>
      </w:tr>
      <w:tr>
        <w:trPr>
          <w:trHeight w:val="189"/>
        </w:trPr>
        <w:tc>
          <w:tcPr>
            <w:tcW w:w="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40" w:type="dxa"/>
            <w:vAlign w:val="bottom"/>
          </w:tcPr>
          <w:p>
            <w:pPr>
              <w:jc w:val="right"/>
              <w:ind w:right="79"/>
              <w:spacing w:after="0"/>
              <w:rPr>
                <w:sz w:val="20"/>
                <w:szCs w:val="20"/>
                <w:color w:val="auto"/>
              </w:rPr>
            </w:pPr>
            <w:r>
              <w:rPr>
                <w:rFonts w:ascii="Arial" w:cs="Arial" w:eastAsia="Arial" w:hAnsi="Arial"/>
                <w:sz w:val="16"/>
                <w:szCs w:val="16"/>
                <w:color w:val="auto"/>
              </w:rPr>
              <w:t>324,300</w:t>
            </w:r>
          </w:p>
        </w:tc>
        <w:tc>
          <w:tcPr>
            <w:tcW w:w="440" w:type="dxa"/>
            <w:vAlign w:val="bottom"/>
          </w:tcPr>
          <w:p>
            <w:pPr>
              <w:spacing w:after="0"/>
              <w:rPr>
                <w:sz w:val="16"/>
                <w:szCs w:val="16"/>
                <w:color w:val="auto"/>
              </w:rPr>
            </w:pPr>
          </w:p>
        </w:tc>
        <w:tc>
          <w:tcPr>
            <w:tcW w:w="980" w:type="dxa"/>
            <w:vAlign w:val="bottom"/>
          </w:tcPr>
          <w:p>
            <w:pPr>
              <w:jc w:val="right"/>
              <w:ind w:right="39"/>
              <w:spacing w:after="0"/>
              <w:rPr>
                <w:sz w:val="20"/>
                <w:szCs w:val="20"/>
                <w:color w:val="auto"/>
              </w:rPr>
            </w:pPr>
            <w:r>
              <w:rPr>
                <w:rFonts w:ascii="Arial" w:cs="Arial" w:eastAsia="Arial" w:hAnsi="Arial"/>
                <w:sz w:val="16"/>
                <w:szCs w:val="16"/>
                <w:color w:val="auto"/>
              </w:rPr>
              <w:t>—</w:t>
            </w:r>
          </w:p>
        </w:tc>
      </w:tr>
      <w:tr>
        <w:trPr>
          <w:trHeight w:val="203"/>
        </w:trPr>
        <w:tc>
          <w:tcPr>
            <w:tcW w:w="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(487)</w:t>
            </w:r>
          </w:p>
        </w:tc>
        <w:tc>
          <w:tcPr>
            <w:tcW w:w="440" w:type="dxa"/>
            <w:vAlign w:val="bottom"/>
          </w:tcPr>
          <w:p>
            <w:pPr>
              <w:spacing w:after="0"/>
              <w:rPr>
                <w:sz w:val="17"/>
                <w:szCs w:val="17"/>
                <w:color w:val="auto"/>
              </w:rPr>
            </w:pPr>
          </w:p>
        </w:tc>
        <w:tc>
          <w:tcPr>
            <w:tcW w:w="980" w:type="dxa"/>
            <w:vAlign w:val="bottom"/>
          </w:tcPr>
          <w:p>
            <w:pPr>
              <w:jc w:val="right"/>
              <w:ind w:right="39"/>
              <w:spacing w:after="0"/>
              <w:rPr>
                <w:sz w:val="20"/>
                <w:szCs w:val="20"/>
                <w:color w:val="auto"/>
              </w:rPr>
            </w:pPr>
            <w:r>
              <w:rPr>
                <w:rFonts w:ascii="Arial" w:cs="Arial" w:eastAsia="Arial" w:hAnsi="Arial"/>
                <w:sz w:val="16"/>
                <w:szCs w:val="16"/>
                <w:color w:val="auto"/>
              </w:rPr>
              <w:t>—</w:t>
            </w:r>
          </w:p>
        </w:tc>
      </w:tr>
    </w:tbl>
    <w:p>
      <w:pPr>
        <w:spacing w:after="0" w:line="20" w:lineRule="exact"/>
        <w:rPr>
          <w:sz w:val="20"/>
          <w:szCs w:val="20"/>
          <w:color w:val="auto"/>
        </w:rPr>
      </w:pPr>
    </w:p>
    <w:p>
      <w:pPr>
        <w:sectPr>
          <w:pgSz w:w="11900" w:h="16838" w:orient="portrait"/>
          <w:cols w:equalWidth="0" w:num="2">
            <w:col w:w="7720" w:space="720"/>
            <w:col w:w="2800"/>
          </w:cols>
          <w:pgMar w:left="320" w:top="1000" w:right="339" w:bottom="1440" w:gutter="0" w:footer="0" w:header="0"/>
          <w:type w:val="continuous"/>
        </w:sectPr>
      </w:pPr>
    </w:p>
    <w:tbl>
      <w:tblPr>
        <w:tblLayout w:type="fixed"/>
        <w:tblInd w:w="0" w:type="dxa"/>
        <w:tblCellMar>
          <w:top w:w="0" w:type="dxa"/>
          <w:left w:w="0" w:type="dxa"/>
          <w:bottom w:w="0" w:type="dxa"/>
          <w:right w:w="0" w:type="dxa"/>
        </w:tblCellMar>
      </w:tblPr>
      <w:tr>
        <w:trPr>
          <w:trHeight w:val="20"/>
        </w:trPr>
        <w:tc>
          <w:tcPr>
            <w:tcW w:w="722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r>
      <w:tr>
        <w:trPr>
          <w:trHeight w:val="163"/>
        </w:trPr>
        <w:tc>
          <w:tcPr>
            <w:tcW w:w="7220" w:type="dxa"/>
            <w:vAlign w:val="bottom"/>
            <w:tcBorders>
              <w:bottom w:val="single" w:sz="8" w:color="CFF0FC"/>
            </w:tcBorders>
            <w:shd w:val="clear" w:color="auto" w:fill="CFF0FC"/>
          </w:tcPr>
          <w:p>
            <w:pPr>
              <w:ind w:left="460"/>
              <w:spacing w:after="0" w:line="162" w:lineRule="exact"/>
              <w:rPr>
                <w:sz w:val="20"/>
                <w:szCs w:val="20"/>
                <w:color w:val="auto"/>
              </w:rPr>
            </w:pPr>
            <w:r>
              <w:rPr>
                <w:rFonts w:ascii="Arial" w:cs="Arial" w:eastAsia="Arial" w:hAnsi="Arial"/>
                <w:sz w:val="16"/>
                <w:szCs w:val="16"/>
                <w:color w:val="auto"/>
              </w:rPr>
              <w:t>Net cash provided by financing activities</w:t>
            </w:r>
          </w:p>
        </w:tc>
        <w:tc>
          <w:tcPr>
            <w:tcW w:w="1220" w:type="dxa"/>
            <w:vAlign w:val="bottom"/>
            <w:tcBorders>
              <w:bottom w:val="single" w:sz="8" w:color="CFF0FC"/>
            </w:tcBorders>
            <w:shd w:val="clear" w:color="auto" w:fill="CFF0FC"/>
          </w:tcPr>
          <w:p>
            <w:pPr>
              <w:spacing w:after="0"/>
              <w:rPr>
                <w:sz w:val="14"/>
                <w:szCs w:val="14"/>
                <w:color w:val="auto"/>
              </w:rPr>
            </w:pPr>
          </w:p>
        </w:tc>
        <w:tc>
          <w:tcPr>
            <w:tcW w:w="360" w:type="dxa"/>
            <w:vAlign w:val="bottom"/>
            <w:tcBorders>
              <w:bottom w:val="single" w:sz="8" w:color="auto"/>
            </w:tcBorders>
            <w:shd w:val="clear" w:color="auto" w:fill="CFF0FC"/>
          </w:tcPr>
          <w:p>
            <w:pPr>
              <w:jc w:val="right"/>
              <w:ind w:right="179"/>
              <w:spacing w:after="0" w:line="162" w:lineRule="exact"/>
              <w:rPr>
                <w:sz w:val="20"/>
                <w:szCs w:val="20"/>
                <w:color w:val="auto"/>
              </w:rPr>
            </w:pPr>
            <w:r>
              <w:rPr>
                <w:rFonts w:ascii="Arial" w:cs="Arial" w:eastAsia="Arial" w:hAnsi="Arial"/>
                <w:sz w:val="16"/>
                <w:szCs w:val="16"/>
                <w:color w:val="auto"/>
                <w:w w:val="89"/>
              </w:rPr>
              <w:t>$</w:t>
            </w:r>
          </w:p>
        </w:tc>
        <w:tc>
          <w:tcPr>
            <w:tcW w:w="1000" w:type="dxa"/>
            <w:vAlign w:val="bottom"/>
            <w:tcBorders>
              <w:bottom w:val="single" w:sz="8" w:color="auto"/>
            </w:tcBorders>
            <w:shd w:val="clear" w:color="auto" w:fill="CFF0FC"/>
          </w:tcPr>
          <w:p>
            <w:pPr>
              <w:jc w:val="right"/>
              <w:ind w:right="59"/>
              <w:spacing w:after="0" w:line="162" w:lineRule="exact"/>
              <w:rPr>
                <w:sz w:val="20"/>
                <w:szCs w:val="20"/>
                <w:color w:val="auto"/>
              </w:rPr>
            </w:pPr>
            <w:r>
              <w:rPr>
                <w:rFonts w:ascii="Arial" w:cs="Arial" w:eastAsia="Arial" w:hAnsi="Arial"/>
                <w:sz w:val="16"/>
                <w:szCs w:val="16"/>
                <w:color w:val="auto"/>
              </w:rPr>
              <w:t>328,335</w:t>
            </w:r>
          </w:p>
        </w:tc>
        <w:tc>
          <w:tcPr>
            <w:tcW w:w="460" w:type="dxa"/>
            <w:vAlign w:val="bottom"/>
            <w:tcBorders>
              <w:bottom w:val="single" w:sz="8" w:color="auto"/>
            </w:tcBorders>
            <w:gridSpan w:val="2"/>
            <w:shd w:val="clear" w:color="auto" w:fill="CFF0FC"/>
          </w:tcPr>
          <w:p>
            <w:pPr>
              <w:jc w:val="right"/>
              <w:ind w:right="240"/>
              <w:spacing w:after="0" w:line="162" w:lineRule="exact"/>
              <w:rPr>
                <w:sz w:val="20"/>
                <w:szCs w:val="20"/>
                <w:color w:val="auto"/>
              </w:rPr>
            </w:pPr>
            <w:r>
              <w:rPr>
                <w:rFonts w:ascii="Arial" w:cs="Arial" w:eastAsia="Arial" w:hAnsi="Arial"/>
                <w:sz w:val="16"/>
                <w:szCs w:val="16"/>
                <w:color w:val="auto"/>
              </w:rPr>
              <w:t>$</w:t>
            </w:r>
          </w:p>
        </w:tc>
        <w:tc>
          <w:tcPr>
            <w:tcW w:w="980" w:type="dxa"/>
            <w:vAlign w:val="bottom"/>
            <w:tcBorders>
              <w:bottom w:val="single" w:sz="8" w:color="auto"/>
            </w:tcBorders>
            <w:shd w:val="clear" w:color="auto" w:fill="CFF0FC"/>
          </w:tcPr>
          <w:p>
            <w:pPr>
              <w:jc w:val="right"/>
              <w:ind w:right="39"/>
              <w:spacing w:after="0" w:line="162" w:lineRule="exact"/>
              <w:rPr>
                <w:sz w:val="20"/>
                <w:szCs w:val="20"/>
                <w:color w:val="auto"/>
              </w:rPr>
            </w:pPr>
            <w:r>
              <w:rPr>
                <w:rFonts w:ascii="Arial" w:cs="Arial" w:eastAsia="Arial" w:hAnsi="Arial"/>
                <w:sz w:val="16"/>
                <w:szCs w:val="16"/>
                <w:color w:val="auto"/>
              </w:rPr>
              <w:t>14</w:t>
            </w:r>
          </w:p>
        </w:tc>
      </w:tr>
      <w:tr>
        <w:trPr>
          <w:trHeight w:val="183"/>
        </w:trPr>
        <w:tc>
          <w:tcPr>
            <w:tcW w:w="7220" w:type="dxa"/>
            <w:vAlign w:val="bottom"/>
          </w:tcPr>
          <w:p>
            <w:pPr>
              <w:spacing w:after="0" w:line="183" w:lineRule="exact"/>
              <w:rPr>
                <w:sz w:val="20"/>
                <w:szCs w:val="20"/>
                <w:color w:val="auto"/>
              </w:rPr>
            </w:pPr>
            <w:r>
              <w:rPr>
                <w:rFonts w:ascii="Arial" w:cs="Arial" w:eastAsia="Arial" w:hAnsi="Arial"/>
                <w:sz w:val="16"/>
                <w:szCs w:val="16"/>
                <w:color w:val="auto"/>
              </w:rPr>
              <w:t>Net increase (decrease) in cash, cash equivalents and restricted cash</w:t>
            </w:r>
          </w:p>
        </w:tc>
        <w:tc>
          <w:tcPr>
            <w:tcW w:w="1580" w:type="dxa"/>
            <w:vAlign w:val="bottom"/>
            <w:gridSpan w:val="2"/>
          </w:tcPr>
          <w:p>
            <w:pPr>
              <w:jc w:val="right"/>
              <w:ind w:right="179"/>
              <w:spacing w:after="0" w:line="183" w:lineRule="exact"/>
              <w:rPr>
                <w:sz w:val="20"/>
                <w:szCs w:val="20"/>
                <w:color w:val="auto"/>
              </w:rPr>
            </w:pPr>
            <w:r>
              <w:rPr>
                <w:rFonts w:ascii="Arial" w:cs="Arial" w:eastAsia="Arial" w:hAnsi="Arial"/>
                <w:sz w:val="16"/>
                <w:szCs w:val="16"/>
                <w:color w:val="auto"/>
              </w:rPr>
              <w:t>$</w:t>
            </w:r>
          </w:p>
        </w:tc>
        <w:tc>
          <w:tcPr>
            <w:tcW w:w="1000" w:type="dxa"/>
            <w:vAlign w:val="bottom"/>
          </w:tcPr>
          <w:p>
            <w:pPr>
              <w:jc w:val="right"/>
              <w:ind w:right="59"/>
              <w:spacing w:after="0" w:line="183" w:lineRule="exact"/>
              <w:rPr>
                <w:sz w:val="20"/>
                <w:szCs w:val="20"/>
                <w:color w:val="auto"/>
              </w:rPr>
            </w:pPr>
            <w:r>
              <w:rPr>
                <w:rFonts w:ascii="Arial" w:cs="Arial" w:eastAsia="Arial" w:hAnsi="Arial"/>
                <w:sz w:val="16"/>
                <w:szCs w:val="16"/>
                <w:color w:val="auto"/>
              </w:rPr>
              <w:t>29,969</w:t>
            </w:r>
          </w:p>
        </w:tc>
        <w:tc>
          <w:tcPr>
            <w:tcW w:w="460" w:type="dxa"/>
            <w:vAlign w:val="bottom"/>
            <w:gridSpan w:val="2"/>
          </w:tcPr>
          <w:p>
            <w:pPr>
              <w:jc w:val="right"/>
              <w:ind w:right="240"/>
              <w:spacing w:after="0" w:line="183" w:lineRule="exact"/>
              <w:rPr>
                <w:sz w:val="20"/>
                <w:szCs w:val="20"/>
                <w:color w:val="auto"/>
              </w:rPr>
            </w:pPr>
            <w:r>
              <w:rPr>
                <w:rFonts w:ascii="Arial" w:cs="Arial" w:eastAsia="Arial" w:hAnsi="Arial"/>
                <w:sz w:val="16"/>
                <w:szCs w:val="16"/>
                <w:color w:val="auto"/>
              </w:rPr>
              <w:t>$</w:t>
            </w:r>
          </w:p>
        </w:tc>
        <w:tc>
          <w:tcPr>
            <w:tcW w:w="980" w:type="dxa"/>
            <w:vAlign w:val="bottom"/>
          </w:tcPr>
          <w:p>
            <w:pPr>
              <w:jc w:val="right"/>
              <w:spacing w:after="0" w:line="183" w:lineRule="exact"/>
              <w:rPr>
                <w:sz w:val="20"/>
                <w:szCs w:val="20"/>
                <w:color w:val="auto"/>
              </w:rPr>
            </w:pPr>
            <w:r>
              <w:rPr>
                <w:rFonts w:ascii="Arial" w:cs="Arial" w:eastAsia="Arial" w:hAnsi="Arial"/>
                <w:sz w:val="16"/>
                <w:szCs w:val="16"/>
                <w:color w:val="auto"/>
              </w:rPr>
              <w:t>(145,707)</w:t>
            </w:r>
          </w:p>
        </w:tc>
      </w:tr>
      <w:tr>
        <w:trPr>
          <w:trHeight w:val="189"/>
        </w:trPr>
        <w:tc>
          <w:tcPr>
            <w:tcW w:w="722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6"/>
                <w:szCs w:val="16"/>
                <w:color w:val="auto"/>
              </w:rPr>
              <w:t>Cash, cash equivalents and restricted cash—beginning of period</w:t>
            </w:r>
          </w:p>
        </w:tc>
        <w:tc>
          <w:tcPr>
            <w:tcW w:w="1220" w:type="dxa"/>
            <w:vAlign w:val="bottom"/>
            <w:tcBorders>
              <w:bottom w:val="single" w:sz="8" w:color="CFF0FC"/>
            </w:tcBorders>
            <w:shd w:val="clear" w:color="auto" w:fill="CFF0FC"/>
          </w:tcPr>
          <w:p>
            <w:pPr>
              <w:spacing w:after="0"/>
              <w:rPr>
                <w:sz w:val="16"/>
                <w:szCs w:val="16"/>
                <w:color w:val="auto"/>
              </w:rPr>
            </w:pPr>
          </w:p>
        </w:tc>
        <w:tc>
          <w:tcPr>
            <w:tcW w:w="360" w:type="dxa"/>
            <w:vAlign w:val="bottom"/>
            <w:tcBorders>
              <w:bottom w:val="single" w:sz="8" w:color="auto"/>
            </w:tcBorders>
            <w:shd w:val="clear" w:color="auto" w:fill="CFF0FC"/>
          </w:tcPr>
          <w:p>
            <w:pPr>
              <w:spacing w:after="0"/>
              <w:rPr>
                <w:sz w:val="16"/>
                <w:szCs w:val="16"/>
                <w:color w:val="auto"/>
              </w:rPr>
            </w:pPr>
          </w:p>
        </w:tc>
        <w:tc>
          <w:tcPr>
            <w:tcW w:w="1000" w:type="dxa"/>
            <w:vAlign w:val="bottom"/>
            <w:tcBorders>
              <w:bottom w:val="single" w:sz="8" w:color="auto"/>
            </w:tcBorders>
            <w:shd w:val="clear" w:color="auto" w:fill="CFF0FC"/>
          </w:tcPr>
          <w:p>
            <w:pPr>
              <w:jc w:val="right"/>
              <w:ind w:right="59"/>
              <w:spacing w:after="0"/>
              <w:rPr>
                <w:sz w:val="20"/>
                <w:szCs w:val="20"/>
                <w:color w:val="auto"/>
              </w:rPr>
            </w:pPr>
            <w:r>
              <w:rPr>
                <w:rFonts w:ascii="Arial" w:cs="Arial" w:eastAsia="Arial" w:hAnsi="Arial"/>
                <w:sz w:val="16"/>
                <w:szCs w:val="16"/>
                <w:color w:val="auto"/>
              </w:rPr>
              <w:t>134,837</w:t>
            </w:r>
          </w:p>
        </w:tc>
        <w:tc>
          <w:tcPr>
            <w:tcW w:w="140" w:type="dxa"/>
            <w:vAlign w:val="bottom"/>
            <w:tcBorders>
              <w:bottom w:val="single" w:sz="8" w:color="auto"/>
            </w:tcBorders>
            <w:shd w:val="clear" w:color="auto" w:fill="CFF0FC"/>
          </w:tcPr>
          <w:p>
            <w:pPr>
              <w:spacing w:after="0"/>
              <w:rPr>
                <w:sz w:val="16"/>
                <w:szCs w:val="16"/>
                <w:color w:val="auto"/>
              </w:rPr>
            </w:pPr>
          </w:p>
        </w:tc>
        <w:tc>
          <w:tcPr>
            <w:tcW w:w="320" w:type="dxa"/>
            <w:vAlign w:val="bottom"/>
            <w:tcBorders>
              <w:bottom w:val="single" w:sz="8" w:color="auto"/>
            </w:tcBorders>
            <w:shd w:val="clear" w:color="auto" w:fill="CFF0FC"/>
          </w:tcPr>
          <w:p>
            <w:pPr>
              <w:spacing w:after="0"/>
              <w:rPr>
                <w:sz w:val="16"/>
                <w:szCs w:val="16"/>
                <w:color w:val="auto"/>
              </w:rPr>
            </w:pPr>
          </w:p>
        </w:tc>
        <w:tc>
          <w:tcPr>
            <w:tcW w:w="980" w:type="dxa"/>
            <w:vAlign w:val="bottom"/>
            <w:tcBorders>
              <w:bottom w:val="single" w:sz="8" w:color="auto"/>
            </w:tcBorders>
            <w:shd w:val="clear" w:color="auto" w:fill="CFF0FC"/>
          </w:tcPr>
          <w:p>
            <w:pPr>
              <w:jc w:val="right"/>
              <w:ind w:right="39"/>
              <w:spacing w:after="0"/>
              <w:rPr>
                <w:sz w:val="20"/>
                <w:szCs w:val="20"/>
                <w:color w:val="auto"/>
              </w:rPr>
            </w:pPr>
            <w:r>
              <w:rPr>
                <w:rFonts w:ascii="Arial" w:cs="Arial" w:eastAsia="Arial" w:hAnsi="Arial"/>
                <w:sz w:val="16"/>
                <w:szCs w:val="16"/>
                <w:color w:val="auto"/>
              </w:rPr>
              <w:t>229,117</w:t>
            </w:r>
          </w:p>
        </w:tc>
      </w:tr>
      <w:tr>
        <w:trPr>
          <w:trHeight w:val="183"/>
        </w:trPr>
        <w:tc>
          <w:tcPr>
            <w:tcW w:w="7220" w:type="dxa"/>
            <w:vAlign w:val="bottom"/>
          </w:tcPr>
          <w:p>
            <w:pPr>
              <w:spacing w:after="0" w:line="183" w:lineRule="exact"/>
              <w:rPr>
                <w:sz w:val="20"/>
                <w:szCs w:val="20"/>
                <w:color w:val="auto"/>
              </w:rPr>
            </w:pPr>
            <w:r>
              <w:rPr>
                <w:rFonts w:ascii="Arial" w:cs="Arial" w:eastAsia="Arial" w:hAnsi="Arial"/>
                <w:sz w:val="16"/>
                <w:szCs w:val="16"/>
                <w:color w:val="auto"/>
              </w:rPr>
              <w:t>Cash, cash equivalents and restricted cash—end of period</w:t>
            </w:r>
          </w:p>
        </w:tc>
        <w:tc>
          <w:tcPr>
            <w:tcW w:w="1580" w:type="dxa"/>
            <w:vAlign w:val="bottom"/>
            <w:gridSpan w:val="2"/>
          </w:tcPr>
          <w:p>
            <w:pPr>
              <w:jc w:val="right"/>
              <w:ind w:right="179"/>
              <w:spacing w:after="0" w:line="183" w:lineRule="exact"/>
              <w:rPr>
                <w:sz w:val="20"/>
                <w:szCs w:val="20"/>
                <w:color w:val="auto"/>
              </w:rPr>
            </w:pPr>
            <w:r>
              <w:rPr>
                <w:rFonts w:ascii="Arial" w:cs="Arial" w:eastAsia="Arial" w:hAnsi="Arial"/>
                <w:sz w:val="16"/>
                <w:szCs w:val="16"/>
                <w:color w:val="auto"/>
              </w:rPr>
              <w:t>$</w:t>
            </w:r>
          </w:p>
        </w:tc>
        <w:tc>
          <w:tcPr>
            <w:tcW w:w="1000" w:type="dxa"/>
            <w:vAlign w:val="bottom"/>
          </w:tcPr>
          <w:p>
            <w:pPr>
              <w:jc w:val="right"/>
              <w:ind w:right="59"/>
              <w:spacing w:after="0" w:line="183" w:lineRule="exact"/>
              <w:rPr>
                <w:sz w:val="20"/>
                <w:szCs w:val="20"/>
                <w:color w:val="auto"/>
              </w:rPr>
            </w:pPr>
            <w:r>
              <w:rPr>
                <w:rFonts w:ascii="Arial" w:cs="Arial" w:eastAsia="Arial" w:hAnsi="Arial"/>
                <w:sz w:val="16"/>
                <w:szCs w:val="16"/>
                <w:color w:val="auto"/>
              </w:rPr>
              <w:t>164,806</w:t>
            </w:r>
          </w:p>
        </w:tc>
        <w:tc>
          <w:tcPr>
            <w:tcW w:w="460" w:type="dxa"/>
            <w:vAlign w:val="bottom"/>
            <w:gridSpan w:val="2"/>
          </w:tcPr>
          <w:p>
            <w:pPr>
              <w:jc w:val="right"/>
              <w:ind w:right="240"/>
              <w:spacing w:after="0" w:line="183" w:lineRule="exact"/>
              <w:rPr>
                <w:sz w:val="20"/>
                <w:szCs w:val="20"/>
                <w:color w:val="auto"/>
              </w:rPr>
            </w:pPr>
            <w:r>
              <w:rPr>
                <w:rFonts w:ascii="Arial" w:cs="Arial" w:eastAsia="Arial" w:hAnsi="Arial"/>
                <w:sz w:val="16"/>
                <w:szCs w:val="16"/>
                <w:color w:val="auto"/>
              </w:rPr>
              <w:t>$</w:t>
            </w:r>
          </w:p>
        </w:tc>
        <w:tc>
          <w:tcPr>
            <w:tcW w:w="980" w:type="dxa"/>
            <w:vAlign w:val="bottom"/>
          </w:tcPr>
          <w:p>
            <w:pPr>
              <w:jc w:val="right"/>
              <w:ind w:right="39"/>
              <w:spacing w:after="0" w:line="183" w:lineRule="exact"/>
              <w:rPr>
                <w:sz w:val="20"/>
                <w:szCs w:val="20"/>
                <w:color w:val="auto"/>
              </w:rPr>
            </w:pPr>
            <w:r>
              <w:rPr>
                <w:rFonts w:ascii="Arial" w:cs="Arial" w:eastAsia="Arial" w:hAnsi="Arial"/>
                <w:sz w:val="16"/>
                <w:szCs w:val="16"/>
                <w:color w:val="auto"/>
              </w:rPr>
              <w:t>83,410</w:t>
            </w:r>
          </w:p>
        </w:tc>
      </w:tr>
      <w:tr>
        <w:trPr>
          <w:trHeight w:val="183"/>
        </w:trPr>
        <w:tc>
          <w:tcPr>
            <w:tcW w:w="7220" w:type="dxa"/>
            <w:vAlign w:val="bottom"/>
            <w:shd w:val="clear" w:color="auto" w:fill="CFF0FC"/>
          </w:tcPr>
          <w:p>
            <w:pPr>
              <w:spacing w:after="0" w:line="183" w:lineRule="exact"/>
              <w:rPr>
                <w:sz w:val="20"/>
                <w:szCs w:val="20"/>
                <w:color w:val="auto"/>
              </w:rPr>
            </w:pPr>
            <w:r>
              <w:rPr>
                <w:rFonts w:ascii="Arial" w:cs="Arial" w:eastAsia="Arial" w:hAnsi="Arial"/>
                <w:sz w:val="16"/>
                <w:szCs w:val="16"/>
                <w:color w:val="auto"/>
              </w:rPr>
              <w:t>Reconciliation of cash, cash equivalents and restricted cash</w:t>
            </w:r>
          </w:p>
        </w:tc>
        <w:tc>
          <w:tcPr>
            <w:tcW w:w="1220" w:type="dxa"/>
            <w:vAlign w:val="bottom"/>
            <w:shd w:val="clear" w:color="auto" w:fill="CFF0FC"/>
          </w:tcPr>
          <w:p>
            <w:pPr>
              <w:spacing w:after="0"/>
              <w:rPr>
                <w:sz w:val="15"/>
                <w:szCs w:val="15"/>
                <w:color w:val="auto"/>
              </w:rPr>
            </w:pPr>
          </w:p>
        </w:tc>
        <w:tc>
          <w:tcPr>
            <w:tcW w:w="360" w:type="dxa"/>
            <w:vAlign w:val="bottom"/>
            <w:tcBorders>
              <w:top w:val="single" w:sz="8" w:color="auto"/>
            </w:tcBorders>
            <w:shd w:val="clear" w:color="auto" w:fill="CFF0FC"/>
          </w:tcPr>
          <w:p>
            <w:pPr>
              <w:spacing w:after="0"/>
              <w:rPr>
                <w:sz w:val="15"/>
                <w:szCs w:val="15"/>
                <w:color w:val="auto"/>
              </w:rPr>
            </w:pPr>
          </w:p>
        </w:tc>
        <w:tc>
          <w:tcPr>
            <w:tcW w:w="1000" w:type="dxa"/>
            <w:vAlign w:val="bottom"/>
            <w:tcBorders>
              <w:top w:val="single" w:sz="8" w:color="auto"/>
            </w:tcBorders>
            <w:shd w:val="clear" w:color="auto" w:fill="CFF0FC"/>
          </w:tcPr>
          <w:p>
            <w:pPr>
              <w:spacing w:after="0"/>
              <w:rPr>
                <w:sz w:val="15"/>
                <w:szCs w:val="15"/>
                <w:color w:val="auto"/>
              </w:rPr>
            </w:pPr>
          </w:p>
        </w:tc>
        <w:tc>
          <w:tcPr>
            <w:tcW w:w="140" w:type="dxa"/>
            <w:vAlign w:val="bottom"/>
            <w:tcBorders>
              <w:top w:val="single" w:sz="8" w:color="auto"/>
            </w:tcBorders>
            <w:shd w:val="clear" w:color="auto" w:fill="CFF0FC"/>
          </w:tcPr>
          <w:p>
            <w:pPr>
              <w:spacing w:after="0"/>
              <w:rPr>
                <w:sz w:val="15"/>
                <w:szCs w:val="15"/>
                <w:color w:val="auto"/>
              </w:rPr>
            </w:pPr>
          </w:p>
        </w:tc>
        <w:tc>
          <w:tcPr>
            <w:tcW w:w="320" w:type="dxa"/>
            <w:vAlign w:val="bottom"/>
            <w:tcBorders>
              <w:top w:val="single" w:sz="8" w:color="auto"/>
            </w:tcBorders>
            <w:shd w:val="clear" w:color="auto" w:fill="CFF0FC"/>
          </w:tcPr>
          <w:p>
            <w:pPr>
              <w:spacing w:after="0"/>
              <w:rPr>
                <w:sz w:val="15"/>
                <w:szCs w:val="15"/>
                <w:color w:val="auto"/>
              </w:rPr>
            </w:pPr>
          </w:p>
        </w:tc>
        <w:tc>
          <w:tcPr>
            <w:tcW w:w="980" w:type="dxa"/>
            <w:vAlign w:val="bottom"/>
            <w:tcBorders>
              <w:top w:val="single" w:sz="8" w:color="auto"/>
            </w:tcBorders>
            <w:shd w:val="clear" w:color="auto" w:fill="CFF0FC"/>
          </w:tcPr>
          <w:p>
            <w:pPr>
              <w:spacing w:after="0"/>
              <w:rPr>
                <w:sz w:val="15"/>
                <w:szCs w:val="15"/>
                <w:color w:val="auto"/>
              </w:rPr>
            </w:pPr>
          </w:p>
        </w:tc>
      </w:tr>
      <w:tr>
        <w:trPr>
          <w:trHeight w:val="189"/>
        </w:trPr>
        <w:tc>
          <w:tcPr>
            <w:tcW w:w="7220" w:type="dxa"/>
            <w:vAlign w:val="bottom"/>
          </w:tcPr>
          <w:p>
            <w:pPr>
              <w:spacing w:after="0"/>
              <w:rPr>
                <w:sz w:val="20"/>
                <w:szCs w:val="20"/>
                <w:color w:val="auto"/>
              </w:rPr>
            </w:pPr>
            <w:r>
              <w:rPr>
                <w:rFonts w:ascii="Arial" w:cs="Arial" w:eastAsia="Arial" w:hAnsi="Arial"/>
                <w:sz w:val="16"/>
                <w:szCs w:val="16"/>
                <w:color w:val="auto"/>
              </w:rPr>
              <w:t>Cash and cash equivalents</w:t>
            </w:r>
          </w:p>
        </w:tc>
        <w:tc>
          <w:tcPr>
            <w:tcW w:w="1580" w:type="dxa"/>
            <w:vAlign w:val="bottom"/>
            <w:gridSpan w:val="2"/>
          </w:tcPr>
          <w:p>
            <w:pPr>
              <w:jc w:val="right"/>
              <w:ind w:right="179"/>
              <w:spacing w:after="0"/>
              <w:rPr>
                <w:sz w:val="20"/>
                <w:szCs w:val="20"/>
                <w:color w:val="auto"/>
              </w:rPr>
            </w:pPr>
            <w:r>
              <w:rPr>
                <w:rFonts w:ascii="Arial" w:cs="Arial" w:eastAsia="Arial" w:hAnsi="Arial"/>
                <w:sz w:val="16"/>
                <w:szCs w:val="16"/>
                <w:color w:val="auto"/>
              </w:rPr>
              <w:t>$</w:t>
            </w:r>
          </w:p>
        </w:tc>
        <w:tc>
          <w:tcPr>
            <w:tcW w:w="1000" w:type="dxa"/>
            <w:vAlign w:val="bottom"/>
          </w:tcPr>
          <w:p>
            <w:pPr>
              <w:jc w:val="right"/>
              <w:ind w:right="59"/>
              <w:spacing w:after="0"/>
              <w:rPr>
                <w:sz w:val="20"/>
                <w:szCs w:val="20"/>
                <w:color w:val="auto"/>
              </w:rPr>
            </w:pPr>
            <w:r>
              <w:rPr>
                <w:rFonts w:ascii="Arial" w:cs="Arial" w:eastAsia="Arial" w:hAnsi="Arial"/>
                <w:sz w:val="16"/>
                <w:szCs w:val="16"/>
                <w:color w:val="auto"/>
              </w:rPr>
              <w:t>159,859</w:t>
            </w:r>
          </w:p>
        </w:tc>
        <w:tc>
          <w:tcPr>
            <w:tcW w:w="46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980" w:type="dxa"/>
            <w:vAlign w:val="bottom"/>
          </w:tcPr>
          <w:p>
            <w:pPr>
              <w:jc w:val="right"/>
              <w:ind w:right="39"/>
              <w:spacing w:after="0"/>
              <w:rPr>
                <w:sz w:val="20"/>
                <w:szCs w:val="20"/>
                <w:color w:val="auto"/>
              </w:rPr>
            </w:pPr>
            <w:r>
              <w:rPr>
                <w:rFonts w:ascii="Arial" w:cs="Arial" w:eastAsia="Arial" w:hAnsi="Arial"/>
                <w:sz w:val="16"/>
                <w:szCs w:val="16"/>
                <w:color w:val="auto"/>
              </w:rPr>
              <w:t>78,530</w:t>
            </w:r>
          </w:p>
        </w:tc>
      </w:tr>
      <w:tr>
        <w:trPr>
          <w:trHeight w:val="189"/>
        </w:trPr>
        <w:tc>
          <w:tcPr>
            <w:tcW w:w="722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6"/>
                <w:szCs w:val="16"/>
                <w:color w:val="auto"/>
              </w:rPr>
              <w:t>Restricted cash</w:t>
            </w:r>
          </w:p>
        </w:tc>
        <w:tc>
          <w:tcPr>
            <w:tcW w:w="1220" w:type="dxa"/>
            <w:vAlign w:val="bottom"/>
            <w:tcBorders>
              <w:bottom w:val="single" w:sz="8" w:color="CFF0FC"/>
            </w:tcBorders>
            <w:shd w:val="clear" w:color="auto" w:fill="CFF0FC"/>
          </w:tcPr>
          <w:p>
            <w:pPr>
              <w:spacing w:after="0"/>
              <w:rPr>
                <w:sz w:val="16"/>
                <w:szCs w:val="16"/>
                <w:color w:val="auto"/>
              </w:rPr>
            </w:pPr>
          </w:p>
        </w:tc>
        <w:tc>
          <w:tcPr>
            <w:tcW w:w="360" w:type="dxa"/>
            <w:vAlign w:val="bottom"/>
            <w:tcBorders>
              <w:bottom w:val="single" w:sz="8" w:color="auto"/>
            </w:tcBorders>
            <w:shd w:val="clear" w:color="auto" w:fill="CFF0FC"/>
          </w:tcPr>
          <w:p>
            <w:pPr>
              <w:spacing w:after="0"/>
              <w:rPr>
                <w:sz w:val="16"/>
                <w:szCs w:val="16"/>
                <w:color w:val="auto"/>
              </w:rPr>
            </w:pPr>
          </w:p>
        </w:tc>
        <w:tc>
          <w:tcPr>
            <w:tcW w:w="1000" w:type="dxa"/>
            <w:vAlign w:val="bottom"/>
            <w:tcBorders>
              <w:bottom w:val="single" w:sz="8" w:color="auto"/>
            </w:tcBorders>
            <w:shd w:val="clear" w:color="auto" w:fill="CFF0FC"/>
          </w:tcPr>
          <w:p>
            <w:pPr>
              <w:jc w:val="right"/>
              <w:ind w:right="59"/>
              <w:spacing w:after="0"/>
              <w:rPr>
                <w:sz w:val="20"/>
                <w:szCs w:val="20"/>
                <w:color w:val="auto"/>
              </w:rPr>
            </w:pPr>
            <w:r>
              <w:rPr>
                <w:rFonts w:ascii="Arial" w:cs="Arial" w:eastAsia="Arial" w:hAnsi="Arial"/>
                <w:sz w:val="16"/>
                <w:szCs w:val="16"/>
                <w:color w:val="auto"/>
              </w:rPr>
              <w:t>4,947</w:t>
            </w:r>
          </w:p>
        </w:tc>
        <w:tc>
          <w:tcPr>
            <w:tcW w:w="140" w:type="dxa"/>
            <w:vAlign w:val="bottom"/>
            <w:tcBorders>
              <w:bottom w:val="single" w:sz="8" w:color="auto"/>
            </w:tcBorders>
            <w:shd w:val="clear" w:color="auto" w:fill="CFF0FC"/>
          </w:tcPr>
          <w:p>
            <w:pPr>
              <w:spacing w:after="0"/>
              <w:rPr>
                <w:sz w:val="16"/>
                <w:szCs w:val="16"/>
                <w:color w:val="auto"/>
              </w:rPr>
            </w:pPr>
          </w:p>
        </w:tc>
        <w:tc>
          <w:tcPr>
            <w:tcW w:w="320" w:type="dxa"/>
            <w:vAlign w:val="bottom"/>
            <w:tcBorders>
              <w:bottom w:val="single" w:sz="8" w:color="auto"/>
            </w:tcBorders>
            <w:shd w:val="clear" w:color="auto" w:fill="CFF0FC"/>
          </w:tcPr>
          <w:p>
            <w:pPr>
              <w:spacing w:after="0"/>
              <w:rPr>
                <w:sz w:val="16"/>
                <w:szCs w:val="16"/>
                <w:color w:val="auto"/>
              </w:rPr>
            </w:pPr>
          </w:p>
        </w:tc>
        <w:tc>
          <w:tcPr>
            <w:tcW w:w="980" w:type="dxa"/>
            <w:vAlign w:val="bottom"/>
            <w:tcBorders>
              <w:bottom w:val="single" w:sz="8" w:color="auto"/>
            </w:tcBorders>
            <w:shd w:val="clear" w:color="auto" w:fill="CFF0FC"/>
          </w:tcPr>
          <w:p>
            <w:pPr>
              <w:jc w:val="right"/>
              <w:ind w:right="39"/>
              <w:spacing w:after="0"/>
              <w:rPr>
                <w:sz w:val="20"/>
                <w:szCs w:val="20"/>
                <w:color w:val="auto"/>
              </w:rPr>
            </w:pPr>
            <w:r>
              <w:rPr>
                <w:rFonts w:ascii="Arial" w:cs="Arial" w:eastAsia="Arial" w:hAnsi="Arial"/>
                <w:sz w:val="16"/>
                <w:szCs w:val="16"/>
                <w:color w:val="auto"/>
              </w:rPr>
              <w:t>4,880</w:t>
            </w:r>
          </w:p>
        </w:tc>
      </w:tr>
      <w:tr>
        <w:trPr>
          <w:trHeight w:val="183"/>
        </w:trPr>
        <w:tc>
          <w:tcPr>
            <w:tcW w:w="7220" w:type="dxa"/>
            <w:vAlign w:val="bottom"/>
          </w:tcPr>
          <w:p>
            <w:pPr>
              <w:ind w:left="160"/>
              <w:spacing w:after="0" w:line="183" w:lineRule="exact"/>
              <w:rPr>
                <w:sz w:val="20"/>
                <w:szCs w:val="20"/>
                <w:color w:val="auto"/>
              </w:rPr>
            </w:pPr>
            <w:r>
              <w:rPr>
                <w:rFonts w:ascii="Arial" w:cs="Arial" w:eastAsia="Arial" w:hAnsi="Arial"/>
                <w:sz w:val="16"/>
                <w:szCs w:val="16"/>
                <w:color w:val="auto"/>
              </w:rPr>
              <w:t>Total cash, cash equivalents and restricted cash</w:t>
            </w:r>
          </w:p>
        </w:tc>
        <w:tc>
          <w:tcPr>
            <w:tcW w:w="1580" w:type="dxa"/>
            <w:vAlign w:val="bottom"/>
            <w:gridSpan w:val="2"/>
          </w:tcPr>
          <w:p>
            <w:pPr>
              <w:jc w:val="right"/>
              <w:ind w:right="179"/>
              <w:spacing w:after="0" w:line="183" w:lineRule="exact"/>
              <w:rPr>
                <w:sz w:val="20"/>
                <w:szCs w:val="20"/>
                <w:color w:val="auto"/>
              </w:rPr>
            </w:pPr>
            <w:r>
              <w:rPr>
                <w:rFonts w:ascii="Arial" w:cs="Arial" w:eastAsia="Arial" w:hAnsi="Arial"/>
                <w:sz w:val="16"/>
                <w:szCs w:val="16"/>
                <w:color w:val="auto"/>
              </w:rPr>
              <w:t>$</w:t>
            </w:r>
          </w:p>
        </w:tc>
        <w:tc>
          <w:tcPr>
            <w:tcW w:w="1000" w:type="dxa"/>
            <w:vAlign w:val="bottom"/>
          </w:tcPr>
          <w:p>
            <w:pPr>
              <w:jc w:val="right"/>
              <w:ind w:right="59"/>
              <w:spacing w:after="0" w:line="183" w:lineRule="exact"/>
              <w:rPr>
                <w:sz w:val="20"/>
                <w:szCs w:val="20"/>
                <w:color w:val="auto"/>
              </w:rPr>
            </w:pPr>
            <w:r>
              <w:rPr>
                <w:rFonts w:ascii="Arial" w:cs="Arial" w:eastAsia="Arial" w:hAnsi="Arial"/>
                <w:sz w:val="16"/>
                <w:szCs w:val="16"/>
                <w:color w:val="auto"/>
              </w:rPr>
              <w:t>164,806</w:t>
            </w:r>
          </w:p>
        </w:tc>
        <w:tc>
          <w:tcPr>
            <w:tcW w:w="460" w:type="dxa"/>
            <w:vAlign w:val="bottom"/>
            <w:gridSpan w:val="2"/>
          </w:tcPr>
          <w:p>
            <w:pPr>
              <w:jc w:val="right"/>
              <w:ind w:right="240"/>
              <w:spacing w:after="0" w:line="183" w:lineRule="exact"/>
              <w:rPr>
                <w:sz w:val="20"/>
                <w:szCs w:val="20"/>
                <w:color w:val="auto"/>
              </w:rPr>
            </w:pPr>
            <w:r>
              <w:rPr>
                <w:rFonts w:ascii="Arial" w:cs="Arial" w:eastAsia="Arial" w:hAnsi="Arial"/>
                <w:sz w:val="16"/>
                <w:szCs w:val="16"/>
                <w:color w:val="auto"/>
              </w:rPr>
              <w:t>$</w:t>
            </w:r>
          </w:p>
        </w:tc>
        <w:tc>
          <w:tcPr>
            <w:tcW w:w="980" w:type="dxa"/>
            <w:vAlign w:val="bottom"/>
          </w:tcPr>
          <w:p>
            <w:pPr>
              <w:jc w:val="right"/>
              <w:ind w:right="39"/>
              <w:spacing w:after="0" w:line="183" w:lineRule="exact"/>
              <w:rPr>
                <w:sz w:val="20"/>
                <w:szCs w:val="20"/>
                <w:color w:val="auto"/>
              </w:rPr>
            </w:pPr>
            <w:r>
              <w:rPr>
                <w:rFonts w:ascii="Arial" w:cs="Arial" w:eastAsia="Arial" w:hAnsi="Arial"/>
                <w:sz w:val="16"/>
                <w:szCs w:val="16"/>
                <w:color w:val="auto"/>
              </w:rPr>
              <w:t>83,410</w:t>
            </w:r>
          </w:p>
        </w:tc>
      </w:tr>
      <w:tr>
        <w:trPr>
          <w:trHeight w:val="183"/>
        </w:trPr>
        <w:tc>
          <w:tcPr>
            <w:tcW w:w="7220" w:type="dxa"/>
            <w:vAlign w:val="bottom"/>
            <w:shd w:val="clear" w:color="auto" w:fill="CFF0FC"/>
          </w:tcPr>
          <w:p>
            <w:pPr>
              <w:spacing w:after="0" w:line="183" w:lineRule="exact"/>
              <w:rPr>
                <w:sz w:val="20"/>
                <w:szCs w:val="20"/>
                <w:color w:val="auto"/>
              </w:rPr>
            </w:pPr>
            <w:r>
              <w:rPr>
                <w:rFonts w:ascii="Arial" w:cs="Arial" w:eastAsia="Arial" w:hAnsi="Arial"/>
                <w:sz w:val="16"/>
                <w:szCs w:val="16"/>
                <w:color w:val="auto"/>
              </w:rPr>
              <w:t>Supplemental disclosure of noncash items</w:t>
            </w:r>
          </w:p>
        </w:tc>
        <w:tc>
          <w:tcPr>
            <w:tcW w:w="1220" w:type="dxa"/>
            <w:vAlign w:val="bottom"/>
            <w:shd w:val="clear" w:color="auto" w:fill="CFF0FC"/>
          </w:tcPr>
          <w:p>
            <w:pPr>
              <w:spacing w:after="0"/>
              <w:rPr>
                <w:sz w:val="15"/>
                <w:szCs w:val="15"/>
                <w:color w:val="auto"/>
              </w:rPr>
            </w:pPr>
          </w:p>
        </w:tc>
        <w:tc>
          <w:tcPr>
            <w:tcW w:w="360" w:type="dxa"/>
            <w:vAlign w:val="bottom"/>
            <w:tcBorders>
              <w:top w:val="single" w:sz="8" w:color="auto"/>
            </w:tcBorders>
            <w:shd w:val="clear" w:color="auto" w:fill="CFF0FC"/>
          </w:tcPr>
          <w:p>
            <w:pPr>
              <w:spacing w:after="0"/>
              <w:rPr>
                <w:sz w:val="15"/>
                <w:szCs w:val="15"/>
                <w:color w:val="auto"/>
              </w:rPr>
            </w:pPr>
          </w:p>
        </w:tc>
        <w:tc>
          <w:tcPr>
            <w:tcW w:w="1000" w:type="dxa"/>
            <w:vAlign w:val="bottom"/>
            <w:tcBorders>
              <w:top w:val="single" w:sz="8" w:color="auto"/>
            </w:tcBorders>
            <w:shd w:val="clear" w:color="auto" w:fill="CFF0FC"/>
          </w:tcPr>
          <w:p>
            <w:pPr>
              <w:spacing w:after="0"/>
              <w:rPr>
                <w:sz w:val="15"/>
                <w:szCs w:val="15"/>
                <w:color w:val="auto"/>
              </w:rPr>
            </w:pPr>
          </w:p>
        </w:tc>
        <w:tc>
          <w:tcPr>
            <w:tcW w:w="140" w:type="dxa"/>
            <w:vAlign w:val="bottom"/>
            <w:tcBorders>
              <w:top w:val="single" w:sz="8" w:color="auto"/>
            </w:tcBorders>
            <w:shd w:val="clear" w:color="auto" w:fill="CFF0FC"/>
          </w:tcPr>
          <w:p>
            <w:pPr>
              <w:spacing w:after="0"/>
              <w:rPr>
                <w:sz w:val="15"/>
                <w:szCs w:val="15"/>
                <w:color w:val="auto"/>
              </w:rPr>
            </w:pPr>
          </w:p>
        </w:tc>
        <w:tc>
          <w:tcPr>
            <w:tcW w:w="320" w:type="dxa"/>
            <w:vAlign w:val="bottom"/>
            <w:tcBorders>
              <w:top w:val="single" w:sz="8" w:color="auto"/>
            </w:tcBorders>
            <w:shd w:val="clear" w:color="auto" w:fill="CFF0FC"/>
          </w:tcPr>
          <w:p>
            <w:pPr>
              <w:spacing w:after="0"/>
              <w:rPr>
                <w:sz w:val="15"/>
                <w:szCs w:val="15"/>
                <w:color w:val="auto"/>
              </w:rPr>
            </w:pPr>
          </w:p>
        </w:tc>
        <w:tc>
          <w:tcPr>
            <w:tcW w:w="980" w:type="dxa"/>
            <w:vAlign w:val="bottom"/>
            <w:tcBorders>
              <w:top w:val="single" w:sz="8" w:color="auto"/>
            </w:tcBorders>
            <w:shd w:val="clear" w:color="auto" w:fill="CFF0FC"/>
          </w:tcPr>
          <w:p>
            <w:pPr>
              <w:spacing w:after="0"/>
              <w:rPr>
                <w:sz w:val="15"/>
                <w:szCs w:val="15"/>
                <w:color w:val="auto"/>
              </w:rPr>
            </w:pPr>
          </w:p>
        </w:tc>
      </w:tr>
      <w:tr>
        <w:trPr>
          <w:trHeight w:val="189"/>
        </w:trPr>
        <w:tc>
          <w:tcPr>
            <w:tcW w:w="7220" w:type="dxa"/>
            <w:vAlign w:val="bottom"/>
            <w:tcBorders>
              <w:bottom w:val="single" w:sz="8" w:color="auto"/>
            </w:tcBorders>
          </w:tcPr>
          <w:p>
            <w:pPr>
              <w:ind w:left="160"/>
              <w:spacing w:after="0"/>
              <w:rPr>
                <w:sz w:val="20"/>
                <w:szCs w:val="20"/>
                <w:color w:val="auto"/>
              </w:rPr>
            </w:pPr>
            <w:r>
              <w:rPr>
                <w:rFonts w:ascii="Arial" w:cs="Arial" w:eastAsia="Arial" w:hAnsi="Arial"/>
                <w:sz w:val="16"/>
                <w:szCs w:val="16"/>
                <w:color w:val="auto"/>
              </w:rPr>
              <w:t>Purchases of property and equipment in accounts payable and accrued expenses</w:t>
            </w:r>
          </w:p>
        </w:tc>
        <w:tc>
          <w:tcPr>
            <w:tcW w:w="1580" w:type="dxa"/>
            <w:vAlign w:val="bottom"/>
            <w:tcBorders>
              <w:bottom w:val="single" w:sz="8" w:color="auto"/>
            </w:tcBorders>
            <w:gridSpan w:val="2"/>
          </w:tcPr>
          <w:p>
            <w:pPr>
              <w:jc w:val="right"/>
              <w:ind w:right="179"/>
              <w:spacing w:after="0"/>
              <w:rPr>
                <w:sz w:val="20"/>
                <w:szCs w:val="20"/>
                <w:color w:val="auto"/>
              </w:rPr>
            </w:pPr>
            <w:r>
              <w:rPr>
                <w:rFonts w:ascii="Arial" w:cs="Arial" w:eastAsia="Arial" w:hAnsi="Arial"/>
                <w:sz w:val="16"/>
                <w:szCs w:val="16"/>
                <w:color w:val="auto"/>
              </w:rPr>
              <w:t>$</w:t>
            </w:r>
          </w:p>
        </w:tc>
        <w:tc>
          <w:tcPr>
            <w:tcW w:w="100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2,736</w:t>
            </w:r>
          </w:p>
        </w:tc>
        <w:tc>
          <w:tcPr>
            <w:tcW w:w="460" w:type="dxa"/>
            <w:vAlign w:val="bottom"/>
            <w:tcBorders>
              <w:bottom w:val="single" w:sz="8" w:color="auto"/>
            </w:tcBorders>
            <w:gridSpan w:val="2"/>
          </w:tcPr>
          <w:p>
            <w:pPr>
              <w:jc w:val="right"/>
              <w:ind w:right="240"/>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304</w:t>
            </w:r>
          </w:p>
        </w:tc>
      </w:tr>
    </w:tbl>
    <w:p>
      <w:pPr>
        <w:spacing w:after="0" w:line="114"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See accompanying notes to the condensed consolidated financial statements.</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00" w:right="339" w:bottom="1440" w:gutter="0" w:footer="0" w:header="0"/>
          <w:type w:val="continuous"/>
        </w:sectPr>
      </w:pPr>
    </w:p>
    <w:bookmarkStart w:id="8" w:name="page9"/>
    <w:bookmarkEnd w:id="8"/>
    <w:p>
      <w:pPr>
        <w:spacing w:after="0"/>
        <w:rPr>
          <w:sz w:val="20"/>
          <w:szCs w:val="20"/>
          <w:color w:val="auto"/>
        </w:rPr>
      </w:pPr>
      <w:r>
        <w:rPr>
          <w:rFonts w:ascii="Arial" w:cs="Arial" w:eastAsia="Arial" w:hAnsi="Arial"/>
          <w:sz w:val="32"/>
          <w:szCs w:val="32"/>
          <w:b w:val="1"/>
          <w:bCs w:val="1"/>
          <w:color w:val="auto"/>
        </w:rPr>
        <w:t>Monte Rosa Therapeutics, Inc.</w:t>
      </w:r>
    </w:p>
    <w:p>
      <w:pPr>
        <w:spacing w:after="0" w:line="44" w:lineRule="exact"/>
        <w:rPr>
          <w:sz w:val="20"/>
          <w:szCs w:val="20"/>
          <w:color w:val="auto"/>
        </w:rPr>
      </w:pPr>
    </w:p>
    <w:p>
      <w:pPr>
        <w:spacing w:after="0"/>
        <w:rPr>
          <w:sz w:val="20"/>
          <w:szCs w:val="20"/>
          <w:color w:val="auto"/>
        </w:rPr>
      </w:pPr>
      <w:r>
        <w:rPr>
          <w:rFonts w:ascii="Arial" w:cs="Arial" w:eastAsia="Arial" w:hAnsi="Arial"/>
          <w:sz w:val="32"/>
          <w:szCs w:val="32"/>
          <w:b w:val="1"/>
          <w:bCs w:val="1"/>
          <w:color w:val="auto"/>
        </w:rPr>
        <w:t>Notes to the condensed consolidated financial statements</w:t>
      </w:r>
    </w:p>
    <w:p>
      <w:pPr>
        <w:spacing w:after="0" w:line="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(unaudited)</w:t>
      </w:r>
    </w:p>
    <w:p>
      <w:pPr>
        <w:spacing w:after="0" w:line="13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1. Description of business and liquidity</w:t>
      </w:r>
    </w:p>
    <w:p>
      <w:pPr>
        <w:spacing w:after="0" w:line="1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Business</w:t>
      </w:r>
    </w:p>
    <w:p>
      <w:pPr>
        <w:spacing w:after="0" w:line="102" w:lineRule="exact"/>
        <w:rPr>
          <w:sz w:val="20"/>
          <w:szCs w:val="20"/>
          <w:color w:val="auto"/>
        </w:rPr>
      </w:pPr>
    </w:p>
    <w:p>
      <w:pPr>
        <w:ind w:right="80"/>
        <w:spacing w:after="0"/>
        <w:rPr>
          <w:sz w:val="20"/>
          <w:szCs w:val="20"/>
          <w:color w:val="auto"/>
        </w:rPr>
      </w:pPr>
      <w:r>
        <w:rPr>
          <w:rFonts w:ascii="Arial" w:cs="Arial" w:eastAsia="Arial" w:hAnsi="Arial"/>
          <w:sz w:val="18"/>
          <w:szCs w:val="18"/>
          <w:color w:val="auto"/>
        </w:rPr>
        <w:t>Monte Rosa Therapeutics, Inc. is a biotechnology company developing a portfolio of novel small molecule precision medicines that employ the body’s natural mechanisms to selectively degrade therapeutically-relevant proteins. As used in these condensed consolidated financial statements, unless the context otherwise requires, references to the Company or Monte Rosa refer to Monte Rosa Therapeutics, Inc. and its wholly owned subsidiaries Monte Rosa Therapeutics AG and Monte Rosa Therapeutics Securities Corporation. Monte Rosa Therapeutics AG, a Swiss operating company, was incorporated under the laws of Switzerland in April 2018. Monte Rosa Therapeutics, Inc. was incorporated in Delaware in November 2019. The Company is headquartered in Boston, Massachusetts with research operations in both Boston and Basel, Switzerland.</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Liquidity considerations</w:t>
      </w:r>
    </w:p>
    <w:p>
      <w:pPr>
        <w:spacing w:after="0" w:line="102" w:lineRule="exact"/>
        <w:rPr>
          <w:sz w:val="20"/>
          <w:szCs w:val="20"/>
          <w:color w:val="auto"/>
        </w:rPr>
      </w:pPr>
    </w:p>
    <w:p>
      <w:pPr>
        <w:ind w:right="380"/>
        <w:spacing w:after="0" w:line="244" w:lineRule="auto"/>
        <w:rPr>
          <w:sz w:val="20"/>
          <w:szCs w:val="20"/>
          <w:color w:val="auto"/>
        </w:rPr>
      </w:pPr>
      <w:r>
        <w:rPr>
          <w:rFonts w:ascii="Arial" w:cs="Arial" w:eastAsia="Arial" w:hAnsi="Arial"/>
          <w:sz w:val="18"/>
          <w:szCs w:val="18"/>
          <w:color w:val="auto"/>
        </w:rPr>
        <w:t>Since inception, the Company has devoted substantially all its efforts to business planning, research and development, recruiting management and technical staff, and raising capital and has financed its operations primarily through issuance and sale of convertible promissory notes, convertible preferred stock, public offerings of common stock or warrants to purchase common stock, registered direct offerings, and through its collaborations with F. Hoffman-La Roche Ltd. and Hoffman-La Roche Inc., or Roche, and with Novartis AG, or Novartis.</w:t>
      </w:r>
    </w:p>
    <w:p>
      <w:pPr>
        <w:spacing w:after="0" w:line="68" w:lineRule="exact"/>
        <w:rPr>
          <w:sz w:val="20"/>
          <w:szCs w:val="20"/>
          <w:color w:val="auto"/>
        </w:rPr>
      </w:pPr>
    </w:p>
    <w:p>
      <w:pPr>
        <w:ind w:right="100"/>
        <w:spacing w:after="0" w:line="247" w:lineRule="auto"/>
        <w:rPr>
          <w:sz w:val="20"/>
          <w:szCs w:val="20"/>
          <w:color w:val="auto"/>
        </w:rPr>
      </w:pPr>
      <w:r>
        <w:rPr>
          <w:rFonts w:ascii="Arial" w:cs="Arial" w:eastAsia="Arial" w:hAnsi="Arial"/>
          <w:sz w:val="18"/>
          <w:szCs w:val="18"/>
          <w:color w:val="auto"/>
        </w:rPr>
        <w:t>The Company’s continued discovery and development of its product candidates will require significant additional research and development efforts, including extensive preclinical and clinical testing and regulatory approval prior to commercialization. These efforts require significant amounts of additional capital, adequate personnel and infrastructure and extensive compliance-reporting capabilities. Even if product development efforts are successful, it is uncertain when, if ever, the Company will realize significant revenue from product sales.</w:t>
      </w:r>
    </w:p>
    <w:p>
      <w:pPr>
        <w:spacing w:after="0" w:line="66" w:lineRule="exact"/>
        <w:rPr>
          <w:sz w:val="20"/>
          <w:szCs w:val="20"/>
          <w:color w:val="auto"/>
        </w:rPr>
      </w:pPr>
    </w:p>
    <w:p>
      <w:pPr>
        <w:spacing w:after="0" w:line="238" w:lineRule="auto"/>
        <w:rPr>
          <w:sz w:val="20"/>
          <w:szCs w:val="20"/>
          <w:color w:val="auto"/>
        </w:rPr>
      </w:pPr>
      <w:r>
        <w:rPr>
          <w:rFonts w:ascii="Arial" w:cs="Arial" w:eastAsia="Arial" w:hAnsi="Arial"/>
          <w:sz w:val="18"/>
          <w:szCs w:val="18"/>
          <w:color w:val="auto"/>
        </w:rPr>
        <w:t>As of March 31, 2026, the Company had an accumulated deficit of $521.7 million. The Company has incurred losses and negative cash flows from operations since inception, including net losses of $44.5 million for the three months ended March 31, 2026 and $38.6 million for the year ended December 31, 2025. The Company expects that its operating losses and negative cash flows will continue for the foreseeable future as the Company continues to develop its product candidates. The Company currently expects that its cash, cash equivalents, and marketable securities of $666.2 million as of March 31, 2026 will be sufficient to fund operating expenses and capital requirements for at least 12 months from the date the first quarter interim condensed consolidated financial statements are issued. However, additional funding will be necessary to fund future discovery research, preclinical and clinical activities. The Company will seek additional funding through public financings, debt financings, collaboration agreements, strategic alliances and licensing arrangements. Although it has been successful in raising capital in the past, there is no assurance that the Company will be successful in obtaining such additional financing on terms acceptable to it, if at all, and the Company may not be able to enter into collaborations or other arrangements. If the Company is unable to obtain funding, it could be forced to delay, reduce or eliminate its research and development programs, product portfolio expansion or commercialization efforts, which could adversely affect the Company’s business prospects, and even the ability to continue operations.</w:t>
      </w:r>
    </w:p>
    <w:p>
      <w:pPr>
        <w:spacing w:after="0" w:line="17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2. Summary of significant accounting policies</w:t>
      </w:r>
    </w:p>
    <w:p>
      <w:pPr>
        <w:spacing w:after="0" w:line="1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Basis of presentation</w:t>
      </w:r>
    </w:p>
    <w:p>
      <w:pPr>
        <w:spacing w:after="0" w:line="102" w:lineRule="exact"/>
        <w:rPr>
          <w:sz w:val="20"/>
          <w:szCs w:val="20"/>
          <w:color w:val="auto"/>
        </w:rPr>
      </w:pPr>
    </w:p>
    <w:p>
      <w:pPr>
        <w:ind w:right="300"/>
        <w:spacing w:after="0" w:line="247" w:lineRule="auto"/>
        <w:rPr>
          <w:sz w:val="20"/>
          <w:szCs w:val="20"/>
          <w:color w:val="auto"/>
        </w:rPr>
      </w:pPr>
      <w:r>
        <w:rPr>
          <w:rFonts w:ascii="Arial" w:cs="Arial" w:eastAsia="Arial" w:hAnsi="Arial"/>
          <w:sz w:val="18"/>
          <w:szCs w:val="18"/>
          <w:color w:val="auto"/>
        </w:rPr>
        <w:t>The accompanying condensed consolidated financial statements have been prepared in conformity with accounting principles generally accepted in the U.S., or GAAP, and are stated in U.S. dollars. Any reference in these notes to applicable guidance is meant to refer to the authoritative GAAP as found in the Accounting Standards Codification and Accounting Standards Updates, or ASUs, of the Financial Accounting Standards Board, or FASB. All intercompany balances and transactions have been eliminated in consolidation.</w:t>
      </w:r>
    </w:p>
    <w:p>
      <w:pPr>
        <w:spacing w:after="0" w:line="6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Unaudited financial information</w:t>
      </w:r>
    </w:p>
    <w:p>
      <w:pPr>
        <w:spacing w:after="0" w:line="102" w:lineRule="exact"/>
        <w:rPr>
          <w:sz w:val="20"/>
          <w:szCs w:val="20"/>
          <w:color w:val="auto"/>
        </w:rPr>
      </w:pPr>
    </w:p>
    <w:p>
      <w:pPr>
        <w:spacing w:after="0" w:line="247" w:lineRule="auto"/>
        <w:rPr>
          <w:sz w:val="20"/>
          <w:szCs w:val="20"/>
          <w:color w:val="auto"/>
        </w:rPr>
      </w:pPr>
      <w:r>
        <w:rPr>
          <w:rFonts w:ascii="Arial" w:cs="Arial" w:eastAsia="Arial" w:hAnsi="Arial"/>
          <w:sz w:val="18"/>
          <w:szCs w:val="18"/>
          <w:color w:val="auto"/>
        </w:rPr>
        <w:t>The Company’s condensed consolidated financial statements included herein have been prepared in conformity with GAAP and pursuant to the rules and regulations of the Securities and Exchange Commission, or the SEC. In the Company’s opinion, the information furnished reflects all adjustments, all of which are of a normal and recurring nature, necessary for a fair presentation of the financial position and results of operations for the reported interim periods. The</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00" w:right="339" w:bottom="1440" w:gutter="0" w:footer="0" w:header="0"/>
        </w:sectPr>
      </w:pPr>
    </w:p>
    <w:bookmarkStart w:id="9" w:name="page10"/>
    <w:bookmarkEnd w:id="9"/>
    <w:p>
      <w:pPr>
        <w:jc w:val="both"/>
        <w:ind w:right="180"/>
        <w:spacing w:after="0" w:line="253" w:lineRule="auto"/>
        <w:rPr>
          <w:sz w:val="20"/>
          <w:szCs w:val="20"/>
          <w:color w:val="auto"/>
        </w:rPr>
      </w:pPr>
      <w:r>
        <w:rPr>
          <w:rFonts w:ascii="Arial" w:cs="Arial" w:eastAsia="Arial" w:hAnsi="Arial"/>
          <w:sz w:val="18"/>
          <w:szCs w:val="18"/>
          <w:color w:val="auto"/>
        </w:rPr>
        <w:t>Company considers events or transactions that occur after the balance sheet date but before the financial statements are issued to provide additional evidence relative to certain estimates or to identify matters that require additional disclosure. The results of operations for interim periods are not necessarily indicative of results to be expected for the full year or any other interim period.</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Recently issued accounting pronouncements</w:t>
      </w:r>
    </w:p>
    <w:p>
      <w:pPr>
        <w:spacing w:after="0" w:line="102" w:lineRule="exact"/>
        <w:rPr>
          <w:sz w:val="20"/>
          <w:szCs w:val="20"/>
          <w:color w:val="auto"/>
        </w:rPr>
      </w:pPr>
    </w:p>
    <w:p>
      <w:pPr>
        <w:jc w:val="both"/>
        <w:ind w:right="180"/>
        <w:spacing w:after="0" w:line="271" w:lineRule="auto"/>
        <w:rPr>
          <w:sz w:val="20"/>
          <w:szCs w:val="20"/>
          <w:color w:val="auto"/>
        </w:rPr>
      </w:pPr>
      <w:r>
        <w:rPr>
          <w:rFonts w:ascii="Arial" w:cs="Arial" w:eastAsia="Arial" w:hAnsi="Arial"/>
          <w:sz w:val="18"/>
          <w:szCs w:val="18"/>
          <w:color w:val="auto"/>
        </w:rPr>
        <w:t>The Company has elected to use the extended transition period for complying with new or revised accounting standards as available under the Jumpstart Our Business Startups Act, or the JOBS Act.</w:t>
      </w:r>
    </w:p>
    <w:p>
      <w:pPr>
        <w:spacing w:after="0" w:line="46" w:lineRule="exact"/>
        <w:rPr>
          <w:sz w:val="20"/>
          <w:szCs w:val="20"/>
          <w:color w:val="auto"/>
        </w:rPr>
      </w:pPr>
    </w:p>
    <w:p>
      <w:pPr>
        <w:ind w:right="40"/>
        <w:spacing w:after="0"/>
        <w:rPr>
          <w:sz w:val="20"/>
          <w:szCs w:val="20"/>
          <w:color w:val="auto"/>
        </w:rPr>
      </w:pPr>
      <w:r>
        <w:rPr>
          <w:rFonts w:ascii="Arial" w:cs="Arial" w:eastAsia="Arial" w:hAnsi="Arial"/>
          <w:sz w:val="18"/>
          <w:szCs w:val="18"/>
          <w:color w:val="auto"/>
        </w:rPr>
        <w:t xml:space="preserve">In November 2024, the FASB issued ASU 2024-03, </w:t>
      </w:r>
      <w:r>
        <w:rPr>
          <w:rFonts w:ascii="Arial" w:cs="Arial" w:eastAsia="Arial" w:hAnsi="Arial"/>
          <w:sz w:val="18"/>
          <w:szCs w:val="18"/>
          <w:i w:val="1"/>
          <w:iCs w:val="1"/>
          <w:color w:val="auto"/>
        </w:rPr>
        <w:t>Income Statement Reporting Comprehensive Income—Expense Disaggregation</w:t>
      </w:r>
      <w:r>
        <w:rPr>
          <w:rFonts w:ascii="Arial" w:cs="Arial" w:eastAsia="Arial" w:hAnsi="Arial"/>
          <w:sz w:val="18"/>
          <w:szCs w:val="18"/>
          <w:color w:val="auto"/>
        </w:rPr>
        <w:t xml:space="preserve"> </w:t>
      </w:r>
      <w:r>
        <w:rPr>
          <w:rFonts w:ascii="Arial" w:cs="Arial" w:eastAsia="Arial" w:hAnsi="Arial"/>
          <w:sz w:val="18"/>
          <w:szCs w:val="18"/>
          <w:i w:val="1"/>
          <w:iCs w:val="1"/>
          <w:color w:val="auto"/>
        </w:rPr>
        <w:t>Disclosures (Subtopic 220-40)</w:t>
      </w:r>
      <w:r>
        <w:rPr>
          <w:rFonts w:ascii="Arial" w:cs="Arial" w:eastAsia="Arial" w:hAnsi="Arial"/>
          <w:sz w:val="18"/>
          <w:szCs w:val="18"/>
          <w:color w:val="auto"/>
        </w:rPr>
        <w:t>, which requires disaggregated disclosure of income statement expenses for public business entities. ASU</w:t>
      </w:r>
      <w:r>
        <w:rPr>
          <w:rFonts w:ascii="Arial" w:cs="Arial" w:eastAsia="Arial" w:hAnsi="Arial"/>
          <w:sz w:val="18"/>
          <w:szCs w:val="18"/>
          <w:i w:val="1"/>
          <w:iCs w:val="1"/>
          <w:color w:val="auto"/>
        </w:rPr>
        <w:t xml:space="preserve"> </w:t>
      </w:r>
      <w:r>
        <w:rPr>
          <w:rFonts w:ascii="Arial" w:cs="Arial" w:eastAsia="Arial" w:hAnsi="Arial"/>
          <w:sz w:val="18"/>
          <w:szCs w:val="18"/>
          <w:color w:val="auto"/>
        </w:rPr>
        <w:t>2024-03 requires disclosure of, in a tabular presentation, each relevant expense caption on the face of the income statement that includes any of the following natural expenses: (1) purchases of inventory, (2) employee compensation, (3) depreciation, (4) intangible asset amortization, and (5) depreciation, depletion, and amortization (DD&amp;A) recognized as part of oil- and gas-producing activities or other types of depletion expenses. The tabular disclosure would also include certain other expenses, when applicable. The standard is effective for fiscal years beginning after December 15, 2026, and interim periods within fiscal years beginning after December 15, 2027. The Company is currently evaluating the impact the adoption of this standard will have on its consolidated financial statements and related disclosures.</w:t>
      </w:r>
    </w:p>
    <w:p>
      <w:pPr>
        <w:spacing w:after="0" w:line="18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3. Fair value measurements</w:t>
      </w:r>
    </w:p>
    <w:p>
      <w:pPr>
        <w:spacing w:after="0" w:line="108" w:lineRule="exact"/>
        <w:rPr>
          <w:sz w:val="20"/>
          <w:szCs w:val="20"/>
          <w:color w:val="auto"/>
        </w:rPr>
      </w:pPr>
    </w:p>
    <w:p>
      <w:pPr>
        <w:ind w:right="140"/>
        <w:spacing w:after="0" w:line="271" w:lineRule="auto"/>
        <w:rPr>
          <w:sz w:val="20"/>
          <w:szCs w:val="20"/>
          <w:color w:val="auto"/>
        </w:rPr>
      </w:pPr>
      <w:r>
        <w:rPr>
          <w:rFonts w:ascii="Arial" w:cs="Arial" w:eastAsia="Arial" w:hAnsi="Arial"/>
          <w:sz w:val="18"/>
          <w:szCs w:val="18"/>
          <w:color w:val="auto"/>
        </w:rPr>
        <w:t>The following tables present information about the Company’s financial assets and liabilities measured at fair value on a recurring basis and indicate the level of the fair value hierarchy utilized to determine such fair values (in thousands):</w:t>
      </w:r>
    </w:p>
    <w:p>
      <w:pPr>
        <w:spacing w:after="0" w:line="58"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4280" w:type="dxa"/>
            <w:vAlign w:val="bottom"/>
            <w:tcBorders>
              <w:top w:val="single" w:sz="8" w:color="auto"/>
            </w:tcBorders>
          </w:tcPr>
          <w:p>
            <w:pPr>
              <w:spacing w:after="0"/>
              <w:rPr>
                <w:sz w:val="17"/>
                <w:szCs w:val="17"/>
                <w:color w:val="auto"/>
              </w:rPr>
            </w:pPr>
          </w:p>
        </w:tc>
        <w:tc>
          <w:tcPr>
            <w:tcW w:w="1540" w:type="dxa"/>
            <w:vAlign w:val="bottom"/>
            <w:tcBorders>
              <w:top w:val="single" w:sz="8" w:color="auto"/>
            </w:tcBorders>
          </w:tcPr>
          <w:p>
            <w:pPr>
              <w:spacing w:after="0"/>
              <w:rPr>
                <w:sz w:val="17"/>
                <w:szCs w:val="17"/>
                <w:color w:val="auto"/>
              </w:rPr>
            </w:pPr>
          </w:p>
        </w:tc>
        <w:tc>
          <w:tcPr>
            <w:tcW w:w="200" w:type="dxa"/>
            <w:vAlign w:val="bottom"/>
            <w:tcBorders>
              <w:top w:val="single" w:sz="8" w:color="auto"/>
              <w:bottom w:val="single" w:sz="8" w:color="auto"/>
            </w:tcBorders>
          </w:tcPr>
          <w:p>
            <w:pPr>
              <w:spacing w:after="0"/>
              <w:rPr>
                <w:sz w:val="17"/>
                <w:szCs w:val="17"/>
                <w:color w:val="auto"/>
              </w:rPr>
            </w:pPr>
          </w:p>
        </w:tc>
        <w:tc>
          <w:tcPr>
            <w:tcW w:w="1060" w:type="dxa"/>
            <w:vAlign w:val="bottom"/>
            <w:tcBorders>
              <w:top w:val="single" w:sz="8" w:color="auto"/>
              <w:bottom w:val="single" w:sz="8" w:color="auto"/>
            </w:tcBorders>
          </w:tcPr>
          <w:p>
            <w:pPr>
              <w:spacing w:after="0"/>
              <w:rPr>
                <w:sz w:val="17"/>
                <w:szCs w:val="17"/>
                <w:color w:val="auto"/>
              </w:rPr>
            </w:pPr>
          </w:p>
        </w:tc>
        <w:tc>
          <w:tcPr>
            <w:tcW w:w="320" w:type="dxa"/>
            <w:vAlign w:val="bottom"/>
            <w:tcBorders>
              <w:top w:val="single" w:sz="8" w:color="auto"/>
              <w:bottom w:val="single" w:sz="8" w:color="auto"/>
            </w:tcBorders>
          </w:tcPr>
          <w:p>
            <w:pPr>
              <w:spacing w:after="0"/>
              <w:rPr>
                <w:sz w:val="17"/>
                <w:szCs w:val="17"/>
                <w:color w:val="auto"/>
              </w:rPr>
            </w:pPr>
          </w:p>
        </w:tc>
        <w:tc>
          <w:tcPr>
            <w:tcW w:w="2100" w:type="dxa"/>
            <w:vAlign w:val="bottom"/>
            <w:tcBorders>
              <w:top w:val="single" w:sz="8" w:color="auto"/>
              <w:bottom w:val="single" w:sz="8" w:color="auto"/>
            </w:tcBorders>
            <w:gridSpan w:val="2"/>
          </w:tcPr>
          <w:p>
            <w:pPr>
              <w:jc w:val="right"/>
              <w:ind w:right="139"/>
              <w:spacing w:after="0"/>
              <w:rPr>
                <w:sz w:val="20"/>
                <w:szCs w:val="20"/>
                <w:color w:val="auto"/>
              </w:rPr>
            </w:pPr>
            <w:r>
              <w:rPr>
                <w:rFonts w:ascii="Arial" w:cs="Arial" w:eastAsia="Arial" w:hAnsi="Arial"/>
                <w:sz w:val="16"/>
                <w:szCs w:val="16"/>
                <w:b w:val="1"/>
                <w:bCs w:val="1"/>
                <w:color w:val="auto"/>
              </w:rPr>
              <w:t>As of March 31, 2026</w:t>
            </w:r>
          </w:p>
        </w:tc>
        <w:tc>
          <w:tcPr>
            <w:tcW w:w="340" w:type="dxa"/>
            <w:vAlign w:val="bottom"/>
            <w:tcBorders>
              <w:top w:val="single" w:sz="8" w:color="auto"/>
              <w:bottom w:val="single" w:sz="8" w:color="auto"/>
            </w:tcBorders>
          </w:tcPr>
          <w:p>
            <w:pPr>
              <w:spacing w:after="0"/>
              <w:rPr>
                <w:sz w:val="17"/>
                <w:szCs w:val="17"/>
                <w:color w:val="auto"/>
              </w:rPr>
            </w:pPr>
          </w:p>
        </w:tc>
        <w:tc>
          <w:tcPr>
            <w:tcW w:w="360" w:type="dxa"/>
            <w:vAlign w:val="bottom"/>
            <w:tcBorders>
              <w:top w:val="single" w:sz="8" w:color="auto"/>
              <w:bottom w:val="single" w:sz="8" w:color="auto"/>
            </w:tcBorders>
          </w:tcPr>
          <w:p>
            <w:pPr>
              <w:spacing w:after="0"/>
              <w:rPr>
                <w:sz w:val="17"/>
                <w:szCs w:val="17"/>
                <w:color w:val="auto"/>
              </w:rPr>
            </w:pPr>
          </w:p>
        </w:tc>
        <w:tc>
          <w:tcPr>
            <w:tcW w:w="1040" w:type="dxa"/>
            <w:vAlign w:val="bottom"/>
            <w:tcBorders>
              <w:top w:val="single" w:sz="8" w:color="auto"/>
              <w:bottom w:val="single" w:sz="8" w:color="auto"/>
            </w:tcBorders>
          </w:tcPr>
          <w:p>
            <w:pPr>
              <w:spacing w:after="0"/>
              <w:rPr>
                <w:sz w:val="17"/>
                <w:szCs w:val="17"/>
                <w:color w:val="auto"/>
              </w:rPr>
            </w:pPr>
          </w:p>
        </w:tc>
      </w:tr>
      <w:tr>
        <w:trPr>
          <w:trHeight w:val="183"/>
        </w:trPr>
        <w:tc>
          <w:tcPr>
            <w:tcW w:w="4280" w:type="dxa"/>
            <w:vAlign w:val="bottom"/>
          </w:tcPr>
          <w:p>
            <w:pPr>
              <w:spacing w:after="0"/>
              <w:rPr>
                <w:sz w:val="15"/>
                <w:szCs w:val="15"/>
                <w:color w:val="auto"/>
              </w:rPr>
            </w:pPr>
          </w:p>
        </w:tc>
        <w:tc>
          <w:tcPr>
            <w:tcW w:w="154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right"/>
              <w:ind w:right="339"/>
              <w:spacing w:after="0" w:line="183" w:lineRule="exact"/>
              <w:rPr>
                <w:sz w:val="20"/>
                <w:szCs w:val="20"/>
                <w:color w:val="auto"/>
              </w:rPr>
            </w:pPr>
            <w:r>
              <w:rPr>
                <w:rFonts w:ascii="Arial" w:cs="Arial" w:eastAsia="Arial" w:hAnsi="Arial"/>
                <w:sz w:val="16"/>
                <w:szCs w:val="16"/>
                <w:b w:val="1"/>
                <w:bCs w:val="1"/>
                <w:color w:val="auto"/>
              </w:rPr>
              <w:t>Level 1</w:t>
            </w:r>
          </w:p>
        </w:tc>
        <w:tc>
          <w:tcPr>
            <w:tcW w:w="32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right"/>
              <w:ind w:right="339"/>
              <w:spacing w:after="0" w:line="183" w:lineRule="exact"/>
              <w:rPr>
                <w:sz w:val="20"/>
                <w:szCs w:val="20"/>
                <w:color w:val="auto"/>
              </w:rPr>
            </w:pPr>
            <w:r>
              <w:rPr>
                <w:rFonts w:ascii="Arial" w:cs="Arial" w:eastAsia="Arial" w:hAnsi="Arial"/>
                <w:sz w:val="16"/>
                <w:szCs w:val="16"/>
                <w:b w:val="1"/>
                <w:bCs w:val="1"/>
                <w:color w:val="auto"/>
              </w:rPr>
              <w:t>Level 2</w:t>
            </w:r>
          </w:p>
        </w:tc>
        <w:tc>
          <w:tcPr>
            <w:tcW w:w="104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6"/>
                <w:szCs w:val="16"/>
                <w:b w:val="1"/>
                <w:bCs w:val="1"/>
                <w:color w:val="auto"/>
              </w:rPr>
              <w:t>Level 3</w:t>
            </w:r>
          </w:p>
        </w:tc>
        <w:tc>
          <w:tcPr>
            <w:tcW w:w="340" w:type="dxa"/>
            <w:vAlign w:val="bottom"/>
            <w:tcBorders>
              <w:bottom w:val="single" w:sz="8" w:color="auto"/>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ind w:right="419"/>
              <w:spacing w:after="0" w:line="183" w:lineRule="exact"/>
              <w:rPr>
                <w:sz w:val="20"/>
                <w:szCs w:val="20"/>
                <w:color w:val="auto"/>
              </w:rPr>
            </w:pPr>
            <w:r>
              <w:rPr>
                <w:rFonts w:ascii="Arial" w:cs="Arial" w:eastAsia="Arial" w:hAnsi="Arial"/>
                <w:sz w:val="16"/>
                <w:szCs w:val="16"/>
                <w:b w:val="1"/>
                <w:bCs w:val="1"/>
                <w:color w:val="auto"/>
              </w:rPr>
              <w:t>Total</w:t>
            </w:r>
          </w:p>
        </w:tc>
      </w:tr>
      <w:tr>
        <w:trPr>
          <w:trHeight w:val="183"/>
        </w:trPr>
        <w:tc>
          <w:tcPr>
            <w:tcW w:w="4280" w:type="dxa"/>
            <w:vAlign w:val="bottom"/>
            <w:shd w:val="clear" w:color="auto" w:fill="CFF0FC"/>
          </w:tcPr>
          <w:p>
            <w:pPr>
              <w:spacing w:after="0" w:line="183" w:lineRule="exact"/>
              <w:rPr>
                <w:sz w:val="20"/>
                <w:szCs w:val="20"/>
                <w:color w:val="auto"/>
              </w:rPr>
            </w:pPr>
            <w:r>
              <w:rPr>
                <w:rFonts w:ascii="Arial" w:cs="Arial" w:eastAsia="Arial" w:hAnsi="Arial"/>
                <w:sz w:val="16"/>
                <w:szCs w:val="16"/>
                <w:b w:val="1"/>
                <w:bCs w:val="1"/>
                <w:color w:val="auto"/>
              </w:rPr>
              <w:t>Current assets</w:t>
            </w:r>
          </w:p>
        </w:tc>
        <w:tc>
          <w:tcPr>
            <w:tcW w:w="154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1060" w:type="dxa"/>
            <w:vAlign w:val="bottom"/>
            <w:shd w:val="clear" w:color="auto" w:fill="CFF0FC"/>
          </w:tcPr>
          <w:p>
            <w:pPr>
              <w:spacing w:after="0"/>
              <w:rPr>
                <w:sz w:val="15"/>
                <w:szCs w:val="15"/>
                <w:color w:val="auto"/>
              </w:rPr>
            </w:pPr>
          </w:p>
        </w:tc>
        <w:tc>
          <w:tcPr>
            <w:tcW w:w="320" w:type="dxa"/>
            <w:vAlign w:val="bottom"/>
            <w:shd w:val="clear" w:color="auto" w:fill="CFF0FC"/>
          </w:tcPr>
          <w:p>
            <w:pPr>
              <w:spacing w:after="0"/>
              <w:rPr>
                <w:sz w:val="15"/>
                <w:szCs w:val="15"/>
                <w:color w:val="auto"/>
              </w:rPr>
            </w:pPr>
          </w:p>
        </w:tc>
        <w:tc>
          <w:tcPr>
            <w:tcW w:w="1060" w:type="dxa"/>
            <w:vAlign w:val="bottom"/>
            <w:shd w:val="clear" w:color="auto" w:fill="CFF0FC"/>
          </w:tcPr>
          <w:p>
            <w:pPr>
              <w:spacing w:after="0"/>
              <w:rPr>
                <w:sz w:val="15"/>
                <w:szCs w:val="15"/>
                <w:color w:val="auto"/>
              </w:rPr>
            </w:pPr>
          </w:p>
        </w:tc>
        <w:tc>
          <w:tcPr>
            <w:tcW w:w="1040" w:type="dxa"/>
            <w:vAlign w:val="bottom"/>
            <w:shd w:val="clear" w:color="auto" w:fill="CFF0FC"/>
          </w:tcPr>
          <w:p>
            <w:pPr>
              <w:spacing w:after="0"/>
              <w:rPr>
                <w:sz w:val="15"/>
                <w:szCs w:val="15"/>
                <w:color w:val="auto"/>
              </w:rPr>
            </w:pPr>
          </w:p>
        </w:tc>
        <w:tc>
          <w:tcPr>
            <w:tcW w:w="340" w:type="dxa"/>
            <w:vAlign w:val="bottom"/>
            <w:shd w:val="clear" w:color="auto" w:fill="CFF0FC"/>
          </w:tcPr>
          <w:p>
            <w:pPr>
              <w:spacing w:after="0"/>
              <w:rPr>
                <w:sz w:val="15"/>
                <w:szCs w:val="15"/>
                <w:color w:val="auto"/>
              </w:rPr>
            </w:pPr>
          </w:p>
        </w:tc>
        <w:tc>
          <w:tcPr>
            <w:tcW w:w="360" w:type="dxa"/>
            <w:vAlign w:val="bottom"/>
            <w:shd w:val="clear" w:color="auto" w:fill="CFF0FC"/>
          </w:tcPr>
          <w:p>
            <w:pPr>
              <w:spacing w:after="0"/>
              <w:rPr>
                <w:sz w:val="15"/>
                <w:szCs w:val="15"/>
                <w:color w:val="auto"/>
              </w:rPr>
            </w:pPr>
          </w:p>
        </w:tc>
        <w:tc>
          <w:tcPr>
            <w:tcW w:w="1040" w:type="dxa"/>
            <w:vAlign w:val="bottom"/>
            <w:shd w:val="clear" w:color="auto" w:fill="CFF0FC"/>
          </w:tcPr>
          <w:p>
            <w:pPr>
              <w:spacing w:after="0"/>
              <w:rPr>
                <w:sz w:val="15"/>
                <w:szCs w:val="15"/>
                <w:color w:val="auto"/>
              </w:rPr>
            </w:pPr>
          </w:p>
        </w:tc>
      </w:tr>
      <w:tr>
        <w:trPr>
          <w:trHeight w:val="189"/>
        </w:trPr>
        <w:tc>
          <w:tcPr>
            <w:tcW w:w="4280" w:type="dxa"/>
            <w:vAlign w:val="bottom"/>
          </w:tcPr>
          <w:p>
            <w:pPr>
              <w:ind w:left="120"/>
              <w:spacing w:after="0"/>
              <w:rPr>
                <w:sz w:val="20"/>
                <w:szCs w:val="20"/>
                <w:color w:val="auto"/>
              </w:rPr>
            </w:pPr>
            <w:r>
              <w:rPr>
                <w:rFonts w:ascii="Arial" w:cs="Arial" w:eastAsia="Arial" w:hAnsi="Arial"/>
                <w:sz w:val="16"/>
                <w:szCs w:val="16"/>
                <w:color w:val="auto"/>
              </w:rPr>
              <w:t>Money market funds</w:t>
            </w:r>
          </w:p>
        </w:tc>
        <w:tc>
          <w:tcPr>
            <w:tcW w:w="174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1060" w:type="dxa"/>
            <w:vAlign w:val="bottom"/>
          </w:tcPr>
          <w:p>
            <w:pPr>
              <w:jc w:val="right"/>
              <w:ind w:right="39"/>
              <w:spacing w:after="0"/>
              <w:rPr>
                <w:sz w:val="20"/>
                <w:szCs w:val="20"/>
                <w:color w:val="auto"/>
              </w:rPr>
            </w:pPr>
            <w:r>
              <w:rPr>
                <w:rFonts w:ascii="Arial" w:cs="Arial" w:eastAsia="Arial" w:hAnsi="Arial"/>
                <w:sz w:val="16"/>
                <w:szCs w:val="16"/>
                <w:color w:val="auto"/>
              </w:rPr>
              <w:t>159,238</w:t>
            </w:r>
          </w:p>
        </w:tc>
        <w:tc>
          <w:tcPr>
            <w:tcW w:w="3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06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040" w:type="dxa"/>
            <w:vAlign w:val="bottom"/>
          </w:tcPr>
          <w:p>
            <w:pPr>
              <w:jc w:val="right"/>
              <w:ind w:right="739"/>
              <w:spacing w:after="0"/>
              <w:rPr>
                <w:sz w:val="20"/>
                <w:szCs w:val="20"/>
                <w:color w:val="auto"/>
              </w:rPr>
            </w:pPr>
            <w:r>
              <w:rPr>
                <w:rFonts w:ascii="Arial" w:cs="Arial" w:eastAsia="Arial" w:hAnsi="Arial"/>
                <w:sz w:val="16"/>
                <w:szCs w:val="16"/>
                <w:color w:val="auto"/>
              </w:rPr>
              <w:t>$</w:t>
            </w:r>
          </w:p>
        </w:tc>
        <w:tc>
          <w:tcPr>
            <w:tcW w:w="340" w:type="dxa"/>
            <w:vAlign w:val="bottom"/>
          </w:tcPr>
          <w:p>
            <w:pPr>
              <w:ind w:left="60"/>
              <w:spacing w:after="0"/>
              <w:rPr>
                <w:sz w:val="20"/>
                <w:szCs w:val="20"/>
                <w:color w:val="auto"/>
              </w:rPr>
            </w:pPr>
            <w:r>
              <w:rPr>
                <w:rFonts w:ascii="Arial" w:cs="Arial" w:eastAsia="Arial" w:hAnsi="Arial"/>
                <w:sz w:val="16"/>
                <w:szCs w:val="16"/>
                <w:color w:val="auto"/>
              </w:rPr>
              <w:t>—</w:t>
            </w:r>
          </w:p>
        </w:tc>
        <w:tc>
          <w:tcPr>
            <w:tcW w:w="36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1040" w:type="dxa"/>
            <w:vAlign w:val="bottom"/>
          </w:tcPr>
          <w:p>
            <w:pPr>
              <w:jc w:val="right"/>
              <w:ind w:right="39"/>
              <w:spacing w:after="0"/>
              <w:rPr>
                <w:sz w:val="20"/>
                <w:szCs w:val="20"/>
                <w:color w:val="auto"/>
              </w:rPr>
            </w:pPr>
            <w:r>
              <w:rPr>
                <w:rFonts w:ascii="Arial" w:cs="Arial" w:eastAsia="Arial" w:hAnsi="Arial"/>
                <w:sz w:val="16"/>
                <w:szCs w:val="16"/>
                <w:color w:val="auto"/>
              </w:rPr>
              <w:t>159,238</w:t>
            </w:r>
          </w:p>
        </w:tc>
      </w:tr>
      <w:tr>
        <w:trPr>
          <w:trHeight w:val="189"/>
        </w:trPr>
        <w:tc>
          <w:tcPr>
            <w:tcW w:w="4280" w:type="dxa"/>
            <w:vAlign w:val="bottom"/>
            <w:shd w:val="clear" w:color="auto" w:fill="CFF0FC"/>
          </w:tcPr>
          <w:p>
            <w:pPr>
              <w:ind w:left="120"/>
              <w:spacing w:after="0"/>
              <w:rPr>
                <w:sz w:val="20"/>
                <w:szCs w:val="20"/>
                <w:color w:val="auto"/>
              </w:rPr>
            </w:pPr>
            <w:r>
              <w:rPr>
                <w:rFonts w:ascii="Arial" w:cs="Arial" w:eastAsia="Arial" w:hAnsi="Arial"/>
                <w:sz w:val="16"/>
                <w:szCs w:val="16"/>
                <w:color w:val="auto"/>
              </w:rPr>
              <w:t>Pension plan assets</w:t>
            </w:r>
          </w:p>
        </w:tc>
        <w:tc>
          <w:tcPr>
            <w:tcW w:w="154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106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w:t>
            </w:r>
          </w:p>
        </w:tc>
        <w:tc>
          <w:tcPr>
            <w:tcW w:w="320" w:type="dxa"/>
            <w:vAlign w:val="bottom"/>
            <w:shd w:val="clear" w:color="auto" w:fill="CFF0FC"/>
          </w:tcPr>
          <w:p>
            <w:pPr>
              <w:spacing w:after="0"/>
              <w:rPr>
                <w:sz w:val="16"/>
                <w:szCs w:val="16"/>
                <w:color w:val="auto"/>
              </w:rPr>
            </w:pPr>
          </w:p>
        </w:tc>
        <w:tc>
          <w:tcPr>
            <w:tcW w:w="106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12,492</w:t>
            </w:r>
          </w:p>
        </w:tc>
        <w:tc>
          <w:tcPr>
            <w:tcW w:w="1040" w:type="dxa"/>
            <w:vAlign w:val="bottom"/>
            <w:shd w:val="clear" w:color="auto" w:fill="CFF0FC"/>
          </w:tcPr>
          <w:p>
            <w:pPr>
              <w:spacing w:after="0"/>
              <w:rPr>
                <w:sz w:val="16"/>
                <w:szCs w:val="16"/>
                <w:color w:val="auto"/>
              </w:rPr>
            </w:pPr>
          </w:p>
        </w:tc>
        <w:tc>
          <w:tcPr>
            <w:tcW w:w="340" w:type="dxa"/>
            <w:vAlign w:val="bottom"/>
            <w:shd w:val="clear" w:color="auto" w:fill="CFF0FC"/>
          </w:tcPr>
          <w:p>
            <w:pPr>
              <w:ind w:left="60"/>
              <w:spacing w:after="0"/>
              <w:rPr>
                <w:sz w:val="20"/>
                <w:szCs w:val="20"/>
                <w:color w:val="auto"/>
              </w:rPr>
            </w:pPr>
            <w:r>
              <w:rPr>
                <w:rFonts w:ascii="Arial" w:cs="Arial" w:eastAsia="Arial" w:hAnsi="Arial"/>
                <w:sz w:val="16"/>
                <w:szCs w:val="16"/>
                <w:color w:val="auto"/>
              </w:rPr>
              <w:t>—</w:t>
            </w:r>
          </w:p>
        </w:tc>
        <w:tc>
          <w:tcPr>
            <w:tcW w:w="360" w:type="dxa"/>
            <w:vAlign w:val="bottom"/>
            <w:shd w:val="clear" w:color="auto" w:fill="CFF0FC"/>
          </w:tcPr>
          <w:p>
            <w:pPr>
              <w:spacing w:after="0"/>
              <w:rPr>
                <w:sz w:val="16"/>
                <w:szCs w:val="16"/>
                <w:color w:val="auto"/>
              </w:rPr>
            </w:pPr>
          </w:p>
        </w:tc>
        <w:tc>
          <w:tcPr>
            <w:tcW w:w="104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12,492</w:t>
            </w:r>
          </w:p>
        </w:tc>
      </w:tr>
      <w:tr>
        <w:trPr>
          <w:trHeight w:val="189"/>
        </w:trPr>
        <w:tc>
          <w:tcPr>
            <w:tcW w:w="4280" w:type="dxa"/>
            <w:vAlign w:val="bottom"/>
          </w:tcPr>
          <w:p>
            <w:pPr>
              <w:ind w:left="120"/>
              <w:spacing w:after="0"/>
              <w:rPr>
                <w:sz w:val="20"/>
                <w:szCs w:val="20"/>
                <w:color w:val="auto"/>
              </w:rPr>
            </w:pPr>
            <w:r>
              <w:rPr>
                <w:rFonts w:ascii="Arial" w:cs="Arial" w:eastAsia="Arial" w:hAnsi="Arial"/>
                <w:sz w:val="16"/>
                <w:szCs w:val="16"/>
                <w:color w:val="auto"/>
              </w:rPr>
              <w:t>Corporate debt securities</w:t>
            </w:r>
          </w:p>
        </w:tc>
        <w:tc>
          <w:tcPr>
            <w:tcW w:w="15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6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16"/>
                <w:szCs w:val="16"/>
                <w:color w:val="auto"/>
              </w:rPr>
            </w:pPr>
          </w:p>
        </w:tc>
        <w:tc>
          <w:tcPr>
            <w:tcW w:w="1060" w:type="dxa"/>
            <w:vAlign w:val="bottom"/>
          </w:tcPr>
          <w:p>
            <w:pPr>
              <w:jc w:val="right"/>
              <w:ind w:right="39"/>
              <w:spacing w:after="0"/>
              <w:rPr>
                <w:sz w:val="20"/>
                <w:szCs w:val="20"/>
                <w:color w:val="auto"/>
              </w:rPr>
            </w:pPr>
            <w:r>
              <w:rPr>
                <w:rFonts w:ascii="Arial" w:cs="Arial" w:eastAsia="Arial" w:hAnsi="Arial"/>
                <w:sz w:val="16"/>
                <w:szCs w:val="16"/>
                <w:color w:val="auto"/>
              </w:rPr>
              <w:t>268,199</w:t>
            </w:r>
          </w:p>
        </w:tc>
        <w:tc>
          <w:tcPr>
            <w:tcW w:w="1040" w:type="dxa"/>
            <w:vAlign w:val="bottom"/>
          </w:tcPr>
          <w:p>
            <w:pPr>
              <w:spacing w:after="0"/>
              <w:rPr>
                <w:sz w:val="16"/>
                <w:szCs w:val="16"/>
                <w:color w:val="auto"/>
              </w:rPr>
            </w:pPr>
          </w:p>
        </w:tc>
        <w:tc>
          <w:tcPr>
            <w:tcW w:w="340" w:type="dxa"/>
            <w:vAlign w:val="bottom"/>
          </w:tcPr>
          <w:p>
            <w:pPr>
              <w:ind w:left="60"/>
              <w:spacing w:after="0"/>
              <w:rPr>
                <w:sz w:val="20"/>
                <w:szCs w:val="20"/>
                <w:color w:val="auto"/>
              </w:rPr>
            </w:pPr>
            <w:r>
              <w:rPr>
                <w:rFonts w:ascii="Arial" w:cs="Arial" w:eastAsia="Arial" w:hAnsi="Arial"/>
                <w:sz w:val="16"/>
                <w:szCs w:val="16"/>
                <w:color w:val="auto"/>
              </w:rPr>
              <w:t>—</w:t>
            </w:r>
          </w:p>
        </w:tc>
        <w:tc>
          <w:tcPr>
            <w:tcW w:w="360" w:type="dxa"/>
            <w:vAlign w:val="bottom"/>
          </w:tcPr>
          <w:p>
            <w:pPr>
              <w:spacing w:after="0"/>
              <w:rPr>
                <w:sz w:val="16"/>
                <w:szCs w:val="16"/>
                <w:color w:val="auto"/>
              </w:rPr>
            </w:pPr>
          </w:p>
        </w:tc>
        <w:tc>
          <w:tcPr>
            <w:tcW w:w="1040" w:type="dxa"/>
            <w:vAlign w:val="bottom"/>
          </w:tcPr>
          <w:p>
            <w:pPr>
              <w:jc w:val="right"/>
              <w:ind w:right="39"/>
              <w:spacing w:after="0"/>
              <w:rPr>
                <w:sz w:val="20"/>
                <w:szCs w:val="20"/>
                <w:color w:val="auto"/>
              </w:rPr>
            </w:pPr>
            <w:r>
              <w:rPr>
                <w:rFonts w:ascii="Arial" w:cs="Arial" w:eastAsia="Arial" w:hAnsi="Arial"/>
                <w:sz w:val="16"/>
                <w:szCs w:val="16"/>
                <w:color w:val="auto"/>
              </w:rPr>
              <w:t>268,199</w:t>
            </w:r>
          </w:p>
        </w:tc>
      </w:tr>
      <w:tr>
        <w:trPr>
          <w:trHeight w:val="189"/>
        </w:trPr>
        <w:tc>
          <w:tcPr>
            <w:tcW w:w="4280" w:type="dxa"/>
            <w:vAlign w:val="bottom"/>
            <w:tcBorders>
              <w:bottom w:val="single" w:sz="8" w:color="CFF0FC"/>
            </w:tcBorders>
            <w:shd w:val="clear" w:color="auto" w:fill="CFF0FC"/>
          </w:tcPr>
          <w:p>
            <w:pPr>
              <w:ind w:left="120"/>
              <w:spacing w:after="0"/>
              <w:rPr>
                <w:sz w:val="20"/>
                <w:szCs w:val="20"/>
                <w:color w:val="auto"/>
              </w:rPr>
            </w:pPr>
            <w:r>
              <w:rPr>
                <w:rFonts w:ascii="Arial" w:cs="Arial" w:eastAsia="Arial" w:hAnsi="Arial"/>
                <w:sz w:val="16"/>
                <w:szCs w:val="16"/>
                <w:color w:val="auto"/>
              </w:rPr>
              <w:t>U.S Treasury securities</w:t>
            </w:r>
          </w:p>
        </w:tc>
        <w:tc>
          <w:tcPr>
            <w:tcW w:w="1540" w:type="dxa"/>
            <w:vAlign w:val="bottom"/>
            <w:tcBorders>
              <w:bottom w:val="single" w:sz="8" w:color="CFF0FC"/>
            </w:tcBorders>
            <w:shd w:val="clear" w:color="auto" w:fill="CFF0FC"/>
          </w:tcPr>
          <w:p>
            <w:pPr>
              <w:spacing w:after="0"/>
              <w:rPr>
                <w:sz w:val="16"/>
                <w:szCs w:val="16"/>
                <w:color w:val="auto"/>
              </w:rPr>
            </w:pPr>
          </w:p>
        </w:tc>
        <w:tc>
          <w:tcPr>
            <w:tcW w:w="200" w:type="dxa"/>
            <w:vAlign w:val="bottom"/>
            <w:tcBorders>
              <w:bottom w:val="single" w:sz="8" w:color="auto"/>
            </w:tcBorders>
            <w:shd w:val="clear" w:color="auto" w:fill="CFF0FC"/>
          </w:tcPr>
          <w:p>
            <w:pPr>
              <w:spacing w:after="0"/>
              <w:rPr>
                <w:sz w:val="16"/>
                <w:szCs w:val="16"/>
                <w:color w:val="auto"/>
              </w:rPr>
            </w:pPr>
          </w:p>
        </w:tc>
        <w:tc>
          <w:tcPr>
            <w:tcW w:w="1060" w:type="dxa"/>
            <w:vAlign w:val="bottom"/>
            <w:tcBorders>
              <w:bottom w:val="single" w:sz="8" w:color="auto"/>
            </w:tcBorders>
            <w:shd w:val="clear" w:color="auto" w:fill="CFF0FC"/>
          </w:tcPr>
          <w:p>
            <w:pPr>
              <w:jc w:val="right"/>
              <w:ind w:right="39"/>
              <w:spacing w:after="0"/>
              <w:rPr>
                <w:sz w:val="20"/>
                <w:szCs w:val="20"/>
                <w:color w:val="auto"/>
              </w:rPr>
            </w:pPr>
            <w:r>
              <w:rPr>
                <w:rFonts w:ascii="Arial" w:cs="Arial" w:eastAsia="Arial" w:hAnsi="Arial"/>
                <w:sz w:val="16"/>
                <w:szCs w:val="16"/>
                <w:color w:val="auto"/>
              </w:rPr>
              <w:t>—</w:t>
            </w:r>
          </w:p>
        </w:tc>
        <w:tc>
          <w:tcPr>
            <w:tcW w:w="320" w:type="dxa"/>
            <w:vAlign w:val="bottom"/>
            <w:tcBorders>
              <w:bottom w:val="single" w:sz="8" w:color="auto"/>
            </w:tcBorders>
            <w:shd w:val="clear" w:color="auto" w:fill="CFF0FC"/>
          </w:tcPr>
          <w:p>
            <w:pPr>
              <w:spacing w:after="0"/>
              <w:rPr>
                <w:sz w:val="16"/>
                <w:szCs w:val="16"/>
                <w:color w:val="auto"/>
              </w:rPr>
            </w:pPr>
          </w:p>
        </w:tc>
        <w:tc>
          <w:tcPr>
            <w:tcW w:w="1060" w:type="dxa"/>
            <w:vAlign w:val="bottom"/>
            <w:tcBorders>
              <w:bottom w:val="single" w:sz="8" w:color="auto"/>
            </w:tcBorders>
            <w:shd w:val="clear" w:color="auto" w:fill="CFF0FC"/>
          </w:tcPr>
          <w:p>
            <w:pPr>
              <w:jc w:val="right"/>
              <w:ind w:right="39"/>
              <w:spacing w:after="0"/>
              <w:rPr>
                <w:sz w:val="20"/>
                <w:szCs w:val="20"/>
                <w:color w:val="auto"/>
              </w:rPr>
            </w:pPr>
            <w:r>
              <w:rPr>
                <w:rFonts w:ascii="Arial" w:cs="Arial" w:eastAsia="Arial" w:hAnsi="Arial"/>
                <w:sz w:val="16"/>
                <w:szCs w:val="16"/>
                <w:color w:val="auto"/>
              </w:rPr>
              <w:t>238,162</w:t>
            </w:r>
          </w:p>
        </w:tc>
        <w:tc>
          <w:tcPr>
            <w:tcW w:w="1040" w:type="dxa"/>
            <w:vAlign w:val="bottom"/>
            <w:tcBorders>
              <w:bottom w:val="single" w:sz="8" w:color="auto"/>
            </w:tcBorders>
            <w:shd w:val="clear" w:color="auto" w:fill="CFF0FC"/>
          </w:tcPr>
          <w:p>
            <w:pPr>
              <w:spacing w:after="0"/>
              <w:rPr>
                <w:sz w:val="16"/>
                <w:szCs w:val="16"/>
                <w:color w:val="auto"/>
              </w:rPr>
            </w:pPr>
          </w:p>
        </w:tc>
        <w:tc>
          <w:tcPr>
            <w:tcW w:w="340" w:type="dxa"/>
            <w:vAlign w:val="bottom"/>
            <w:tcBorders>
              <w:bottom w:val="single" w:sz="8" w:color="auto"/>
            </w:tcBorders>
            <w:shd w:val="clear" w:color="auto" w:fill="CFF0FC"/>
          </w:tcPr>
          <w:p>
            <w:pPr>
              <w:ind w:left="60"/>
              <w:spacing w:after="0"/>
              <w:rPr>
                <w:sz w:val="20"/>
                <w:szCs w:val="20"/>
                <w:color w:val="auto"/>
              </w:rPr>
            </w:pPr>
            <w:r>
              <w:rPr>
                <w:rFonts w:ascii="Arial" w:cs="Arial" w:eastAsia="Arial" w:hAnsi="Arial"/>
                <w:sz w:val="16"/>
                <w:szCs w:val="16"/>
                <w:color w:val="auto"/>
              </w:rPr>
              <w:t>—</w:t>
            </w:r>
          </w:p>
        </w:tc>
        <w:tc>
          <w:tcPr>
            <w:tcW w:w="360" w:type="dxa"/>
            <w:vAlign w:val="bottom"/>
            <w:tcBorders>
              <w:bottom w:val="single" w:sz="8" w:color="auto"/>
            </w:tcBorders>
            <w:shd w:val="clear" w:color="auto" w:fill="CFF0FC"/>
          </w:tcPr>
          <w:p>
            <w:pPr>
              <w:spacing w:after="0"/>
              <w:rPr>
                <w:sz w:val="16"/>
                <w:szCs w:val="16"/>
                <w:color w:val="auto"/>
              </w:rPr>
            </w:pPr>
          </w:p>
        </w:tc>
        <w:tc>
          <w:tcPr>
            <w:tcW w:w="1040" w:type="dxa"/>
            <w:vAlign w:val="bottom"/>
            <w:tcBorders>
              <w:bottom w:val="single" w:sz="8" w:color="auto"/>
            </w:tcBorders>
            <w:shd w:val="clear" w:color="auto" w:fill="CFF0FC"/>
          </w:tcPr>
          <w:p>
            <w:pPr>
              <w:jc w:val="right"/>
              <w:ind w:right="39"/>
              <w:spacing w:after="0"/>
              <w:rPr>
                <w:sz w:val="20"/>
                <w:szCs w:val="20"/>
                <w:color w:val="auto"/>
              </w:rPr>
            </w:pPr>
            <w:r>
              <w:rPr>
                <w:rFonts w:ascii="Arial" w:cs="Arial" w:eastAsia="Arial" w:hAnsi="Arial"/>
                <w:sz w:val="16"/>
                <w:szCs w:val="16"/>
                <w:color w:val="auto"/>
              </w:rPr>
              <w:t>238,162</w:t>
            </w:r>
          </w:p>
        </w:tc>
      </w:tr>
      <w:tr>
        <w:trPr>
          <w:trHeight w:val="183"/>
        </w:trPr>
        <w:tc>
          <w:tcPr>
            <w:tcW w:w="4280" w:type="dxa"/>
            <w:vAlign w:val="bottom"/>
            <w:tcBorders>
              <w:bottom w:val="single" w:sz="8" w:color="auto"/>
            </w:tcBorders>
          </w:tcPr>
          <w:p>
            <w:pPr>
              <w:ind w:left="220"/>
              <w:spacing w:after="0" w:line="183" w:lineRule="exact"/>
              <w:rPr>
                <w:sz w:val="20"/>
                <w:szCs w:val="20"/>
                <w:color w:val="auto"/>
              </w:rPr>
            </w:pPr>
            <w:r>
              <w:rPr>
                <w:rFonts w:ascii="Arial" w:cs="Arial" w:eastAsia="Arial" w:hAnsi="Arial"/>
                <w:sz w:val="16"/>
                <w:szCs w:val="16"/>
                <w:color w:val="auto"/>
              </w:rPr>
              <w:t>Total assets measured at fair value</w:t>
            </w:r>
          </w:p>
        </w:tc>
        <w:tc>
          <w:tcPr>
            <w:tcW w:w="1740" w:type="dxa"/>
            <w:vAlign w:val="bottom"/>
            <w:tcBorders>
              <w:bottom w:val="single" w:sz="8" w:color="auto"/>
            </w:tcBorders>
            <w:gridSpan w:val="2"/>
          </w:tcPr>
          <w:p>
            <w:pPr>
              <w:jc w:val="right"/>
              <w:ind w:right="100"/>
              <w:spacing w:after="0" w:line="183" w:lineRule="exact"/>
              <w:rPr>
                <w:sz w:val="20"/>
                <w:szCs w:val="20"/>
                <w:color w:val="auto"/>
              </w:rPr>
            </w:pPr>
            <w:r>
              <w:rPr>
                <w:rFonts w:ascii="Arial" w:cs="Arial" w:eastAsia="Arial" w:hAnsi="Arial"/>
                <w:sz w:val="16"/>
                <w:szCs w:val="16"/>
                <w:color w:val="auto"/>
              </w:rPr>
              <w:t>$</w:t>
            </w:r>
          </w:p>
        </w:tc>
        <w:tc>
          <w:tcPr>
            <w:tcW w:w="1060" w:type="dxa"/>
            <w:vAlign w:val="bottom"/>
            <w:tcBorders>
              <w:bottom w:val="single" w:sz="8" w:color="auto"/>
            </w:tcBorders>
          </w:tcPr>
          <w:p>
            <w:pPr>
              <w:jc w:val="right"/>
              <w:ind w:right="39"/>
              <w:spacing w:after="0" w:line="183" w:lineRule="exact"/>
              <w:rPr>
                <w:sz w:val="20"/>
                <w:szCs w:val="20"/>
                <w:color w:val="auto"/>
              </w:rPr>
            </w:pPr>
            <w:r>
              <w:rPr>
                <w:rFonts w:ascii="Arial" w:cs="Arial" w:eastAsia="Arial" w:hAnsi="Arial"/>
                <w:sz w:val="16"/>
                <w:szCs w:val="16"/>
                <w:color w:val="auto"/>
              </w:rPr>
              <w:t>159,238</w:t>
            </w:r>
          </w:p>
        </w:tc>
        <w:tc>
          <w:tcPr>
            <w:tcW w:w="320" w:type="dxa"/>
            <w:vAlign w:val="bottom"/>
            <w:tcBorders>
              <w:bottom w:val="single" w:sz="8" w:color="auto"/>
            </w:tcBorders>
          </w:tcPr>
          <w:p>
            <w:pPr>
              <w:jc w:val="right"/>
              <w:ind w:right="19"/>
              <w:spacing w:after="0" w:line="183" w:lineRule="exact"/>
              <w:rPr>
                <w:sz w:val="20"/>
                <w:szCs w:val="20"/>
                <w:color w:val="auto"/>
              </w:rPr>
            </w:pPr>
            <w:r>
              <w:rPr>
                <w:rFonts w:ascii="Arial" w:cs="Arial" w:eastAsia="Arial" w:hAnsi="Arial"/>
                <w:sz w:val="16"/>
                <w:szCs w:val="16"/>
                <w:color w:val="auto"/>
              </w:rPr>
              <w:t>$</w:t>
            </w:r>
          </w:p>
        </w:tc>
        <w:tc>
          <w:tcPr>
            <w:tcW w:w="1060" w:type="dxa"/>
            <w:vAlign w:val="bottom"/>
            <w:tcBorders>
              <w:bottom w:val="single" w:sz="8" w:color="auto"/>
            </w:tcBorders>
          </w:tcPr>
          <w:p>
            <w:pPr>
              <w:jc w:val="right"/>
              <w:ind w:right="39"/>
              <w:spacing w:after="0" w:line="183" w:lineRule="exact"/>
              <w:rPr>
                <w:sz w:val="20"/>
                <w:szCs w:val="20"/>
                <w:color w:val="auto"/>
              </w:rPr>
            </w:pPr>
            <w:r>
              <w:rPr>
                <w:rFonts w:ascii="Arial" w:cs="Arial" w:eastAsia="Arial" w:hAnsi="Arial"/>
                <w:sz w:val="16"/>
                <w:szCs w:val="16"/>
                <w:color w:val="auto"/>
              </w:rPr>
              <w:t>518,853</w:t>
            </w:r>
          </w:p>
        </w:tc>
        <w:tc>
          <w:tcPr>
            <w:tcW w:w="1040" w:type="dxa"/>
            <w:vAlign w:val="bottom"/>
            <w:tcBorders>
              <w:bottom w:val="single" w:sz="8" w:color="auto"/>
            </w:tcBorders>
          </w:tcPr>
          <w:p>
            <w:pPr>
              <w:jc w:val="right"/>
              <w:ind w:right="739"/>
              <w:spacing w:after="0" w:line="183" w:lineRule="exact"/>
              <w:rPr>
                <w:sz w:val="20"/>
                <w:szCs w:val="20"/>
                <w:color w:val="auto"/>
              </w:rPr>
            </w:pPr>
            <w:r>
              <w:rPr>
                <w:rFonts w:ascii="Arial" w:cs="Arial" w:eastAsia="Arial" w:hAnsi="Arial"/>
                <w:sz w:val="16"/>
                <w:szCs w:val="16"/>
                <w:color w:val="auto"/>
              </w:rPr>
              <w:t>$</w:t>
            </w:r>
          </w:p>
        </w:tc>
        <w:tc>
          <w:tcPr>
            <w:tcW w:w="340" w:type="dxa"/>
            <w:vAlign w:val="bottom"/>
            <w:tcBorders>
              <w:bottom w:val="single" w:sz="8" w:color="auto"/>
            </w:tcBorders>
          </w:tcPr>
          <w:p>
            <w:pPr>
              <w:ind w:left="60"/>
              <w:spacing w:after="0" w:line="183" w:lineRule="exact"/>
              <w:rPr>
                <w:sz w:val="20"/>
                <w:szCs w:val="20"/>
                <w:color w:val="auto"/>
              </w:rPr>
            </w:pPr>
            <w:r>
              <w:rPr>
                <w:rFonts w:ascii="Arial" w:cs="Arial" w:eastAsia="Arial" w:hAnsi="Arial"/>
                <w:sz w:val="16"/>
                <w:szCs w:val="16"/>
                <w:color w:val="auto"/>
              </w:rPr>
              <w:t>—</w:t>
            </w:r>
          </w:p>
        </w:tc>
        <w:tc>
          <w:tcPr>
            <w:tcW w:w="360" w:type="dxa"/>
            <w:vAlign w:val="bottom"/>
            <w:tcBorders>
              <w:bottom w:val="single" w:sz="8" w:color="auto"/>
            </w:tcBorders>
          </w:tcPr>
          <w:p>
            <w:pPr>
              <w:jc w:val="right"/>
              <w:ind w:right="59"/>
              <w:spacing w:after="0" w:line="183" w:lineRule="exact"/>
              <w:rPr>
                <w:sz w:val="20"/>
                <w:szCs w:val="20"/>
                <w:color w:val="auto"/>
              </w:rPr>
            </w:pPr>
            <w:r>
              <w:rPr>
                <w:rFonts w:ascii="Arial" w:cs="Arial" w:eastAsia="Arial" w:hAnsi="Arial"/>
                <w:sz w:val="16"/>
                <w:szCs w:val="16"/>
                <w:color w:val="auto"/>
              </w:rPr>
              <w:t>$</w:t>
            </w:r>
          </w:p>
        </w:tc>
        <w:tc>
          <w:tcPr>
            <w:tcW w:w="1040" w:type="dxa"/>
            <w:vAlign w:val="bottom"/>
            <w:tcBorders>
              <w:bottom w:val="single" w:sz="8" w:color="auto"/>
            </w:tcBorders>
          </w:tcPr>
          <w:p>
            <w:pPr>
              <w:jc w:val="right"/>
              <w:ind w:right="39"/>
              <w:spacing w:after="0" w:line="183" w:lineRule="exact"/>
              <w:rPr>
                <w:sz w:val="20"/>
                <w:szCs w:val="20"/>
                <w:color w:val="auto"/>
              </w:rPr>
            </w:pPr>
            <w:r>
              <w:rPr>
                <w:rFonts w:ascii="Arial" w:cs="Arial" w:eastAsia="Arial" w:hAnsi="Arial"/>
                <w:sz w:val="16"/>
                <w:szCs w:val="16"/>
                <w:color w:val="auto"/>
              </w:rPr>
              <w:t>678,091</w:t>
            </w:r>
          </w:p>
        </w:tc>
      </w:tr>
    </w:tbl>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4280" w:type="dxa"/>
            <w:vAlign w:val="bottom"/>
            <w:tcBorders>
              <w:top w:val="single" w:sz="8" w:color="auto"/>
            </w:tcBorders>
          </w:tcPr>
          <w:p>
            <w:pPr>
              <w:spacing w:after="0"/>
              <w:rPr>
                <w:sz w:val="17"/>
                <w:szCs w:val="17"/>
                <w:color w:val="auto"/>
              </w:rPr>
            </w:pPr>
          </w:p>
        </w:tc>
        <w:tc>
          <w:tcPr>
            <w:tcW w:w="1540" w:type="dxa"/>
            <w:vAlign w:val="bottom"/>
            <w:tcBorders>
              <w:top w:val="single" w:sz="8" w:color="auto"/>
            </w:tcBorders>
          </w:tcPr>
          <w:p>
            <w:pPr>
              <w:spacing w:after="0"/>
              <w:rPr>
                <w:sz w:val="17"/>
                <w:szCs w:val="17"/>
                <w:color w:val="auto"/>
              </w:rPr>
            </w:pPr>
          </w:p>
        </w:tc>
        <w:tc>
          <w:tcPr>
            <w:tcW w:w="200" w:type="dxa"/>
            <w:vAlign w:val="bottom"/>
            <w:tcBorders>
              <w:top w:val="single" w:sz="8" w:color="auto"/>
              <w:bottom w:val="single" w:sz="8" w:color="auto"/>
            </w:tcBorders>
          </w:tcPr>
          <w:p>
            <w:pPr>
              <w:spacing w:after="0"/>
              <w:rPr>
                <w:sz w:val="17"/>
                <w:szCs w:val="17"/>
                <w:color w:val="auto"/>
              </w:rPr>
            </w:pPr>
          </w:p>
        </w:tc>
        <w:tc>
          <w:tcPr>
            <w:tcW w:w="1060" w:type="dxa"/>
            <w:vAlign w:val="bottom"/>
            <w:tcBorders>
              <w:top w:val="single" w:sz="8" w:color="auto"/>
              <w:bottom w:val="single" w:sz="8" w:color="auto"/>
            </w:tcBorders>
          </w:tcPr>
          <w:p>
            <w:pPr>
              <w:spacing w:after="0"/>
              <w:rPr>
                <w:sz w:val="17"/>
                <w:szCs w:val="17"/>
                <w:color w:val="auto"/>
              </w:rPr>
            </w:pPr>
          </w:p>
        </w:tc>
        <w:tc>
          <w:tcPr>
            <w:tcW w:w="320" w:type="dxa"/>
            <w:vAlign w:val="bottom"/>
            <w:tcBorders>
              <w:top w:val="single" w:sz="8" w:color="auto"/>
              <w:bottom w:val="single" w:sz="8" w:color="auto"/>
            </w:tcBorders>
          </w:tcPr>
          <w:p>
            <w:pPr>
              <w:spacing w:after="0"/>
              <w:rPr>
                <w:sz w:val="17"/>
                <w:szCs w:val="17"/>
                <w:color w:val="auto"/>
              </w:rPr>
            </w:pPr>
          </w:p>
        </w:tc>
        <w:tc>
          <w:tcPr>
            <w:tcW w:w="210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6"/>
                <w:szCs w:val="16"/>
                <w:b w:val="1"/>
                <w:bCs w:val="1"/>
                <w:color w:val="auto"/>
              </w:rPr>
              <w:t>As of December 31, 2025</w:t>
            </w:r>
          </w:p>
        </w:tc>
        <w:tc>
          <w:tcPr>
            <w:tcW w:w="340" w:type="dxa"/>
            <w:vAlign w:val="bottom"/>
            <w:tcBorders>
              <w:top w:val="single" w:sz="8" w:color="auto"/>
              <w:bottom w:val="single" w:sz="8" w:color="auto"/>
            </w:tcBorders>
          </w:tcPr>
          <w:p>
            <w:pPr>
              <w:spacing w:after="0"/>
              <w:rPr>
                <w:sz w:val="17"/>
                <w:szCs w:val="17"/>
                <w:color w:val="auto"/>
              </w:rPr>
            </w:pPr>
          </w:p>
        </w:tc>
        <w:tc>
          <w:tcPr>
            <w:tcW w:w="360" w:type="dxa"/>
            <w:vAlign w:val="bottom"/>
            <w:tcBorders>
              <w:top w:val="single" w:sz="8" w:color="auto"/>
              <w:bottom w:val="single" w:sz="8" w:color="auto"/>
            </w:tcBorders>
          </w:tcPr>
          <w:p>
            <w:pPr>
              <w:spacing w:after="0"/>
              <w:rPr>
                <w:sz w:val="17"/>
                <w:szCs w:val="17"/>
                <w:color w:val="auto"/>
              </w:rPr>
            </w:pPr>
          </w:p>
        </w:tc>
        <w:tc>
          <w:tcPr>
            <w:tcW w:w="1040" w:type="dxa"/>
            <w:vAlign w:val="bottom"/>
            <w:tcBorders>
              <w:top w:val="single" w:sz="8" w:color="auto"/>
              <w:bottom w:val="single" w:sz="8" w:color="auto"/>
            </w:tcBorders>
          </w:tcPr>
          <w:p>
            <w:pPr>
              <w:spacing w:after="0"/>
              <w:rPr>
                <w:sz w:val="17"/>
                <w:szCs w:val="17"/>
                <w:color w:val="auto"/>
              </w:rPr>
            </w:pPr>
          </w:p>
        </w:tc>
      </w:tr>
      <w:tr>
        <w:trPr>
          <w:trHeight w:val="183"/>
        </w:trPr>
        <w:tc>
          <w:tcPr>
            <w:tcW w:w="4280" w:type="dxa"/>
            <w:vAlign w:val="bottom"/>
          </w:tcPr>
          <w:p>
            <w:pPr>
              <w:spacing w:after="0"/>
              <w:rPr>
                <w:sz w:val="15"/>
                <w:szCs w:val="15"/>
                <w:color w:val="auto"/>
              </w:rPr>
            </w:pPr>
          </w:p>
        </w:tc>
        <w:tc>
          <w:tcPr>
            <w:tcW w:w="154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right"/>
              <w:ind w:right="339"/>
              <w:spacing w:after="0" w:line="183" w:lineRule="exact"/>
              <w:rPr>
                <w:sz w:val="20"/>
                <w:szCs w:val="20"/>
                <w:color w:val="auto"/>
              </w:rPr>
            </w:pPr>
            <w:r>
              <w:rPr>
                <w:rFonts w:ascii="Arial" w:cs="Arial" w:eastAsia="Arial" w:hAnsi="Arial"/>
                <w:sz w:val="16"/>
                <w:szCs w:val="16"/>
                <w:b w:val="1"/>
                <w:bCs w:val="1"/>
                <w:color w:val="auto"/>
              </w:rPr>
              <w:t>Level 1</w:t>
            </w:r>
          </w:p>
        </w:tc>
        <w:tc>
          <w:tcPr>
            <w:tcW w:w="32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right"/>
              <w:ind w:right="339"/>
              <w:spacing w:after="0" w:line="183" w:lineRule="exact"/>
              <w:rPr>
                <w:sz w:val="20"/>
                <w:szCs w:val="20"/>
                <w:color w:val="auto"/>
              </w:rPr>
            </w:pPr>
            <w:r>
              <w:rPr>
                <w:rFonts w:ascii="Arial" w:cs="Arial" w:eastAsia="Arial" w:hAnsi="Arial"/>
                <w:sz w:val="16"/>
                <w:szCs w:val="16"/>
                <w:b w:val="1"/>
                <w:bCs w:val="1"/>
                <w:color w:val="auto"/>
              </w:rPr>
              <w:t>Level 2</w:t>
            </w:r>
          </w:p>
        </w:tc>
        <w:tc>
          <w:tcPr>
            <w:tcW w:w="104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6"/>
                <w:szCs w:val="16"/>
                <w:b w:val="1"/>
                <w:bCs w:val="1"/>
                <w:color w:val="auto"/>
              </w:rPr>
              <w:t>Level 3</w:t>
            </w:r>
          </w:p>
        </w:tc>
        <w:tc>
          <w:tcPr>
            <w:tcW w:w="340" w:type="dxa"/>
            <w:vAlign w:val="bottom"/>
            <w:tcBorders>
              <w:bottom w:val="single" w:sz="8" w:color="auto"/>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ind w:right="419"/>
              <w:spacing w:after="0" w:line="183" w:lineRule="exact"/>
              <w:rPr>
                <w:sz w:val="20"/>
                <w:szCs w:val="20"/>
                <w:color w:val="auto"/>
              </w:rPr>
            </w:pPr>
            <w:r>
              <w:rPr>
                <w:rFonts w:ascii="Arial" w:cs="Arial" w:eastAsia="Arial" w:hAnsi="Arial"/>
                <w:sz w:val="16"/>
                <w:szCs w:val="16"/>
                <w:b w:val="1"/>
                <w:bCs w:val="1"/>
                <w:color w:val="auto"/>
              </w:rPr>
              <w:t>Total</w:t>
            </w:r>
          </w:p>
        </w:tc>
      </w:tr>
      <w:tr>
        <w:trPr>
          <w:trHeight w:val="183"/>
        </w:trPr>
        <w:tc>
          <w:tcPr>
            <w:tcW w:w="4280" w:type="dxa"/>
            <w:vAlign w:val="bottom"/>
            <w:shd w:val="clear" w:color="auto" w:fill="CFF0FC"/>
          </w:tcPr>
          <w:p>
            <w:pPr>
              <w:spacing w:after="0" w:line="183" w:lineRule="exact"/>
              <w:rPr>
                <w:sz w:val="20"/>
                <w:szCs w:val="20"/>
                <w:color w:val="auto"/>
              </w:rPr>
            </w:pPr>
            <w:r>
              <w:rPr>
                <w:rFonts w:ascii="Arial" w:cs="Arial" w:eastAsia="Arial" w:hAnsi="Arial"/>
                <w:sz w:val="16"/>
                <w:szCs w:val="16"/>
                <w:b w:val="1"/>
                <w:bCs w:val="1"/>
                <w:color w:val="auto"/>
              </w:rPr>
              <w:t>Current assets</w:t>
            </w:r>
          </w:p>
        </w:tc>
        <w:tc>
          <w:tcPr>
            <w:tcW w:w="154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1060" w:type="dxa"/>
            <w:vAlign w:val="bottom"/>
            <w:shd w:val="clear" w:color="auto" w:fill="CFF0FC"/>
          </w:tcPr>
          <w:p>
            <w:pPr>
              <w:spacing w:after="0"/>
              <w:rPr>
                <w:sz w:val="15"/>
                <w:szCs w:val="15"/>
                <w:color w:val="auto"/>
              </w:rPr>
            </w:pPr>
          </w:p>
        </w:tc>
        <w:tc>
          <w:tcPr>
            <w:tcW w:w="320" w:type="dxa"/>
            <w:vAlign w:val="bottom"/>
            <w:shd w:val="clear" w:color="auto" w:fill="CFF0FC"/>
          </w:tcPr>
          <w:p>
            <w:pPr>
              <w:spacing w:after="0"/>
              <w:rPr>
                <w:sz w:val="15"/>
                <w:szCs w:val="15"/>
                <w:color w:val="auto"/>
              </w:rPr>
            </w:pPr>
          </w:p>
        </w:tc>
        <w:tc>
          <w:tcPr>
            <w:tcW w:w="1060" w:type="dxa"/>
            <w:vAlign w:val="bottom"/>
            <w:shd w:val="clear" w:color="auto" w:fill="CFF0FC"/>
          </w:tcPr>
          <w:p>
            <w:pPr>
              <w:spacing w:after="0"/>
              <w:rPr>
                <w:sz w:val="15"/>
                <w:szCs w:val="15"/>
                <w:color w:val="auto"/>
              </w:rPr>
            </w:pPr>
          </w:p>
        </w:tc>
        <w:tc>
          <w:tcPr>
            <w:tcW w:w="1040" w:type="dxa"/>
            <w:vAlign w:val="bottom"/>
            <w:shd w:val="clear" w:color="auto" w:fill="CFF0FC"/>
          </w:tcPr>
          <w:p>
            <w:pPr>
              <w:spacing w:after="0"/>
              <w:rPr>
                <w:sz w:val="15"/>
                <w:szCs w:val="15"/>
                <w:color w:val="auto"/>
              </w:rPr>
            </w:pPr>
          </w:p>
        </w:tc>
        <w:tc>
          <w:tcPr>
            <w:tcW w:w="340" w:type="dxa"/>
            <w:vAlign w:val="bottom"/>
            <w:shd w:val="clear" w:color="auto" w:fill="CFF0FC"/>
          </w:tcPr>
          <w:p>
            <w:pPr>
              <w:spacing w:after="0"/>
              <w:rPr>
                <w:sz w:val="15"/>
                <w:szCs w:val="15"/>
                <w:color w:val="auto"/>
              </w:rPr>
            </w:pPr>
          </w:p>
        </w:tc>
        <w:tc>
          <w:tcPr>
            <w:tcW w:w="360" w:type="dxa"/>
            <w:vAlign w:val="bottom"/>
            <w:shd w:val="clear" w:color="auto" w:fill="CFF0FC"/>
          </w:tcPr>
          <w:p>
            <w:pPr>
              <w:spacing w:after="0"/>
              <w:rPr>
                <w:sz w:val="15"/>
                <w:szCs w:val="15"/>
                <w:color w:val="auto"/>
              </w:rPr>
            </w:pPr>
          </w:p>
        </w:tc>
        <w:tc>
          <w:tcPr>
            <w:tcW w:w="1040" w:type="dxa"/>
            <w:vAlign w:val="bottom"/>
            <w:shd w:val="clear" w:color="auto" w:fill="CFF0FC"/>
          </w:tcPr>
          <w:p>
            <w:pPr>
              <w:spacing w:after="0"/>
              <w:rPr>
                <w:sz w:val="15"/>
                <w:szCs w:val="15"/>
                <w:color w:val="auto"/>
              </w:rPr>
            </w:pPr>
          </w:p>
        </w:tc>
      </w:tr>
      <w:tr>
        <w:trPr>
          <w:trHeight w:val="189"/>
        </w:trPr>
        <w:tc>
          <w:tcPr>
            <w:tcW w:w="4280" w:type="dxa"/>
            <w:vAlign w:val="bottom"/>
          </w:tcPr>
          <w:p>
            <w:pPr>
              <w:ind w:left="120"/>
              <w:spacing w:after="0"/>
              <w:rPr>
                <w:sz w:val="20"/>
                <w:szCs w:val="20"/>
                <w:color w:val="auto"/>
              </w:rPr>
            </w:pPr>
            <w:r>
              <w:rPr>
                <w:rFonts w:ascii="Arial" w:cs="Arial" w:eastAsia="Arial" w:hAnsi="Arial"/>
                <w:sz w:val="16"/>
                <w:szCs w:val="16"/>
                <w:color w:val="auto"/>
              </w:rPr>
              <w:t>Money market funds</w:t>
            </w:r>
          </w:p>
        </w:tc>
        <w:tc>
          <w:tcPr>
            <w:tcW w:w="174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1060" w:type="dxa"/>
            <w:vAlign w:val="bottom"/>
          </w:tcPr>
          <w:p>
            <w:pPr>
              <w:jc w:val="right"/>
              <w:ind w:right="39"/>
              <w:spacing w:after="0"/>
              <w:rPr>
                <w:sz w:val="20"/>
                <w:szCs w:val="20"/>
                <w:color w:val="auto"/>
              </w:rPr>
            </w:pPr>
            <w:r>
              <w:rPr>
                <w:rFonts w:ascii="Arial" w:cs="Arial" w:eastAsia="Arial" w:hAnsi="Arial"/>
                <w:sz w:val="16"/>
                <w:szCs w:val="16"/>
                <w:color w:val="auto"/>
              </w:rPr>
              <w:t>129,279</w:t>
            </w:r>
          </w:p>
        </w:tc>
        <w:tc>
          <w:tcPr>
            <w:tcW w:w="3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06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040" w:type="dxa"/>
            <w:vAlign w:val="bottom"/>
          </w:tcPr>
          <w:p>
            <w:pPr>
              <w:jc w:val="right"/>
              <w:ind w:right="739"/>
              <w:spacing w:after="0"/>
              <w:rPr>
                <w:sz w:val="20"/>
                <w:szCs w:val="20"/>
                <w:color w:val="auto"/>
              </w:rPr>
            </w:pPr>
            <w:r>
              <w:rPr>
                <w:rFonts w:ascii="Arial" w:cs="Arial" w:eastAsia="Arial" w:hAnsi="Arial"/>
                <w:sz w:val="16"/>
                <w:szCs w:val="16"/>
                <w:color w:val="auto"/>
              </w:rPr>
              <w:t>$</w:t>
            </w:r>
          </w:p>
        </w:tc>
        <w:tc>
          <w:tcPr>
            <w:tcW w:w="340" w:type="dxa"/>
            <w:vAlign w:val="bottom"/>
          </w:tcPr>
          <w:p>
            <w:pPr>
              <w:ind w:left="60"/>
              <w:spacing w:after="0"/>
              <w:rPr>
                <w:sz w:val="20"/>
                <w:szCs w:val="20"/>
                <w:color w:val="auto"/>
              </w:rPr>
            </w:pPr>
            <w:r>
              <w:rPr>
                <w:rFonts w:ascii="Arial" w:cs="Arial" w:eastAsia="Arial" w:hAnsi="Arial"/>
                <w:sz w:val="16"/>
                <w:szCs w:val="16"/>
                <w:color w:val="auto"/>
              </w:rPr>
              <w:t>—</w:t>
            </w:r>
          </w:p>
        </w:tc>
        <w:tc>
          <w:tcPr>
            <w:tcW w:w="36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1040" w:type="dxa"/>
            <w:vAlign w:val="bottom"/>
          </w:tcPr>
          <w:p>
            <w:pPr>
              <w:jc w:val="right"/>
              <w:ind w:right="39"/>
              <w:spacing w:after="0"/>
              <w:rPr>
                <w:sz w:val="20"/>
                <w:szCs w:val="20"/>
                <w:color w:val="auto"/>
              </w:rPr>
            </w:pPr>
            <w:r>
              <w:rPr>
                <w:rFonts w:ascii="Arial" w:cs="Arial" w:eastAsia="Arial" w:hAnsi="Arial"/>
                <w:sz w:val="16"/>
                <w:szCs w:val="16"/>
                <w:color w:val="auto"/>
              </w:rPr>
              <w:t>129,279</w:t>
            </w:r>
          </w:p>
        </w:tc>
      </w:tr>
      <w:tr>
        <w:trPr>
          <w:trHeight w:val="189"/>
        </w:trPr>
        <w:tc>
          <w:tcPr>
            <w:tcW w:w="4280" w:type="dxa"/>
            <w:vAlign w:val="bottom"/>
            <w:shd w:val="clear" w:color="auto" w:fill="CFF0FC"/>
          </w:tcPr>
          <w:p>
            <w:pPr>
              <w:ind w:left="120"/>
              <w:spacing w:after="0"/>
              <w:rPr>
                <w:sz w:val="20"/>
                <w:szCs w:val="20"/>
                <w:color w:val="auto"/>
              </w:rPr>
            </w:pPr>
            <w:r>
              <w:rPr>
                <w:rFonts w:ascii="Arial" w:cs="Arial" w:eastAsia="Arial" w:hAnsi="Arial"/>
                <w:sz w:val="16"/>
                <w:szCs w:val="16"/>
                <w:color w:val="auto"/>
              </w:rPr>
              <w:t>Pension plan assets</w:t>
            </w:r>
          </w:p>
        </w:tc>
        <w:tc>
          <w:tcPr>
            <w:tcW w:w="154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106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w:t>
            </w:r>
          </w:p>
        </w:tc>
        <w:tc>
          <w:tcPr>
            <w:tcW w:w="320" w:type="dxa"/>
            <w:vAlign w:val="bottom"/>
            <w:shd w:val="clear" w:color="auto" w:fill="CFF0FC"/>
          </w:tcPr>
          <w:p>
            <w:pPr>
              <w:spacing w:after="0"/>
              <w:rPr>
                <w:sz w:val="16"/>
                <w:szCs w:val="16"/>
                <w:color w:val="auto"/>
              </w:rPr>
            </w:pPr>
          </w:p>
        </w:tc>
        <w:tc>
          <w:tcPr>
            <w:tcW w:w="106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12,440</w:t>
            </w:r>
          </w:p>
        </w:tc>
        <w:tc>
          <w:tcPr>
            <w:tcW w:w="1040" w:type="dxa"/>
            <w:vAlign w:val="bottom"/>
            <w:shd w:val="clear" w:color="auto" w:fill="CFF0FC"/>
          </w:tcPr>
          <w:p>
            <w:pPr>
              <w:spacing w:after="0"/>
              <w:rPr>
                <w:sz w:val="16"/>
                <w:szCs w:val="16"/>
                <w:color w:val="auto"/>
              </w:rPr>
            </w:pPr>
          </w:p>
        </w:tc>
        <w:tc>
          <w:tcPr>
            <w:tcW w:w="340" w:type="dxa"/>
            <w:vAlign w:val="bottom"/>
            <w:shd w:val="clear" w:color="auto" w:fill="CFF0FC"/>
          </w:tcPr>
          <w:p>
            <w:pPr>
              <w:ind w:left="60"/>
              <w:spacing w:after="0"/>
              <w:rPr>
                <w:sz w:val="20"/>
                <w:szCs w:val="20"/>
                <w:color w:val="auto"/>
              </w:rPr>
            </w:pPr>
            <w:r>
              <w:rPr>
                <w:rFonts w:ascii="Arial" w:cs="Arial" w:eastAsia="Arial" w:hAnsi="Arial"/>
                <w:sz w:val="16"/>
                <w:szCs w:val="16"/>
                <w:color w:val="auto"/>
              </w:rPr>
              <w:t>—</w:t>
            </w:r>
          </w:p>
        </w:tc>
        <w:tc>
          <w:tcPr>
            <w:tcW w:w="360" w:type="dxa"/>
            <w:vAlign w:val="bottom"/>
            <w:shd w:val="clear" w:color="auto" w:fill="CFF0FC"/>
          </w:tcPr>
          <w:p>
            <w:pPr>
              <w:spacing w:after="0"/>
              <w:rPr>
                <w:sz w:val="16"/>
                <w:szCs w:val="16"/>
                <w:color w:val="auto"/>
              </w:rPr>
            </w:pPr>
          </w:p>
        </w:tc>
        <w:tc>
          <w:tcPr>
            <w:tcW w:w="104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12,440</w:t>
            </w:r>
          </w:p>
        </w:tc>
      </w:tr>
      <w:tr>
        <w:trPr>
          <w:trHeight w:val="189"/>
        </w:trPr>
        <w:tc>
          <w:tcPr>
            <w:tcW w:w="4280" w:type="dxa"/>
            <w:vAlign w:val="bottom"/>
          </w:tcPr>
          <w:p>
            <w:pPr>
              <w:ind w:left="120"/>
              <w:spacing w:after="0"/>
              <w:rPr>
                <w:sz w:val="20"/>
                <w:szCs w:val="20"/>
                <w:color w:val="auto"/>
              </w:rPr>
            </w:pPr>
            <w:r>
              <w:rPr>
                <w:rFonts w:ascii="Arial" w:cs="Arial" w:eastAsia="Arial" w:hAnsi="Arial"/>
                <w:sz w:val="16"/>
                <w:szCs w:val="16"/>
                <w:color w:val="auto"/>
              </w:rPr>
              <w:t>Corporate debt securities</w:t>
            </w:r>
          </w:p>
        </w:tc>
        <w:tc>
          <w:tcPr>
            <w:tcW w:w="15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6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16"/>
                <w:szCs w:val="16"/>
                <w:color w:val="auto"/>
              </w:rPr>
            </w:pPr>
          </w:p>
        </w:tc>
        <w:tc>
          <w:tcPr>
            <w:tcW w:w="1060" w:type="dxa"/>
            <w:vAlign w:val="bottom"/>
          </w:tcPr>
          <w:p>
            <w:pPr>
              <w:jc w:val="right"/>
              <w:ind w:right="39"/>
              <w:spacing w:after="0"/>
              <w:rPr>
                <w:sz w:val="20"/>
                <w:szCs w:val="20"/>
                <w:color w:val="auto"/>
              </w:rPr>
            </w:pPr>
            <w:r>
              <w:rPr>
                <w:rFonts w:ascii="Arial" w:cs="Arial" w:eastAsia="Arial" w:hAnsi="Arial"/>
                <w:sz w:val="16"/>
                <w:szCs w:val="16"/>
                <w:color w:val="auto"/>
              </w:rPr>
              <w:t>99,596</w:t>
            </w:r>
          </w:p>
        </w:tc>
        <w:tc>
          <w:tcPr>
            <w:tcW w:w="1040" w:type="dxa"/>
            <w:vAlign w:val="bottom"/>
          </w:tcPr>
          <w:p>
            <w:pPr>
              <w:spacing w:after="0"/>
              <w:rPr>
                <w:sz w:val="16"/>
                <w:szCs w:val="16"/>
                <w:color w:val="auto"/>
              </w:rPr>
            </w:pPr>
          </w:p>
        </w:tc>
        <w:tc>
          <w:tcPr>
            <w:tcW w:w="340" w:type="dxa"/>
            <w:vAlign w:val="bottom"/>
          </w:tcPr>
          <w:p>
            <w:pPr>
              <w:ind w:left="60"/>
              <w:spacing w:after="0"/>
              <w:rPr>
                <w:sz w:val="20"/>
                <w:szCs w:val="20"/>
                <w:color w:val="auto"/>
              </w:rPr>
            </w:pPr>
            <w:r>
              <w:rPr>
                <w:rFonts w:ascii="Arial" w:cs="Arial" w:eastAsia="Arial" w:hAnsi="Arial"/>
                <w:sz w:val="16"/>
                <w:szCs w:val="16"/>
                <w:color w:val="auto"/>
              </w:rPr>
              <w:t>—</w:t>
            </w:r>
          </w:p>
        </w:tc>
        <w:tc>
          <w:tcPr>
            <w:tcW w:w="360" w:type="dxa"/>
            <w:vAlign w:val="bottom"/>
          </w:tcPr>
          <w:p>
            <w:pPr>
              <w:spacing w:after="0"/>
              <w:rPr>
                <w:sz w:val="16"/>
                <w:szCs w:val="16"/>
                <w:color w:val="auto"/>
              </w:rPr>
            </w:pPr>
          </w:p>
        </w:tc>
        <w:tc>
          <w:tcPr>
            <w:tcW w:w="1040" w:type="dxa"/>
            <w:vAlign w:val="bottom"/>
          </w:tcPr>
          <w:p>
            <w:pPr>
              <w:jc w:val="right"/>
              <w:ind w:right="39"/>
              <w:spacing w:after="0"/>
              <w:rPr>
                <w:sz w:val="20"/>
                <w:szCs w:val="20"/>
                <w:color w:val="auto"/>
              </w:rPr>
            </w:pPr>
            <w:r>
              <w:rPr>
                <w:rFonts w:ascii="Arial" w:cs="Arial" w:eastAsia="Arial" w:hAnsi="Arial"/>
                <w:sz w:val="16"/>
                <w:szCs w:val="16"/>
                <w:color w:val="auto"/>
              </w:rPr>
              <w:t>99,596</w:t>
            </w:r>
          </w:p>
        </w:tc>
      </w:tr>
      <w:tr>
        <w:trPr>
          <w:trHeight w:val="189"/>
        </w:trPr>
        <w:tc>
          <w:tcPr>
            <w:tcW w:w="4280" w:type="dxa"/>
            <w:vAlign w:val="bottom"/>
            <w:tcBorders>
              <w:bottom w:val="single" w:sz="8" w:color="CFF0FC"/>
            </w:tcBorders>
            <w:shd w:val="clear" w:color="auto" w:fill="CFF0FC"/>
          </w:tcPr>
          <w:p>
            <w:pPr>
              <w:ind w:left="120"/>
              <w:spacing w:after="0"/>
              <w:rPr>
                <w:sz w:val="20"/>
                <w:szCs w:val="20"/>
                <w:color w:val="auto"/>
              </w:rPr>
            </w:pPr>
            <w:r>
              <w:rPr>
                <w:rFonts w:ascii="Arial" w:cs="Arial" w:eastAsia="Arial" w:hAnsi="Arial"/>
                <w:sz w:val="16"/>
                <w:szCs w:val="16"/>
                <w:color w:val="auto"/>
              </w:rPr>
              <w:t>U.S Treasury securities</w:t>
            </w:r>
          </w:p>
        </w:tc>
        <w:tc>
          <w:tcPr>
            <w:tcW w:w="1540" w:type="dxa"/>
            <w:vAlign w:val="bottom"/>
            <w:tcBorders>
              <w:bottom w:val="single" w:sz="8" w:color="CFF0FC"/>
            </w:tcBorders>
            <w:shd w:val="clear" w:color="auto" w:fill="CFF0FC"/>
          </w:tcPr>
          <w:p>
            <w:pPr>
              <w:spacing w:after="0"/>
              <w:rPr>
                <w:sz w:val="16"/>
                <w:szCs w:val="16"/>
                <w:color w:val="auto"/>
              </w:rPr>
            </w:pPr>
          </w:p>
        </w:tc>
        <w:tc>
          <w:tcPr>
            <w:tcW w:w="200" w:type="dxa"/>
            <w:vAlign w:val="bottom"/>
            <w:tcBorders>
              <w:bottom w:val="single" w:sz="8" w:color="auto"/>
            </w:tcBorders>
            <w:shd w:val="clear" w:color="auto" w:fill="CFF0FC"/>
          </w:tcPr>
          <w:p>
            <w:pPr>
              <w:spacing w:after="0"/>
              <w:rPr>
                <w:sz w:val="16"/>
                <w:szCs w:val="16"/>
                <w:color w:val="auto"/>
              </w:rPr>
            </w:pPr>
          </w:p>
        </w:tc>
        <w:tc>
          <w:tcPr>
            <w:tcW w:w="1060" w:type="dxa"/>
            <w:vAlign w:val="bottom"/>
            <w:tcBorders>
              <w:bottom w:val="single" w:sz="8" w:color="auto"/>
            </w:tcBorders>
            <w:shd w:val="clear" w:color="auto" w:fill="CFF0FC"/>
          </w:tcPr>
          <w:p>
            <w:pPr>
              <w:jc w:val="right"/>
              <w:ind w:right="39"/>
              <w:spacing w:after="0"/>
              <w:rPr>
                <w:sz w:val="20"/>
                <w:szCs w:val="20"/>
                <w:color w:val="auto"/>
              </w:rPr>
            </w:pPr>
            <w:r>
              <w:rPr>
                <w:rFonts w:ascii="Arial" w:cs="Arial" w:eastAsia="Arial" w:hAnsi="Arial"/>
                <w:sz w:val="16"/>
                <w:szCs w:val="16"/>
                <w:color w:val="auto"/>
              </w:rPr>
              <w:t>—</w:t>
            </w:r>
          </w:p>
        </w:tc>
        <w:tc>
          <w:tcPr>
            <w:tcW w:w="320" w:type="dxa"/>
            <w:vAlign w:val="bottom"/>
            <w:tcBorders>
              <w:bottom w:val="single" w:sz="8" w:color="auto"/>
            </w:tcBorders>
            <w:shd w:val="clear" w:color="auto" w:fill="CFF0FC"/>
          </w:tcPr>
          <w:p>
            <w:pPr>
              <w:spacing w:after="0"/>
              <w:rPr>
                <w:sz w:val="16"/>
                <w:szCs w:val="16"/>
                <w:color w:val="auto"/>
              </w:rPr>
            </w:pPr>
          </w:p>
        </w:tc>
        <w:tc>
          <w:tcPr>
            <w:tcW w:w="1060" w:type="dxa"/>
            <w:vAlign w:val="bottom"/>
            <w:tcBorders>
              <w:bottom w:val="single" w:sz="8" w:color="auto"/>
            </w:tcBorders>
            <w:shd w:val="clear" w:color="auto" w:fill="CFF0FC"/>
          </w:tcPr>
          <w:p>
            <w:pPr>
              <w:jc w:val="right"/>
              <w:ind w:right="39"/>
              <w:spacing w:after="0"/>
              <w:rPr>
                <w:sz w:val="20"/>
                <w:szCs w:val="20"/>
                <w:color w:val="auto"/>
              </w:rPr>
            </w:pPr>
            <w:r>
              <w:rPr>
                <w:rFonts w:ascii="Arial" w:cs="Arial" w:eastAsia="Arial" w:hAnsi="Arial"/>
                <w:sz w:val="16"/>
                <w:szCs w:val="16"/>
                <w:color w:val="auto"/>
              </w:rPr>
              <w:t>147,625</w:t>
            </w:r>
          </w:p>
        </w:tc>
        <w:tc>
          <w:tcPr>
            <w:tcW w:w="1040" w:type="dxa"/>
            <w:vAlign w:val="bottom"/>
            <w:tcBorders>
              <w:bottom w:val="single" w:sz="8" w:color="auto"/>
            </w:tcBorders>
            <w:shd w:val="clear" w:color="auto" w:fill="CFF0FC"/>
          </w:tcPr>
          <w:p>
            <w:pPr>
              <w:spacing w:after="0"/>
              <w:rPr>
                <w:sz w:val="16"/>
                <w:szCs w:val="16"/>
                <w:color w:val="auto"/>
              </w:rPr>
            </w:pPr>
          </w:p>
        </w:tc>
        <w:tc>
          <w:tcPr>
            <w:tcW w:w="340" w:type="dxa"/>
            <w:vAlign w:val="bottom"/>
            <w:tcBorders>
              <w:bottom w:val="single" w:sz="8" w:color="auto"/>
            </w:tcBorders>
            <w:shd w:val="clear" w:color="auto" w:fill="CFF0FC"/>
          </w:tcPr>
          <w:p>
            <w:pPr>
              <w:ind w:left="60"/>
              <w:spacing w:after="0"/>
              <w:rPr>
                <w:sz w:val="20"/>
                <w:szCs w:val="20"/>
                <w:color w:val="auto"/>
              </w:rPr>
            </w:pPr>
            <w:r>
              <w:rPr>
                <w:rFonts w:ascii="Arial" w:cs="Arial" w:eastAsia="Arial" w:hAnsi="Arial"/>
                <w:sz w:val="16"/>
                <w:szCs w:val="16"/>
                <w:color w:val="auto"/>
              </w:rPr>
              <w:t>—</w:t>
            </w:r>
          </w:p>
        </w:tc>
        <w:tc>
          <w:tcPr>
            <w:tcW w:w="360" w:type="dxa"/>
            <w:vAlign w:val="bottom"/>
            <w:tcBorders>
              <w:bottom w:val="single" w:sz="8" w:color="auto"/>
            </w:tcBorders>
            <w:shd w:val="clear" w:color="auto" w:fill="CFF0FC"/>
          </w:tcPr>
          <w:p>
            <w:pPr>
              <w:spacing w:after="0"/>
              <w:rPr>
                <w:sz w:val="16"/>
                <w:szCs w:val="16"/>
                <w:color w:val="auto"/>
              </w:rPr>
            </w:pPr>
          </w:p>
        </w:tc>
        <w:tc>
          <w:tcPr>
            <w:tcW w:w="1040" w:type="dxa"/>
            <w:vAlign w:val="bottom"/>
            <w:tcBorders>
              <w:bottom w:val="single" w:sz="8" w:color="auto"/>
            </w:tcBorders>
            <w:shd w:val="clear" w:color="auto" w:fill="CFF0FC"/>
          </w:tcPr>
          <w:p>
            <w:pPr>
              <w:jc w:val="right"/>
              <w:ind w:right="39"/>
              <w:spacing w:after="0"/>
              <w:rPr>
                <w:sz w:val="20"/>
                <w:szCs w:val="20"/>
                <w:color w:val="auto"/>
              </w:rPr>
            </w:pPr>
            <w:r>
              <w:rPr>
                <w:rFonts w:ascii="Arial" w:cs="Arial" w:eastAsia="Arial" w:hAnsi="Arial"/>
                <w:sz w:val="16"/>
                <w:szCs w:val="16"/>
                <w:color w:val="auto"/>
              </w:rPr>
              <w:t>147,625</w:t>
            </w:r>
          </w:p>
        </w:tc>
      </w:tr>
      <w:tr>
        <w:trPr>
          <w:trHeight w:val="183"/>
        </w:trPr>
        <w:tc>
          <w:tcPr>
            <w:tcW w:w="4280" w:type="dxa"/>
            <w:vAlign w:val="bottom"/>
            <w:tcBorders>
              <w:bottom w:val="single" w:sz="8" w:color="auto"/>
            </w:tcBorders>
          </w:tcPr>
          <w:p>
            <w:pPr>
              <w:ind w:left="220"/>
              <w:spacing w:after="0" w:line="183" w:lineRule="exact"/>
              <w:rPr>
                <w:sz w:val="20"/>
                <w:szCs w:val="20"/>
                <w:color w:val="auto"/>
              </w:rPr>
            </w:pPr>
            <w:r>
              <w:rPr>
                <w:rFonts w:ascii="Arial" w:cs="Arial" w:eastAsia="Arial" w:hAnsi="Arial"/>
                <w:sz w:val="16"/>
                <w:szCs w:val="16"/>
                <w:color w:val="auto"/>
              </w:rPr>
              <w:t>Total assets measured at fair value</w:t>
            </w:r>
          </w:p>
        </w:tc>
        <w:tc>
          <w:tcPr>
            <w:tcW w:w="1740" w:type="dxa"/>
            <w:vAlign w:val="bottom"/>
            <w:tcBorders>
              <w:bottom w:val="single" w:sz="8" w:color="auto"/>
            </w:tcBorders>
            <w:gridSpan w:val="2"/>
          </w:tcPr>
          <w:p>
            <w:pPr>
              <w:jc w:val="right"/>
              <w:ind w:right="100"/>
              <w:spacing w:after="0" w:line="183" w:lineRule="exact"/>
              <w:rPr>
                <w:sz w:val="20"/>
                <w:szCs w:val="20"/>
                <w:color w:val="auto"/>
              </w:rPr>
            </w:pPr>
            <w:r>
              <w:rPr>
                <w:rFonts w:ascii="Arial" w:cs="Arial" w:eastAsia="Arial" w:hAnsi="Arial"/>
                <w:sz w:val="16"/>
                <w:szCs w:val="16"/>
                <w:color w:val="auto"/>
              </w:rPr>
              <w:t>$</w:t>
            </w:r>
          </w:p>
        </w:tc>
        <w:tc>
          <w:tcPr>
            <w:tcW w:w="1060" w:type="dxa"/>
            <w:vAlign w:val="bottom"/>
            <w:tcBorders>
              <w:bottom w:val="single" w:sz="8" w:color="auto"/>
            </w:tcBorders>
          </w:tcPr>
          <w:p>
            <w:pPr>
              <w:jc w:val="right"/>
              <w:ind w:right="39"/>
              <w:spacing w:after="0" w:line="183" w:lineRule="exact"/>
              <w:rPr>
                <w:sz w:val="20"/>
                <w:szCs w:val="20"/>
                <w:color w:val="auto"/>
              </w:rPr>
            </w:pPr>
            <w:r>
              <w:rPr>
                <w:rFonts w:ascii="Arial" w:cs="Arial" w:eastAsia="Arial" w:hAnsi="Arial"/>
                <w:sz w:val="16"/>
                <w:szCs w:val="16"/>
                <w:color w:val="auto"/>
              </w:rPr>
              <w:t>129,279</w:t>
            </w:r>
          </w:p>
        </w:tc>
        <w:tc>
          <w:tcPr>
            <w:tcW w:w="320" w:type="dxa"/>
            <w:vAlign w:val="bottom"/>
            <w:tcBorders>
              <w:bottom w:val="single" w:sz="8" w:color="auto"/>
            </w:tcBorders>
          </w:tcPr>
          <w:p>
            <w:pPr>
              <w:jc w:val="right"/>
              <w:ind w:right="19"/>
              <w:spacing w:after="0" w:line="183" w:lineRule="exact"/>
              <w:rPr>
                <w:sz w:val="20"/>
                <w:szCs w:val="20"/>
                <w:color w:val="auto"/>
              </w:rPr>
            </w:pPr>
            <w:r>
              <w:rPr>
                <w:rFonts w:ascii="Arial" w:cs="Arial" w:eastAsia="Arial" w:hAnsi="Arial"/>
                <w:sz w:val="16"/>
                <w:szCs w:val="16"/>
                <w:color w:val="auto"/>
              </w:rPr>
              <w:t>$</w:t>
            </w:r>
          </w:p>
        </w:tc>
        <w:tc>
          <w:tcPr>
            <w:tcW w:w="1060" w:type="dxa"/>
            <w:vAlign w:val="bottom"/>
            <w:tcBorders>
              <w:bottom w:val="single" w:sz="8" w:color="auto"/>
            </w:tcBorders>
          </w:tcPr>
          <w:p>
            <w:pPr>
              <w:jc w:val="right"/>
              <w:ind w:right="39"/>
              <w:spacing w:after="0" w:line="183" w:lineRule="exact"/>
              <w:rPr>
                <w:sz w:val="20"/>
                <w:szCs w:val="20"/>
                <w:color w:val="auto"/>
              </w:rPr>
            </w:pPr>
            <w:r>
              <w:rPr>
                <w:rFonts w:ascii="Arial" w:cs="Arial" w:eastAsia="Arial" w:hAnsi="Arial"/>
                <w:sz w:val="16"/>
                <w:szCs w:val="16"/>
                <w:color w:val="auto"/>
              </w:rPr>
              <w:t>259,661</w:t>
            </w:r>
          </w:p>
        </w:tc>
        <w:tc>
          <w:tcPr>
            <w:tcW w:w="1040" w:type="dxa"/>
            <w:vAlign w:val="bottom"/>
            <w:tcBorders>
              <w:bottom w:val="single" w:sz="8" w:color="auto"/>
            </w:tcBorders>
          </w:tcPr>
          <w:p>
            <w:pPr>
              <w:jc w:val="right"/>
              <w:ind w:right="739"/>
              <w:spacing w:after="0" w:line="183" w:lineRule="exact"/>
              <w:rPr>
                <w:sz w:val="20"/>
                <w:szCs w:val="20"/>
                <w:color w:val="auto"/>
              </w:rPr>
            </w:pPr>
            <w:r>
              <w:rPr>
                <w:rFonts w:ascii="Arial" w:cs="Arial" w:eastAsia="Arial" w:hAnsi="Arial"/>
                <w:sz w:val="16"/>
                <w:szCs w:val="16"/>
                <w:color w:val="auto"/>
              </w:rPr>
              <w:t>$</w:t>
            </w:r>
          </w:p>
        </w:tc>
        <w:tc>
          <w:tcPr>
            <w:tcW w:w="340" w:type="dxa"/>
            <w:vAlign w:val="bottom"/>
            <w:tcBorders>
              <w:bottom w:val="single" w:sz="8" w:color="auto"/>
            </w:tcBorders>
          </w:tcPr>
          <w:p>
            <w:pPr>
              <w:ind w:left="60"/>
              <w:spacing w:after="0" w:line="183" w:lineRule="exact"/>
              <w:rPr>
                <w:sz w:val="20"/>
                <w:szCs w:val="20"/>
                <w:color w:val="auto"/>
              </w:rPr>
            </w:pPr>
            <w:r>
              <w:rPr>
                <w:rFonts w:ascii="Arial" w:cs="Arial" w:eastAsia="Arial" w:hAnsi="Arial"/>
                <w:sz w:val="16"/>
                <w:szCs w:val="16"/>
                <w:color w:val="auto"/>
              </w:rPr>
              <w:t>—</w:t>
            </w:r>
          </w:p>
        </w:tc>
        <w:tc>
          <w:tcPr>
            <w:tcW w:w="360" w:type="dxa"/>
            <w:vAlign w:val="bottom"/>
            <w:tcBorders>
              <w:bottom w:val="single" w:sz="8" w:color="auto"/>
            </w:tcBorders>
          </w:tcPr>
          <w:p>
            <w:pPr>
              <w:jc w:val="right"/>
              <w:ind w:right="59"/>
              <w:spacing w:after="0" w:line="183" w:lineRule="exact"/>
              <w:rPr>
                <w:sz w:val="20"/>
                <w:szCs w:val="20"/>
                <w:color w:val="auto"/>
              </w:rPr>
            </w:pPr>
            <w:r>
              <w:rPr>
                <w:rFonts w:ascii="Arial" w:cs="Arial" w:eastAsia="Arial" w:hAnsi="Arial"/>
                <w:sz w:val="16"/>
                <w:szCs w:val="16"/>
                <w:color w:val="auto"/>
              </w:rPr>
              <w:t>$</w:t>
            </w:r>
          </w:p>
        </w:tc>
        <w:tc>
          <w:tcPr>
            <w:tcW w:w="1040" w:type="dxa"/>
            <w:vAlign w:val="bottom"/>
            <w:tcBorders>
              <w:bottom w:val="single" w:sz="8" w:color="auto"/>
            </w:tcBorders>
          </w:tcPr>
          <w:p>
            <w:pPr>
              <w:jc w:val="right"/>
              <w:ind w:right="39"/>
              <w:spacing w:after="0" w:line="183" w:lineRule="exact"/>
              <w:rPr>
                <w:sz w:val="20"/>
                <w:szCs w:val="20"/>
                <w:color w:val="auto"/>
              </w:rPr>
            </w:pPr>
            <w:r>
              <w:rPr>
                <w:rFonts w:ascii="Arial" w:cs="Arial" w:eastAsia="Arial" w:hAnsi="Arial"/>
                <w:sz w:val="16"/>
                <w:szCs w:val="16"/>
                <w:color w:val="auto"/>
              </w:rPr>
              <w:t>388,940</w:t>
            </w:r>
          </w:p>
        </w:tc>
      </w:tr>
    </w:tbl>
    <w:p>
      <w:pPr>
        <w:spacing w:after="0" w:line="89" w:lineRule="exact"/>
        <w:rPr>
          <w:sz w:val="20"/>
          <w:szCs w:val="20"/>
          <w:color w:val="auto"/>
        </w:rPr>
      </w:pPr>
    </w:p>
    <w:p>
      <w:pPr>
        <w:ind w:right="140"/>
        <w:spacing w:after="0" w:line="253" w:lineRule="auto"/>
        <w:rPr>
          <w:sz w:val="20"/>
          <w:szCs w:val="20"/>
          <w:color w:val="auto"/>
        </w:rPr>
      </w:pPr>
      <w:r>
        <w:rPr>
          <w:rFonts w:ascii="Arial" w:cs="Arial" w:eastAsia="Arial" w:hAnsi="Arial"/>
          <w:sz w:val="18"/>
          <w:szCs w:val="18"/>
          <w:color w:val="auto"/>
        </w:rPr>
        <w:t>Money market funds are highly liquid investments and are actively traded. The pricing information on the Company’s money market funds is based on quoted prices in active markets for identical securities. This approach results in the classification of these securities as Level 1 of the fair value hierarchy.</w:t>
      </w:r>
    </w:p>
    <w:p>
      <w:pPr>
        <w:spacing w:after="0" w:line="61" w:lineRule="exact"/>
        <w:rPr>
          <w:sz w:val="20"/>
          <w:szCs w:val="20"/>
          <w:color w:val="auto"/>
        </w:rPr>
      </w:pPr>
    </w:p>
    <w:p>
      <w:pPr>
        <w:ind w:right="160"/>
        <w:spacing w:after="0" w:line="271" w:lineRule="auto"/>
        <w:rPr>
          <w:sz w:val="20"/>
          <w:szCs w:val="20"/>
          <w:color w:val="auto"/>
        </w:rPr>
      </w:pPr>
      <w:r>
        <w:rPr>
          <w:rFonts w:ascii="Arial" w:cs="Arial" w:eastAsia="Arial" w:hAnsi="Arial"/>
          <w:sz w:val="18"/>
          <w:szCs w:val="18"/>
          <w:color w:val="auto"/>
        </w:rPr>
        <w:t>The fair value of pension plan assets has been determined as the surrender value of the portfolio of active insured members held within the Columna Collective Foundation Group investment fund and is classified within Level 2 of the fair value hierarchy.</w:t>
      </w:r>
    </w:p>
    <w:p>
      <w:pPr>
        <w:spacing w:after="0" w:line="46" w:lineRule="exact"/>
        <w:rPr>
          <w:sz w:val="20"/>
          <w:szCs w:val="20"/>
          <w:color w:val="auto"/>
        </w:rPr>
      </w:pPr>
    </w:p>
    <w:p>
      <w:pPr>
        <w:ind w:right="100"/>
        <w:spacing w:after="0"/>
        <w:rPr>
          <w:sz w:val="20"/>
          <w:szCs w:val="20"/>
          <w:color w:val="auto"/>
        </w:rPr>
      </w:pPr>
      <w:r>
        <w:rPr>
          <w:rFonts w:ascii="Arial" w:cs="Arial" w:eastAsia="Arial" w:hAnsi="Arial"/>
          <w:sz w:val="18"/>
          <w:szCs w:val="18"/>
          <w:color w:val="auto"/>
        </w:rPr>
        <w:t xml:space="preserve">Marketable securities consist of corporate debt securities and U.S. Treasury securities which are classified as available-for-sale pursuant to ASC 320, </w:t>
      </w:r>
      <w:r>
        <w:rPr>
          <w:rFonts w:ascii="Arial" w:cs="Arial" w:eastAsia="Arial" w:hAnsi="Arial"/>
          <w:sz w:val="18"/>
          <w:szCs w:val="18"/>
          <w:i w:val="1"/>
          <w:iCs w:val="1"/>
          <w:color w:val="auto"/>
        </w:rPr>
        <w:t>Investments—Debt and Equity Securities</w:t>
      </w:r>
      <w:r>
        <w:rPr>
          <w:rFonts w:ascii="Arial" w:cs="Arial" w:eastAsia="Arial" w:hAnsi="Arial"/>
          <w:sz w:val="18"/>
          <w:szCs w:val="18"/>
          <w:color w:val="auto"/>
        </w:rPr>
        <w:t>. Marketable securities are classified within Level 2 of the fair value hierarchy because pricing inputs are other than quoted prices in active markets. The fair values of these investments are estimated by taking into consideration valuations obtained from third-party pricing services. The pricing services utilize industry standard valuation models, including both income-and market-based approaches, for which all significant inputs are observable, either directly or indirectly, to estimate fair value. These inputs include reported trades of and broker/dealer quotes on the same or similar securities, issuer credit spreads, benchmark securities based on historical data and other observable inputs.</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color w:val="auto"/>
        </w:rPr>
        <w:t>There were no transfers among Level 1, Level 2 or Level 3 categories in the three months ended March 31, 2026 and 2025.</w:t>
      </w: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20" w:right="339" w:bottom="1440" w:gutter="0" w:footer="0" w:header="0"/>
        </w:sectPr>
      </w:pPr>
    </w:p>
    <w:bookmarkStart w:id="10" w:name="page11"/>
    <w:bookmarkEnd w:id="10"/>
    <w:p>
      <w:pPr>
        <w:spacing w:after="0"/>
        <w:rPr>
          <w:sz w:val="20"/>
          <w:szCs w:val="20"/>
          <w:color w:val="auto"/>
        </w:rPr>
      </w:pPr>
      <w:r>
        <w:rPr>
          <w:rFonts w:ascii="Arial" w:cs="Arial" w:eastAsia="Arial" w:hAnsi="Arial"/>
          <w:sz w:val="22"/>
          <w:szCs w:val="22"/>
          <w:b w:val="1"/>
          <w:bCs w:val="1"/>
          <w:color w:val="auto"/>
        </w:rPr>
        <w:t>4. Marketable securities</w:t>
      </w:r>
    </w:p>
    <w:p>
      <w:pPr>
        <w:spacing w:after="0" w:line="100" w:lineRule="exact"/>
        <w:rPr>
          <w:sz w:val="20"/>
          <w:szCs w:val="20"/>
          <w:color w:val="auto"/>
        </w:rPr>
      </w:pPr>
    </w:p>
    <w:p>
      <w:pPr>
        <w:spacing w:after="0"/>
        <w:rPr>
          <w:sz w:val="20"/>
          <w:szCs w:val="20"/>
          <w:color w:val="auto"/>
        </w:rPr>
      </w:pPr>
      <w:r>
        <w:rPr>
          <w:rFonts w:ascii="Arial" w:cs="Arial" w:eastAsia="Arial" w:hAnsi="Arial"/>
          <w:sz w:val="18"/>
          <w:szCs w:val="18"/>
          <w:color w:val="auto"/>
        </w:rPr>
        <w:t>Marketable securities as of March 31, 2026 consisted of the following (in thousands)</w:t>
      </w:r>
      <w:r>
        <w:rPr>
          <w:rFonts w:ascii="Arial" w:cs="Arial" w:eastAsia="Arial" w:hAnsi="Arial"/>
          <w:sz w:val="21"/>
          <w:szCs w:val="21"/>
          <w:color w:val="auto"/>
        </w:rPr>
        <w:t>:</w:t>
      </w:r>
    </w:p>
    <w:p>
      <w:pPr>
        <w:spacing w:after="0" w:line="116"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3880" w:type="dxa"/>
            <w:vAlign w:val="bottom"/>
            <w:tcBorders>
              <w:top w:val="single" w:sz="8" w:color="auto"/>
            </w:tcBorders>
          </w:tcPr>
          <w:p>
            <w:pPr>
              <w:spacing w:after="0"/>
              <w:rPr>
                <w:sz w:val="16"/>
                <w:szCs w:val="16"/>
                <w:color w:val="auto"/>
              </w:rPr>
            </w:pPr>
          </w:p>
        </w:tc>
        <w:tc>
          <w:tcPr>
            <w:tcW w:w="1940" w:type="dxa"/>
            <w:vAlign w:val="bottom"/>
            <w:tcBorders>
              <w:top w:val="single" w:sz="8" w:color="auto"/>
            </w:tcBorders>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1120" w:type="dxa"/>
            <w:vAlign w:val="bottom"/>
            <w:tcBorders>
              <w:top w:val="single" w:sz="8" w:color="auto"/>
            </w:tcBorders>
          </w:tcPr>
          <w:p>
            <w:pPr>
              <w:jc w:val="right"/>
              <w:ind w:right="219"/>
              <w:spacing w:after="0"/>
              <w:rPr>
                <w:sz w:val="20"/>
                <w:szCs w:val="20"/>
                <w:color w:val="auto"/>
              </w:rPr>
            </w:pPr>
            <w:r>
              <w:rPr>
                <w:rFonts w:ascii="Arial" w:cs="Arial" w:eastAsia="Arial" w:hAnsi="Arial"/>
                <w:sz w:val="16"/>
                <w:szCs w:val="16"/>
                <w:b w:val="1"/>
                <w:bCs w:val="1"/>
                <w:color w:val="auto"/>
              </w:rPr>
              <w:t>Amortized</w:t>
            </w:r>
          </w:p>
        </w:tc>
        <w:tc>
          <w:tcPr>
            <w:tcW w:w="240" w:type="dxa"/>
            <w:vAlign w:val="bottom"/>
            <w:tcBorders>
              <w:top w:val="single" w:sz="8" w:color="auto"/>
            </w:tcBorders>
          </w:tcPr>
          <w:p>
            <w:pPr>
              <w:spacing w:after="0"/>
              <w:rPr>
                <w:sz w:val="16"/>
                <w:szCs w:val="16"/>
                <w:color w:val="auto"/>
              </w:rPr>
            </w:pPr>
          </w:p>
        </w:tc>
        <w:tc>
          <w:tcPr>
            <w:tcW w:w="1140" w:type="dxa"/>
            <w:vAlign w:val="bottom"/>
            <w:tcBorders>
              <w:top w:val="single" w:sz="8" w:color="auto"/>
            </w:tcBorders>
          </w:tcPr>
          <w:p>
            <w:pPr>
              <w:jc w:val="right"/>
              <w:ind w:right="199"/>
              <w:spacing w:after="0"/>
              <w:rPr>
                <w:sz w:val="20"/>
                <w:szCs w:val="20"/>
                <w:color w:val="auto"/>
              </w:rPr>
            </w:pPr>
            <w:r>
              <w:rPr>
                <w:rFonts w:ascii="Arial" w:cs="Arial" w:eastAsia="Arial" w:hAnsi="Arial"/>
                <w:sz w:val="16"/>
                <w:szCs w:val="16"/>
                <w:b w:val="1"/>
                <w:bCs w:val="1"/>
                <w:color w:val="auto"/>
              </w:rPr>
              <w:t>Unrealized</w:t>
            </w:r>
          </w:p>
        </w:tc>
        <w:tc>
          <w:tcPr>
            <w:tcW w:w="240" w:type="dxa"/>
            <w:vAlign w:val="bottom"/>
            <w:tcBorders>
              <w:top w:val="single" w:sz="8" w:color="auto"/>
            </w:tcBorders>
          </w:tcPr>
          <w:p>
            <w:pPr>
              <w:spacing w:after="0"/>
              <w:rPr>
                <w:sz w:val="16"/>
                <w:szCs w:val="16"/>
                <w:color w:val="auto"/>
              </w:rPr>
            </w:pPr>
          </w:p>
        </w:tc>
        <w:tc>
          <w:tcPr>
            <w:tcW w:w="1180" w:type="dxa"/>
            <w:vAlign w:val="bottom"/>
            <w:tcBorders>
              <w:top w:val="single" w:sz="8" w:color="auto"/>
            </w:tcBorders>
          </w:tcPr>
          <w:p>
            <w:pPr>
              <w:jc w:val="right"/>
              <w:ind w:right="239"/>
              <w:spacing w:after="0"/>
              <w:rPr>
                <w:sz w:val="20"/>
                <w:szCs w:val="20"/>
                <w:color w:val="auto"/>
              </w:rPr>
            </w:pPr>
            <w:r>
              <w:rPr>
                <w:rFonts w:ascii="Arial" w:cs="Arial" w:eastAsia="Arial" w:hAnsi="Arial"/>
                <w:sz w:val="16"/>
                <w:szCs w:val="16"/>
                <w:b w:val="1"/>
                <w:bCs w:val="1"/>
                <w:color w:val="auto"/>
              </w:rPr>
              <w:t>Unrealized</w:t>
            </w:r>
          </w:p>
        </w:tc>
        <w:tc>
          <w:tcPr>
            <w:tcW w:w="320" w:type="dxa"/>
            <w:vAlign w:val="bottom"/>
            <w:tcBorders>
              <w:top w:val="single" w:sz="8" w:color="auto"/>
            </w:tcBorders>
          </w:tcPr>
          <w:p>
            <w:pPr>
              <w:spacing w:after="0"/>
              <w:rPr>
                <w:sz w:val="16"/>
                <w:szCs w:val="16"/>
                <w:color w:val="auto"/>
              </w:rPr>
            </w:pPr>
          </w:p>
        </w:tc>
        <w:tc>
          <w:tcPr>
            <w:tcW w:w="1040" w:type="dxa"/>
            <w:vAlign w:val="bottom"/>
            <w:tcBorders>
              <w:top w:val="single" w:sz="8" w:color="auto"/>
            </w:tcBorders>
          </w:tcPr>
          <w:p>
            <w:pPr>
              <w:jc w:val="right"/>
              <w:ind w:right="459"/>
              <w:spacing w:after="0"/>
              <w:rPr>
                <w:sz w:val="20"/>
                <w:szCs w:val="20"/>
                <w:color w:val="auto"/>
              </w:rPr>
            </w:pPr>
            <w:r>
              <w:rPr>
                <w:rFonts w:ascii="Arial" w:cs="Arial" w:eastAsia="Arial" w:hAnsi="Arial"/>
                <w:sz w:val="16"/>
                <w:szCs w:val="16"/>
                <w:b w:val="1"/>
                <w:bCs w:val="1"/>
                <w:color w:val="auto"/>
              </w:rPr>
              <w:t>Fair</w:t>
            </w:r>
          </w:p>
        </w:tc>
      </w:tr>
      <w:tr>
        <w:trPr>
          <w:trHeight w:val="203"/>
        </w:trPr>
        <w:tc>
          <w:tcPr>
            <w:tcW w:w="3880" w:type="dxa"/>
            <w:vAlign w:val="bottom"/>
          </w:tcPr>
          <w:p>
            <w:pPr>
              <w:spacing w:after="0"/>
              <w:rPr>
                <w:sz w:val="17"/>
                <w:szCs w:val="17"/>
                <w:color w:val="auto"/>
              </w:rPr>
            </w:pPr>
          </w:p>
        </w:tc>
        <w:tc>
          <w:tcPr>
            <w:tcW w:w="194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ind w:right="419"/>
              <w:spacing w:after="0"/>
              <w:rPr>
                <w:sz w:val="20"/>
                <w:szCs w:val="20"/>
                <w:color w:val="auto"/>
              </w:rPr>
            </w:pPr>
            <w:r>
              <w:rPr>
                <w:rFonts w:ascii="Arial" w:cs="Arial" w:eastAsia="Arial" w:hAnsi="Arial"/>
                <w:sz w:val="16"/>
                <w:szCs w:val="16"/>
                <w:b w:val="1"/>
                <w:bCs w:val="1"/>
                <w:color w:val="auto"/>
              </w:rPr>
              <w:t>Cost</w:t>
            </w:r>
          </w:p>
        </w:tc>
        <w:tc>
          <w:tcPr>
            <w:tcW w:w="24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ind w:right="379"/>
              <w:spacing w:after="0"/>
              <w:rPr>
                <w:sz w:val="20"/>
                <w:szCs w:val="20"/>
                <w:color w:val="auto"/>
              </w:rPr>
            </w:pPr>
            <w:r>
              <w:rPr>
                <w:rFonts w:ascii="Arial" w:cs="Arial" w:eastAsia="Arial" w:hAnsi="Arial"/>
                <w:sz w:val="16"/>
                <w:szCs w:val="16"/>
                <w:b w:val="1"/>
                <w:bCs w:val="1"/>
                <w:color w:val="auto"/>
              </w:rPr>
              <w:t>Gains</w:t>
            </w:r>
          </w:p>
        </w:tc>
        <w:tc>
          <w:tcPr>
            <w:tcW w:w="24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ind w:right="359"/>
              <w:spacing w:after="0"/>
              <w:rPr>
                <w:sz w:val="20"/>
                <w:szCs w:val="20"/>
                <w:color w:val="auto"/>
              </w:rPr>
            </w:pPr>
            <w:r>
              <w:rPr>
                <w:rFonts w:ascii="Arial" w:cs="Arial" w:eastAsia="Arial" w:hAnsi="Arial"/>
                <w:sz w:val="16"/>
                <w:szCs w:val="16"/>
                <w:b w:val="1"/>
                <w:bCs w:val="1"/>
                <w:color w:val="auto"/>
              </w:rPr>
              <w:t>Losses</w:t>
            </w:r>
          </w:p>
        </w:tc>
        <w:tc>
          <w:tcPr>
            <w:tcW w:w="32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399"/>
              <w:spacing w:after="0"/>
              <w:rPr>
                <w:sz w:val="20"/>
                <w:szCs w:val="20"/>
                <w:color w:val="auto"/>
              </w:rPr>
            </w:pPr>
            <w:r>
              <w:rPr>
                <w:rFonts w:ascii="Arial" w:cs="Arial" w:eastAsia="Arial" w:hAnsi="Arial"/>
                <w:sz w:val="16"/>
                <w:szCs w:val="16"/>
                <w:b w:val="1"/>
                <w:bCs w:val="1"/>
                <w:color w:val="auto"/>
              </w:rPr>
              <w:t>Value</w:t>
            </w:r>
          </w:p>
        </w:tc>
      </w:tr>
      <w:tr>
        <w:trPr>
          <w:trHeight w:val="183"/>
        </w:trPr>
        <w:tc>
          <w:tcPr>
            <w:tcW w:w="3880" w:type="dxa"/>
            <w:vAlign w:val="bottom"/>
            <w:shd w:val="clear" w:color="auto" w:fill="CFF0FC"/>
          </w:tcPr>
          <w:p>
            <w:pPr>
              <w:spacing w:after="0" w:line="183" w:lineRule="exact"/>
              <w:rPr>
                <w:sz w:val="20"/>
                <w:szCs w:val="20"/>
                <w:color w:val="auto"/>
              </w:rPr>
            </w:pPr>
            <w:r>
              <w:rPr>
                <w:rFonts w:ascii="Arial" w:cs="Arial" w:eastAsia="Arial" w:hAnsi="Arial"/>
                <w:sz w:val="16"/>
                <w:szCs w:val="16"/>
                <w:b w:val="1"/>
                <w:bCs w:val="1"/>
                <w:color w:val="auto"/>
              </w:rPr>
              <w:t>Description</w:t>
            </w:r>
          </w:p>
        </w:tc>
        <w:tc>
          <w:tcPr>
            <w:tcW w:w="194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112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114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1180" w:type="dxa"/>
            <w:vAlign w:val="bottom"/>
            <w:shd w:val="clear" w:color="auto" w:fill="CFF0FC"/>
          </w:tcPr>
          <w:p>
            <w:pPr>
              <w:spacing w:after="0"/>
              <w:rPr>
                <w:sz w:val="15"/>
                <w:szCs w:val="15"/>
                <w:color w:val="auto"/>
              </w:rPr>
            </w:pPr>
          </w:p>
        </w:tc>
        <w:tc>
          <w:tcPr>
            <w:tcW w:w="320" w:type="dxa"/>
            <w:vAlign w:val="bottom"/>
            <w:shd w:val="clear" w:color="auto" w:fill="CFF0FC"/>
          </w:tcPr>
          <w:p>
            <w:pPr>
              <w:spacing w:after="0"/>
              <w:rPr>
                <w:sz w:val="15"/>
                <w:szCs w:val="15"/>
                <w:color w:val="auto"/>
              </w:rPr>
            </w:pPr>
          </w:p>
        </w:tc>
        <w:tc>
          <w:tcPr>
            <w:tcW w:w="1040" w:type="dxa"/>
            <w:vAlign w:val="bottom"/>
            <w:shd w:val="clear" w:color="auto" w:fill="CFF0FC"/>
          </w:tcPr>
          <w:p>
            <w:pPr>
              <w:spacing w:after="0"/>
              <w:rPr>
                <w:sz w:val="15"/>
                <w:szCs w:val="15"/>
                <w:color w:val="auto"/>
              </w:rPr>
            </w:pPr>
          </w:p>
        </w:tc>
      </w:tr>
      <w:tr>
        <w:trPr>
          <w:trHeight w:val="189"/>
        </w:trPr>
        <w:tc>
          <w:tcPr>
            <w:tcW w:w="3880" w:type="dxa"/>
            <w:vAlign w:val="bottom"/>
          </w:tcPr>
          <w:p>
            <w:pPr>
              <w:ind w:left="120"/>
              <w:spacing w:after="0"/>
              <w:rPr>
                <w:sz w:val="20"/>
                <w:szCs w:val="20"/>
                <w:color w:val="auto"/>
              </w:rPr>
            </w:pPr>
            <w:r>
              <w:rPr>
                <w:rFonts w:ascii="Arial" w:cs="Arial" w:eastAsia="Arial" w:hAnsi="Arial"/>
                <w:sz w:val="16"/>
                <w:szCs w:val="16"/>
                <w:color w:val="auto"/>
              </w:rPr>
              <w:t>Corporate debt securities</w:t>
            </w:r>
          </w:p>
        </w:tc>
        <w:tc>
          <w:tcPr>
            <w:tcW w:w="2080" w:type="dxa"/>
            <w:vAlign w:val="bottom"/>
            <w:gridSpan w:val="2"/>
          </w:tcPr>
          <w:p>
            <w:pPr>
              <w:jc w:val="right"/>
              <w:ind w:right="40"/>
              <w:spacing w:after="0"/>
              <w:rPr>
                <w:sz w:val="20"/>
                <w:szCs w:val="20"/>
                <w:color w:val="auto"/>
              </w:rPr>
            </w:pPr>
            <w:r>
              <w:rPr>
                <w:rFonts w:ascii="Arial" w:cs="Arial" w:eastAsia="Arial" w:hAnsi="Arial"/>
                <w:sz w:val="16"/>
                <w:szCs w:val="16"/>
                <w:color w:val="auto"/>
              </w:rPr>
              <w:t>$</w:t>
            </w:r>
          </w:p>
        </w:tc>
        <w:tc>
          <w:tcPr>
            <w:tcW w:w="1120" w:type="dxa"/>
            <w:vAlign w:val="bottom"/>
          </w:tcPr>
          <w:p>
            <w:pPr>
              <w:jc w:val="right"/>
              <w:ind w:right="39"/>
              <w:spacing w:after="0"/>
              <w:rPr>
                <w:sz w:val="20"/>
                <w:szCs w:val="20"/>
                <w:color w:val="auto"/>
              </w:rPr>
            </w:pPr>
            <w:r>
              <w:rPr>
                <w:rFonts w:ascii="Arial" w:cs="Arial" w:eastAsia="Arial" w:hAnsi="Arial"/>
                <w:sz w:val="16"/>
                <w:szCs w:val="16"/>
                <w:color w:val="auto"/>
              </w:rPr>
              <w:t>268,690</w:t>
            </w:r>
          </w:p>
        </w:tc>
        <w:tc>
          <w:tcPr>
            <w:tcW w:w="240" w:type="dxa"/>
            <w:vAlign w:val="bottom"/>
          </w:tcPr>
          <w:p>
            <w:pPr>
              <w:jc w:val="right"/>
              <w:spacing w:after="0"/>
              <w:rPr>
                <w:sz w:val="20"/>
                <w:szCs w:val="20"/>
                <w:color w:val="auto"/>
              </w:rPr>
            </w:pPr>
            <w:r>
              <w:rPr>
                <w:rFonts w:ascii="Arial" w:cs="Arial" w:eastAsia="Arial" w:hAnsi="Arial"/>
                <w:sz w:val="16"/>
                <w:szCs w:val="16"/>
                <w:color w:val="auto"/>
              </w:rPr>
              <w:t>$</w:t>
            </w:r>
          </w:p>
        </w:tc>
        <w:tc>
          <w:tcPr>
            <w:tcW w:w="1140" w:type="dxa"/>
            <w:vAlign w:val="bottom"/>
          </w:tcPr>
          <w:p>
            <w:pPr>
              <w:jc w:val="right"/>
              <w:ind w:right="39"/>
              <w:spacing w:after="0"/>
              <w:rPr>
                <w:sz w:val="20"/>
                <w:szCs w:val="20"/>
                <w:color w:val="auto"/>
              </w:rPr>
            </w:pPr>
            <w:r>
              <w:rPr>
                <w:rFonts w:ascii="Arial" w:cs="Arial" w:eastAsia="Arial" w:hAnsi="Arial"/>
                <w:sz w:val="16"/>
                <w:szCs w:val="16"/>
                <w:color w:val="auto"/>
              </w:rPr>
              <w:t>10</w:t>
            </w:r>
          </w:p>
        </w:tc>
        <w:tc>
          <w:tcPr>
            <w:tcW w:w="240" w:type="dxa"/>
            <w:vAlign w:val="bottom"/>
          </w:tcPr>
          <w:p>
            <w:pPr>
              <w:jc w:val="right"/>
              <w:spacing w:after="0"/>
              <w:rPr>
                <w:sz w:val="20"/>
                <w:szCs w:val="20"/>
                <w:color w:val="auto"/>
              </w:rPr>
            </w:pPr>
            <w:r>
              <w:rPr>
                <w:rFonts w:ascii="Arial" w:cs="Arial" w:eastAsia="Arial" w:hAnsi="Arial"/>
                <w:sz w:val="16"/>
                <w:szCs w:val="16"/>
                <w:color w:val="auto"/>
              </w:rPr>
              <w:t>$</w:t>
            </w:r>
          </w:p>
        </w:tc>
        <w:tc>
          <w:tcPr>
            <w:tcW w:w="1180" w:type="dxa"/>
            <w:vAlign w:val="bottom"/>
          </w:tcPr>
          <w:p>
            <w:pPr>
              <w:jc w:val="right"/>
              <w:ind w:right="19"/>
              <w:spacing w:after="0"/>
              <w:rPr>
                <w:sz w:val="20"/>
                <w:szCs w:val="20"/>
                <w:color w:val="auto"/>
              </w:rPr>
            </w:pPr>
            <w:r>
              <w:rPr>
                <w:rFonts w:ascii="Arial" w:cs="Arial" w:eastAsia="Arial" w:hAnsi="Arial"/>
                <w:sz w:val="16"/>
                <w:szCs w:val="16"/>
                <w:color w:val="auto"/>
              </w:rPr>
              <w:t>(501)</w:t>
            </w:r>
          </w:p>
        </w:tc>
        <w:tc>
          <w:tcPr>
            <w:tcW w:w="320" w:type="dxa"/>
            <w:vAlign w:val="bottom"/>
          </w:tcPr>
          <w:p>
            <w:pPr>
              <w:spacing w:after="0"/>
              <w:rPr>
                <w:sz w:val="16"/>
                <w:szCs w:val="16"/>
                <w:color w:val="auto"/>
              </w:rPr>
            </w:pPr>
          </w:p>
        </w:tc>
        <w:tc>
          <w:tcPr>
            <w:tcW w:w="1040" w:type="dxa"/>
            <w:vAlign w:val="bottom"/>
          </w:tcPr>
          <w:p>
            <w:pPr>
              <w:jc w:val="right"/>
              <w:ind w:right="39"/>
              <w:spacing w:after="0"/>
              <w:rPr>
                <w:sz w:val="20"/>
                <w:szCs w:val="20"/>
                <w:color w:val="auto"/>
              </w:rPr>
            </w:pPr>
            <w:r>
              <w:rPr>
                <w:rFonts w:ascii="Arial" w:cs="Arial" w:eastAsia="Arial" w:hAnsi="Arial"/>
                <w:sz w:val="16"/>
                <w:szCs w:val="16"/>
                <w:color w:val="auto"/>
              </w:rPr>
              <w:t>268,199</w:t>
            </w:r>
          </w:p>
        </w:tc>
      </w:tr>
      <w:tr>
        <w:trPr>
          <w:trHeight w:val="189"/>
        </w:trPr>
        <w:tc>
          <w:tcPr>
            <w:tcW w:w="3880" w:type="dxa"/>
            <w:vAlign w:val="bottom"/>
            <w:tcBorders>
              <w:bottom w:val="single" w:sz="8" w:color="CFF0FC"/>
            </w:tcBorders>
            <w:shd w:val="clear" w:color="auto" w:fill="CFF0FC"/>
          </w:tcPr>
          <w:p>
            <w:pPr>
              <w:ind w:left="120"/>
              <w:spacing w:after="0"/>
              <w:rPr>
                <w:sz w:val="20"/>
                <w:szCs w:val="20"/>
                <w:color w:val="auto"/>
              </w:rPr>
            </w:pPr>
            <w:r>
              <w:rPr>
                <w:rFonts w:ascii="Arial" w:cs="Arial" w:eastAsia="Arial" w:hAnsi="Arial"/>
                <w:sz w:val="16"/>
                <w:szCs w:val="16"/>
                <w:color w:val="auto"/>
              </w:rPr>
              <w:t>U.S Treasury securities</w:t>
            </w:r>
          </w:p>
        </w:tc>
        <w:tc>
          <w:tcPr>
            <w:tcW w:w="1940" w:type="dxa"/>
            <w:vAlign w:val="bottom"/>
            <w:tcBorders>
              <w:bottom w:val="single" w:sz="8" w:color="CFF0FC"/>
            </w:tcBorders>
            <w:shd w:val="clear" w:color="auto" w:fill="CFF0FC"/>
          </w:tcPr>
          <w:p>
            <w:pPr>
              <w:spacing w:after="0"/>
              <w:rPr>
                <w:sz w:val="16"/>
                <w:szCs w:val="16"/>
                <w:color w:val="auto"/>
              </w:rPr>
            </w:pPr>
          </w:p>
        </w:tc>
        <w:tc>
          <w:tcPr>
            <w:tcW w:w="140" w:type="dxa"/>
            <w:vAlign w:val="bottom"/>
            <w:tcBorders>
              <w:bottom w:val="single" w:sz="8" w:color="auto"/>
            </w:tcBorders>
            <w:shd w:val="clear" w:color="auto" w:fill="CFF0FC"/>
          </w:tcPr>
          <w:p>
            <w:pPr>
              <w:spacing w:after="0"/>
              <w:rPr>
                <w:sz w:val="16"/>
                <w:szCs w:val="16"/>
                <w:color w:val="auto"/>
              </w:rPr>
            </w:pPr>
          </w:p>
        </w:tc>
        <w:tc>
          <w:tcPr>
            <w:tcW w:w="1120" w:type="dxa"/>
            <w:vAlign w:val="bottom"/>
            <w:tcBorders>
              <w:bottom w:val="single" w:sz="8" w:color="auto"/>
            </w:tcBorders>
            <w:shd w:val="clear" w:color="auto" w:fill="CFF0FC"/>
          </w:tcPr>
          <w:p>
            <w:pPr>
              <w:jc w:val="right"/>
              <w:ind w:right="39"/>
              <w:spacing w:after="0"/>
              <w:rPr>
                <w:sz w:val="20"/>
                <w:szCs w:val="20"/>
                <w:color w:val="auto"/>
              </w:rPr>
            </w:pPr>
            <w:r>
              <w:rPr>
                <w:rFonts w:ascii="Arial" w:cs="Arial" w:eastAsia="Arial" w:hAnsi="Arial"/>
                <w:sz w:val="16"/>
                <w:szCs w:val="16"/>
                <w:color w:val="auto"/>
              </w:rPr>
              <w:t>238,480</w:t>
            </w:r>
          </w:p>
        </w:tc>
        <w:tc>
          <w:tcPr>
            <w:tcW w:w="240" w:type="dxa"/>
            <w:vAlign w:val="bottom"/>
            <w:tcBorders>
              <w:bottom w:val="single" w:sz="8" w:color="auto"/>
            </w:tcBorders>
            <w:shd w:val="clear" w:color="auto" w:fill="CFF0FC"/>
          </w:tcPr>
          <w:p>
            <w:pPr>
              <w:spacing w:after="0"/>
              <w:rPr>
                <w:sz w:val="16"/>
                <w:szCs w:val="16"/>
                <w:color w:val="auto"/>
              </w:rPr>
            </w:pPr>
          </w:p>
        </w:tc>
        <w:tc>
          <w:tcPr>
            <w:tcW w:w="1140" w:type="dxa"/>
            <w:vAlign w:val="bottom"/>
            <w:tcBorders>
              <w:bottom w:val="single" w:sz="8" w:color="auto"/>
            </w:tcBorders>
            <w:shd w:val="clear" w:color="auto" w:fill="CFF0FC"/>
          </w:tcPr>
          <w:p>
            <w:pPr>
              <w:jc w:val="right"/>
              <w:ind w:right="39"/>
              <w:spacing w:after="0"/>
              <w:rPr>
                <w:sz w:val="20"/>
                <w:szCs w:val="20"/>
                <w:color w:val="auto"/>
              </w:rPr>
            </w:pPr>
            <w:r>
              <w:rPr>
                <w:rFonts w:ascii="Arial" w:cs="Arial" w:eastAsia="Arial" w:hAnsi="Arial"/>
                <w:sz w:val="16"/>
                <w:szCs w:val="16"/>
                <w:color w:val="auto"/>
              </w:rPr>
              <w:t>7</w:t>
            </w:r>
          </w:p>
        </w:tc>
        <w:tc>
          <w:tcPr>
            <w:tcW w:w="240" w:type="dxa"/>
            <w:vAlign w:val="bottom"/>
            <w:tcBorders>
              <w:bottom w:val="single" w:sz="8" w:color="auto"/>
            </w:tcBorders>
            <w:shd w:val="clear" w:color="auto" w:fill="CFF0FC"/>
          </w:tcPr>
          <w:p>
            <w:pPr>
              <w:spacing w:after="0"/>
              <w:rPr>
                <w:sz w:val="16"/>
                <w:szCs w:val="16"/>
                <w:color w:val="auto"/>
              </w:rPr>
            </w:pPr>
          </w:p>
        </w:tc>
        <w:tc>
          <w:tcPr>
            <w:tcW w:w="1180" w:type="dxa"/>
            <w:vAlign w:val="bottom"/>
            <w:tcBorders>
              <w:bottom w:val="single" w:sz="8" w:color="auto"/>
            </w:tcBorders>
            <w:shd w:val="clear" w:color="auto" w:fill="CFF0FC"/>
          </w:tcPr>
          <w:p>
            <w:pPr>
              <w:jc w:val="right"/>
              <w:ind w:right="19"/>
              <w:spacing w:after="0"/>
              <w:rPr>
                <w:sz w:val="20"/>
                <w:szCs w:val="20"/>
                <w:color w:val="auto"/>
              </w:rPr>
            </w:pPr>
            <w:r>
              <w:rPr>
                <w:rFonts w:ascii="Arial" w:cs="Arial" w:eastAsia="Arial" w:hAnsi="Arial"/>
                <w:sz w:val="16"/>
                <w:szCs w:val="16"/>
                <w:color w:val="auto"/>
              </w:rPr>
              <w:t>(325)</w:t>
            </w:r>
          </w:p>
        </w:tc>
        <w:tc>
          <w:tcPr>
            <w:tcW w:w="320" w:type="dxa"/>
            <w:vAlign w:val="bottom"/>
            <w:tcBorders>
              <w:bottom w:val="single" w:sz="8" w:color="auto"/>
            </w:tcBorders>
            <w:shd w:val="clear" w:color="auto" w:fill="CFF0FC"/>
          </w:tcPr>
          <w:p>
            <w:pPr>
              <w:spacing w:after="0"/>
              <w:rPr>
                <w:sz w:val="16"/>
                <w:szCs w:val="16"/>
                <w:color w:val="auto"/>
              </w:rPr>
            </w:pPr>
          </w:p>
        </w:tc>
        <w:tc>
          <w:tcPr>
            <w:tcW w:w="1040" w:type="dxa"/>
            <w:vAlign w:val="bottom"/>
            <w:tcBorders>
              <w:bottom w:val="single" w:sz="8" w:color="auto"/>
            </w:tcBorders>
            <w:shd w:val="clear" w:color="auto" w:fill="CFF0FC"/>
          </w:tcPr>
          <w:p>
            <w:pPr>
              <w:jc w:val="right"/>
              <w:ind w:right="39"/>
              <w:spacing w:after="0"/>
              <w:rPr>
                <w:sz w:val="20"/>
                <w:szCs w:val="20"/>
                <w:color w:val="auto"/>
              </w:rPr>
            </w:pPr>
            <w:r>
              <w:rPr>
                <w:rFonts w:ascii="Arial" w:cs="Arial" w:eastAsia="Arial" w:hAnsi="Arial"/>
                <w:sz w:val="16"/>
                <w:szCs w:val="16"/>
                <w:color w:val="auto"/>
              </w:rPr>
              <w:t>238,162</w:t>
            </w:r>
          </w:p>
        </w:tc>
      </w:tr>
      <w:tr>
        <w:trPr>
          <w:trHeight w:val="183"/>
        </w:trPr>
        <w:tc>
          <w:tcPr>
            <w:tcW w:w="3880" w:type="dxa"/>
            <w:vAlign w:val="bottom"/>
            <w:tcBorders>
              <w:bottom w:val="single" w:sz="8" w:color="auto"/>
            </w:tcBorders>
          </w:tcPr>
          <w:p>
            <w:pPr>
              <w:ind w:left="220"/>
              <w:spacing w:after="0" w:line="183" w:lineRule="exact"/>
              <w:rPr>
                <w:sz w:val="20"/>
                <w:szCs w:val="20"/>
                <w:color w:val="auto"/>
              </w:rPr>
            </w:pPr>
            <w:r>
              <w:rPr>
                <w:rFonts w:ascii="Arial" w:cs="Arial" w:eastAsia="Arial" w:hAnsi="Arial"/>
                <w:sz w:val="16"/>
                <w:szCs w:val="16"/>
                <w:color w:val="auto"/>
              </w:rPr>
              <w:t>Total</w:t>
            </w:r>
          </w:p>
        </w:tc>
        <w:tc>
          <w:tcPr>
            <w:tcW w:w="2080" w:type="dxa"/>
            <w:vAlign w:val="bottom"/>
            <w:tcBorders>
              <w:bottom w:val="single" w:sz="8" w:color="auto"/>
            </w:tcBorders>
            <w:gridSpan w:val="2"/>
          </w:tcPr>
          <w:p>
            <w:pPr>
              <w:jc w:val="right"/>
              <w:ind w:right="40"/>
              <w:spacing w:after="0" w:line="183" w:lineRule="exact"/>
              <w:rPr>
                <w:sz w:val="20"/>
                <w:szCs w:val="20"/>
                <w:color w:val="auto"/>
              </w:rPr>
            </w:pPr>
            <w:r>
              <w:rPr>
                <w:rFonts w:ascii="Arial" w:cs="Arial" w:eastAsia="Arial" w:hAnsi="Arial"/>
                <w:sz w:val="16"/>
                <w:szCs w:val="16"/>
                <w:color w:val="auto"/>
              </w:rPr>
              <w:t>$</w:t>
            </w:r>
          </w:p>
        </w:tc>
        <w:tc>
          <w:tcPr>
            <w:tcW w:w="1120" w:type="dxa"/>
            <w:vAlign w:val="bottom"/>
            <w:tcBorders>
              <w:bottom w:val="single" w:sz="8" w:color="auto"/>
            </w:tcBorders>
          </w:tcPr>
          <w:p>
            <w:pPr>
              <w:jc w:val="right"/>
              <w:ind w:right="39"/>
              <w:spacing w:after="0" w:line="183" w:lineRule="exact"/>
              <w:rPr>
                <w:sz w:val="20"/>
                <w:szCs w:val="20"/>
                <w:color w:val="auto"/>
              </w:rPr>
            </w:pPr>
            <w:r>
              <w:rPr>
                <w:rFonts w:ascii="Arial" w:cs="Arial" w:eastAsia="Arial" w:hAnsi="Arial"/>
                <w:sz w:val="16"/>
                <w:szCs w:val="16"/>
                <w:color w:val="auto"/>
              </w:rPr>
              <w:t>507,170</w:t>
            </w:r>
          </w:p>
        </w:tc>
        <w:tc>
          <w:tcPr>
            <w:tcW w:w="24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w:t>
            </w:r>
          </w:p>
        </w:tc>
        <w:tc>
          <w:tcPr>
            <w:tcW w:w="1140" w:type="dxa"/>
            <w:vAlign w:val="bottom"/>
            <w:tcBorders>
              <w:bottom w:val="single" w:sz="8" w:color="auto"/>
            </w:tcBorders>
          </w:tcPr>
          <w:p>
            <w:pPr>
              <w:jc w:val="right"/>
              <w:ind w:right="39"/>
              <w:spacing w:after="0" w:line="183" w:lineRule="exact"/>
              <w:rPr>
                <w:sz w:val="20"/>
                <w:szCs w:val="20"/>
                <w:color w:val="auto"/>
              </w:rPr>
            </w:pPr>
            <w:r>
              <w:rPr>
                <w:rFonts w:ascii="Arial" w:cs="Arial" w:eastAsia="Arial" w:hAnsi="Arial"/>
                <w:sz w:val="16"/>
                <w:szCs w:val="16"/>
                <w:color w:val="auto"/>
              </w:rPr>
              <w:t>17</w:t>
            </w:r>
          </w:p>
        </w:tc>
        <w:tc>
          <w:tcPr>
            <w:tcW w:w="24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w:t>
            </w:r>
          </w:p>
        </w:tc>
        <w:tc>
          <w:tcPr>
            <w:tcW w:w="1180" w:type="dxa"/>
            <w:vAlign w:val="bottom"/>
            <w:tcBorders>
              <w:bottom w:val="single" w:sz="8" w:color="auto"/>
            </w:tcBorders>
          </w:tcPr>
          <w:p>
            <w:pPr>
              <w:jc w:val="right"/>
              <w:ind w:right="19"/>
              <w:spacing w:after="0" w:line="183" w:lineRule="exact"/>
              <w:rPr>
                <w:sz w:val="20"/>
                <w:szCs w:val="20"/>
                <w:color w:val="auto"/>
              </w:rPr>
            </w:pPr>
            <w:r>
              <w:rPr>
                <w:rFonts w:ascii="Arial" w:cs="Arial" w:eastAsia="Arial" w:hAnsi="Arial"/>
                <w:sz w:val="16"/>
                <w:szCs w:val="16"/>
                <w:color w:val="auto"/>
              </w:rPr>
              <w:t>(826)</w:t>
            </w:r>
          </w:p>
        </w:tc>
        <w:tc>
          <w:tcPr>
            <w:tcW w:w="320" w:type="dxa"/>
            <w:vAlign w:val="bottom"/>
            <w:tcBorders>
              <w:bottom w:val="single" w:sz="8" w:color="auto"/>
            </w:tcBorders>
          </w:tcPr>
          <w:p>
            <w:pPr>
              <w:jc w:val="right"/>
              <w:ind w:right="59"/>
              <w:spacing w:after="0" w:line="183" w:lineRule="exact"/>
              <w:rPr>
                <w:sz w:val="20"/>
                <w:szCs w:val="20"/>
                <w:color w:val="auto"/>
              </w:rPr>
            </w:pPr>
            <w:r>
              <w:rPr>
                <w:rFonts w:ascii="Arial" w:cs="Arial" w:eastAsia="Arial" w:hAnsi="Arial"/>
                <w:sz w:val="16"/>
                <w:szCs w:val="16"/>
                <w:color w:val="auto"/>
              </w:rPr>
              <w:t>$</w:t>
            </w:r>
          </w:p>
        </w:tc>
        <w:tc>
          <w:tcPr>
            <w:tcW w:w="1040" w:type="dxa"/>
            <w:vAlign w:val="bottom"/>
            <w:tcBorders>
              <w:bottom w:val="single" w:sz="8" w:color="auto"/>
            </w:tcBorders>
          </w:tcPr>
          <w:p>
            <w:pPr>
              <w:jc w:val="right"/>
              <w:ind w:right="39"/>
              <w:spacing w:after="0" w:line="183" w:lineRule="exact"/>
              <w:rPr>
                <w:sz w:val="20"/>
                <w:szCs w:val="20"/>
                <w:color w:val="auto"/>
              </w:rPr>
            </w:pPr>
            <w:r>
              <w:rPr>
                <w:rFonts w:ascii="Arial" w:cs="Arial" w:eastAsia="Arial" w:hAnsi="Arial"/>
                <w:sz w:val="16"/>
                <w:szCs w:val="16"/>
                <w:color w:val="auto"/>
              </w:rPr>
              <w:t>506,361</w:t>
            </w:r>
          </w:p>
        </w:tc>
      </w:tr>
    </w:tbl>
    <w:p>
      <w:pPr>
        <w:spacing w:after="0" w:line="89" w:lineRule="exact"/>
        <w:rPr>
          <w:sz w:val="20"/>
          <w:szCs w:val="20"/>
          <w:color w:val="auto"/>
        </w:rPr>
      </w:pPr>
    </w:p>
    <w:p>
      <w:pPr>
        <w:spacing w:after="0"/>
        <w:rPr>
          <w:sz w:val="20"/>
          <w:szCs w:val="20"/>
          <w:color w:val="auto"/>
        </w:rPr>
      </w:pPr>
      <w:r>
        <w:rPr>
          <w:rFonts w:ascii="Arial" w:cs="Arial" w:eastAsia="Arial" w:hAnsi="Arial"/>
          <w:sz w:val="18"/>
          <w:szCs w:val="18"/>
          <w:color w:val="auto"/>
        </w:rPr>
        <w:t>Marketable securities as of December 31, 2025 consisted of the following (in thousands):</w:t>
      </w:r>
    </w:p>
    <w:p>
      <w:pPr>
        <w:spacing w:after="0" w:line="102"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3880" w:type="dxa"/>
            <w:vAlign w:val="bottom"/>
            <w:tcBorders>
              <w:top w:val="single" w:sz="8" w:color="auto"/>
            </w:tcBorders>
          </w:tcPr>
          <w:p>
            <w:pPr>
              <w:spacing w:after="0"/>
              <w:rPr>
                <w:sz w:val="16"/>
                <w:szCs w:val="16"/>
                <w:color w:val="auto"/>
              </w:rPr>
            </w:pPr>
          </w:p>
        </w:tc>
        <w:tc>
          <w:tcPr>
            <w:tcW w:w="1940" w:type="dxa"/>
            <w:vAlign w:val="bottom"/>
            <w:tcBorders>
              <w:top w:val="single" w:sz="8" w:color="auto"/>
            </w:tcBorders>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1120" w:type="dxa"/>
            <w:vAlign w:val="bottom"/>
            <w:tcBorders>
              <w:top w:val="single" w:sz="8" w:color="auto"/>
            </w:tcBorders>
          </w:tcPr>
          <w:p>
            <w:pPr>
              <w:jc w:val="right"/>
              <w:ind w:right="219"/>
              <w:spacing w:after="0"/>
              <w:rPr>
                <w:sz w:val="20"/>
                <w:szCs w:val="20"/>
                <w:color w:val="auto"/>
              </w:rPr>
            </w:pPr>
            <w:r>
              <w:rPr>
                <w:rFonts w:ascii="Arial" w:cs="Arial" w:eastAsia="Arial" w:hAnsi="Arial"/>
                <w:sz w:val="16"/>
                <w:szCs w:val="16"/>
                <w:b w:val="1"/>
                <w:bCs w:val="1"/>
                <w:color w:val="auto"/>
              </w:rPr>
              <w:t>Amortized</w:t>
            </w:r>
          </w:p>
        </w:tc>
        <w:tc>
          <w:tcPr>
            <w:tcW w:w="240" w:type="dxa"/>
            <w:vAlign w:val="bottom"/>
            <w:tcBorders>
              <w:top w:val="single" w:sz="8" w:color="auto"/>
            </w:tcBorders>
          </w:tcPr>
          <w:p>
            <w:pPr>
              <w:spacing w:after="0"/>
              <w:rPr>
                <w:sz w:val="16"/>
                <w:szCs w:val="16"/>
                <w:color w:val="auto"/>
              </w:rPr>
            </w:pPr>
          </w:p>
        </w:tc>
        <w:tc>
          <w:tcPr>
            <w:tcW w:w="1140" w:type="dxa"/>
            <w:vAlign w:val="bottom"/>
            <w:tcBorders>
              <w:top w:val="single" w:sz="8" w:color="auto"/>
            </w:tcBorders>
          </w:tcPr>
          <w:p>
            <w:pPr>
              <w:jc w:val="right"/>
              <w:ind w:right="199"/>
              <w:spacing w:after="0"/>
              <w:rPr>
                <w:sz w:val="20"/>
                <w:szCs w:val="20"/>
                <w:color w:val="auto"/>
              </w:rPr>
            </w:pPr>
            <w:r>
              <w:rPr>
                <w:rFonts w:ascii="Arial" w:cs="Arial" w:eastAsia="Arial" w:hAnsi="Arial"/>
                <w:sz w:val="16"/>
                <w:szCs w:val="16"/>
                <w:b w:val="1"/>
                <w:bCs w:val="1"/>
                <w:color w:val="auto"/>
              </w:rPr>
              <w:t>Unrealized</w:t>
            </w: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Unrealized</w:t>
            </w:r>
          </w:p>
        </w:tc>
        <w:tc>
          <w:tcPr>
            <w:tcW w:w="640" w:type="dxa"/>
            <w:vAlign w:val="bottom"/>
            <w:tcBorders>
              <w:top w:val="single" w:sz="8" w:color="auto"/>
            </w:tcBorders>
          </w:tcPr>
          <w:p>
            <w:pPr>
              <w:spacing w:after="0"/>
              <w:rPr>
                <w:sz w:val="16"/>
                <w:szCs w:val="16"/>
                <w:color w:val="auto"/>
              </w:rPr>
            </w:pPr>
          </w:p>
        </w:tc>
        <w:tc>
          <w:tcPr>
            <w:tcW w:w="1040" w:type="dxa"/>
            <w:vAlign w:val="bottom"/>
            <w:tcBorders>
              <w:top w:val="single" w:sz="8" w:color="auto"/>
            </w:tcBorders>
          </w:tcPr>
          <w:p>
            <w:pPr>
              <w:jc w:val="right"/>
              <w:ind w:right="459"/>
              <w:spacing w:after="0"/>
              <w:rPr>
                <w:sz w:val="20"/>
                <w:szCs w:val="20"/>
                <w:color w:val="auto"/>
              </w:rPr>
            </w:pPr>
            <w:r>
              <w:rPr>
                <w:rFonts w:ascii="Arial" w:cs="Arial" w:eastAsia="Arial" w:hAnsi="Arial"/>
                <w:sz w:val="16"/>
                <w:szCs w:val="16"/>
                <w:b w:val="1"/>
                <w:bCs w:val="1"/>
                <w:color w:val="auto"/>
              </w:rPr>
              <w:t>Fair</w:t>
            </w:r>
          </w:p>
        </w:tc>
      </w:tr>
      <w:tr>
        <w:trPr>
          <w:trHeight w:val="203"/>
        </w:trPr>
        <w:tc>
          <w:tcPr>
            <w:tcW w:w="3880" w:type="dxa"/>
            <w:vAlign w:val="bottom"/>
          </w:tcPr>
          <w:p>
            <w:pPr>
              <w:spacing w:after="0"/>
              <w:rPr>
                <w:sz w:val="17"/>
                <w:szCs w:val="17"/>
                <w:color w:val="auto"/>
              </w:rPr>
            </w:pPr>
          </w:p>
        </w:tc>
        <w:tc>
          <w:tcPr>
            <w:tcW w:w="194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ind w:right="419"/>
              <w:spacing w:after="0"/>
              <w:rPr>
                <w:sz w:val="20"/>
                <w:szCs w:val="20"/>
                <w:color w:val="auto"/>
              </w:rPr>
            </w:pPr>
            <w:r>
              <w:rPr>
                <w:rFonts w:ascii="Arial" w:cs="Arial" w:eastAsia="Arial" w:hAnsi="Arial"/>
                <w:sz w:val="16"/>
                <w:szCs w:val="16"/>
                <w:b w:val="1"/>
                <w:bCs w:val="1"/>
                <w:color w:val="auto"/>
              </w:rPr>
              <w:t>Cost</w:t>
            </w:r>
          </w:p>
        </w:tc>
        <w:tc>
          <w:tcPr>
            <w:tcW w:w="24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ind w:right="379"/>
              <w:spacing w:after="0"/>
              <w:rPr>
                <w:sz w:val="20"/>
                <w:szCs w:val="20"/>
                <w:color w:val="auto"/>
              </w:rPr>
            </w:pPr>
            <w:r>
              <w:rPr>
                <w:rFonts w:ascii="Arial" w:cs="Arial" w:eastAsia="Arial" w:hAnsi="Arial"/>
                <w:sz w:val="16"/>
                <w:szCs w:val="16"/>
                <w:b w:val="1"/>
                <w:bCs w:val="1"/>
                <w:color w:val="auto"/>
              </w:rPr>
              <w:t>Gains</w:t>
            </w:r>
          </w:p>
        </w:tc>
        <w:tc>
          <w:tcPr>
            <w:tcW w:w="110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Losses</w:t>
            </w:r>
          </w:p>
        </w:tc>
        <w:tc>
          <w:tcPr>
            <w:tcW w:w="64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399"/>
              <w:spacing w:after="0"/>
              <w:rPr>
                <w:sz w:val="20"/>
                <w:szCs w:val="20"/>
                <w:color w:val="auto"/>
              </w:rPr>
            </w:pPr>
            <w:r>
              <w:rPr>
                <w:rFonts w:ascii="Arial" w:cs="Arial" w:eastAsia="Arial" w:hAnsi="Arial"/>
                <w:sz w:val="16"/>
                <w:szCs w:val="16"/>
                <w:b w:val="1"/>
                <w:bCs w:val="1"/>
                <w:color w:val="auto"/>
              </w:rPr>
              <w:t>Value</w:t>
            </w:r>
          </w:p>
        </w:tc>
      </w:tr>
      <w:tr>
        <w:trPr>
          <w:trHeight w:val="183"/>
        </w:trPr>
        <w:tc>
          <w:tcPr>
            <w:tcW w:w="3880" w:type="dxa"/>
            <w:vAlign w:val="bottom"/>
            <w:shd w:val="clear" w:color="auto" w:fill="CFF0FC"/>
          </w:tcPr>
          <w:p>
            <w:pPr>
              <w:spacing w:after="0" w:line="183" w:lineRule="exact"/>
              <w:rPr>
                <w:sz w:val="20"/>
                <w:szCs w:val="20"/>
                <w:color w:val="auto"/>
              </w:rPr>
            </w:pPr>
            <w:r>
              <w:rPr>
                <w:rFonts w:ascii="Arial" w:cs="Arial" w:eastAsia="Arial" w:hAnsi="Arial"/>
                <w:sz w:val="16"/>
                <w:szCs w:val="16"/>
                <w:b w:val="1"/>
                <w:bCs w:val="1"/>
                <w:color w:val="auto"/>
              </w:rPr>
              <w:t>Description</w:t>
            </w:r>
          </w:p>
        </w:tc>
        <w:tc>
          <w:tcPr>
            <w:tcW w:w="194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112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1140" w:type="dxa"/>
            <w:vAlign w:val="bottom"/>
            <w:shd w:val="clear" w:color="auto" w:fill="CFF0FC"/>
          </w:tcPr>
          <w:p>
            <w:pPr>
              <w:spacing w:after="0"/>
              <w:rPr>
                <w:sz w:val="15"/>
                <w:szCs w:val="15"/>
                <w:color w:val="auto"/>
              </w:rPr>
            </w:pPr>
          </w:p>
        </w:tc>
        <w:tc>
          <w:tcPr>
            <w:tcW w:w="1100" w:type="dxa"/>
            <w:vAlign w:val="bottom"/>
            <w:shd w:val="clear" w:color="auto" w:fill="CFF0FC"/>
          </w:tcPr>
          <w:p>
            <w:pPr>
              <w:spacing w:after="0"/>
              <w:rPr>
                <w:sz w:val="15"/>
                <w:szCs w:val="15"/>
                <w:color w:val="auto"/>
              </w:rPr>
            </w:pPr>
          </w:p>
        </w:tc>
        <w:tc>
          <w:tcPr>
            <w:tcW w:w="640" w:type="dxa"/>
            <w:vAlign w:val="bottom"/>
            <w:shd w:val="clear" w:color="auto" w:fill="CFF0FC"/>
          </w:tcPr>
          <w:p>
            <w:pPr>
              <w:spacing w:after="0"/>
              <w:rPr>
                <w:sz w:val="15"/>
                <w:szCs w:val="15"/>
                <w:color w:val="auto"/>
              </w:rPr>
            </w:pPr>
          </w:p>
        </w:tc>
        <w:tc>
          <w:tcPr>
            <w:tcW w:w="1040" w:type="dxa"/>
            <w:vAlign w:val="bottom"/>
            <w:shd w:val="clear" w:color="auto" w:fill="CFF0FC"/>
          </w:tcPr>
          <w:p>
            <w:pPr>
              <w:spacing w:after="0"/>
              <w:rPr>
                <w:sz w:val="15"/>
                <w:szCs w:val="15"/>
                <w:color w:val="auto"/>
              </w:rPr>
            </w:pPr>
          </w:p>
        </w:tc>
      </w:tr>
      <w:tr>
        <w:trPr>
          <w:trHeight w:val="189"/>
        </w:trPr>
        <w:tc>
          <w:tcPr>
            <w:tcW w:w="3880" w:type="dxa"/>
            <w:vAlign w:val="bottom"/>
          </w:tcPr>
          <w:p>
            <w:pPr>
              <w:ind w:left="120"/>
              <w:spacing w:after="0"/>
              <w:rPr>
                <w:sz w:val="20"/>
                <w:szCs w:val="20"/>
                <w:color w:val="auto"/>
              </w:rPr>
            </w:pPr>
            <w:r>
              <w:rPr>
                <w:rFonts w:ascii="Arial" w:cs="Arial" w:eastAsia="Arial" w:hAnsi="Arial"/>
                <w:sz w:val="16"/>
                <w:szCs w:val="16"/>
                <w:color w:val="auto"/>
              </w:rPr>
              <w:t>Corporate debt securities</w:t>
            </w:r>
          </w:p>
        </w:tc>
        <w:tc>
          <w:tcPr>
            <w:tcW w:w="2080" w:type="dxa"/>
            <w:vAlign w:val="bottom"/>
            <w:gridSpan w:val="2"/>
          </w:tcPr>
          <w:p>
            <w:pPr>
              <w:jc w:val="right"/>
              <w:ind w:right="40"/>
              <w:spacing w:after="0"/>
              <w:rPr>
                <w:sz w:val="20"/>
                <w:szCs w:val="20"/>
                <w:color w:val="auto"/>
              </w:rPr>
            </w:pPr>
            <w:r>
              <w:rPr>
                <w:rFonts w:ascii="Arial" w:cs="Arial" w:eastAsia="Arial" w:hAnsi="Arial"/>
                <w:sz w:val="16"/>
                <w:szCs w:val="16"/>
                <w:color w:val="auto"/>
              </w:rPr>
              <w:t>$</w:t>
            </w:r>
          </w:p>
        </w:tc>
        <w:tc>
          <w:tcPr>
            <w:tcW w:w="1120" w:type="dxa"/>
            <w:vAlign w:val="bottom"/>
          </w:tcPr>
          <w:p>
            <w:pPr>
              <w:jc w:val="right"/>
              <w:ind w:right="39"/>
              <w:spacing w:after="0"/>
              <w:rPr>
                <w:sz w:val="20"/>
                <w:szCs w:val="20"/>
                <w:color w:val="auto"/>
              </w:rPr>
            </w:pPr>
            <w:r>
              <w:rPr>
                <w:rFonts w:ascii="Arial" w:cs="Arial" w:eastAsia="Arial" w:hAnsi="Arial"/>
                <w:sz w:val="16"/>
                <w:szCs w:val="16"/>
                <w:color w:val="auto"/>
              </w:rPr>
              <w:t>99,543</w:t>
            </w:r>
          </w:p>
        </w:tc>
        <w:tc>
          <w:tcPr>
            <w:tcW w:w="240" w:type="dxa"/>
            <w:vAlign w:val="bottom"/>
          </w:tcPr>
          <w:p>
            <w:pPr>
              <w:jc w:val="right"/>
              <w:spacing w:after="0"/>
              <w:rPr>
                <w:sz w:val="20"/>
                <w:szCs w:val="20"/>
                <w:color w:val="auto"/>
              </w:rPr>
            </w:pPr>
            <w:r>
              <w:rPr>
                <w:rFonts w:ascii="Arial" w:cs="Arial" w:eastAsia="Arial" w:hAnsi="Arial"/>
                <w:sz w:val="16"/>
                <w:szCs w:val="16"/>
                <w:color w:val="auto"/>
              </w:rPr>
              <w:t>$</w:t>
            </w:r>
          </w:p>
        </w:tc>
        <w:tc>
          <w:tcPr>
            <w:tcW w:w="1140" w:type="dxa"/>
            <w:vAlign w:val="bottom"/>
          </w:tcPr>
          <w:p>
            <w:pPr>
              <w:jc w:val="right"/>
              <w:ind w:right="39"/>
              <w:spacing w:after="0"/>
              <w:rPr>
                <w:sz w:val="20"/>
                <w:szCs w:val="20"/>
                <w:color w:val="auto"/>
              </w:rPr>
            </w:pPr>
            <w:r>
              <w:rPr>
                <w:rFonts w:ascii="Arial" w:cs="Arial" w:eastAsia="Arial" w:hAnsi="Arial"/>
                <w:sz w:val="16"/>
                <w:szCs w:val="16"/>
                <w:color w:val="auto"/>
              </w:rPr>
              <w:t>53</w:t>
            </w:r>
          </w:p>
        </w:tc>
        <w:tc>
          <w:tcPr>
            <w:tcW w:w="1100" w:type="dxa"/>
            <w:vAlign w:val="bottom"/>
          </w:tcPr>
          <w:p>
            <w:pPr>
              <w:jc w:val="right"/>
              <w:ind w:right="799"/>
              <w:spacing w:after="0"/>
              <w:rPr>
                <w:sz w:val="20"/>
                <w:szCs w:val="20"/>
                <w:color w:val="auto"/>
              </w:rPr>
            </w:pPr>
            <w:r>
              <w:rPr>
                <w:rFonts w:ascii="Arial" w:cs="Arial" w:eastAsia="Arial" w:hAnsi="Arial"/>
                <w:sz w:val="16"/>
                <w:szCs w:val="16"/>
                <w:color w:val="auto"/>
              </w:rPr>
              <w:t>$</w:t>
            </w:r>
          </w:p>
        </w:tc>
        <w:tc>
          <w:tcPr>
            <w:tcW w:w="640" w:type="dxa"/>
            <w:vAlign w:val="bottom"/>
          </w:tcPr>
          <w:p>
            <w:pPr>
              <w:spacing w:after="0"/>
              <w:rPr>
                <w:sz w:val="20"/>
                <w:szCs w:val="20"/>
                <w:color w:val="auto"/>
              </w:rPr>
            </w:pPr>
            <w:r>
              <w:rPr>
                <w:rFonts w:ascii="Arial" w:cs="Arial" w:eastAsia="Arial" w:hAnsi="Arial"/>
                <w:sz w:val="16"/>
                <w:szCs w:val="16"/>
                <w:color w:val="auto"/>
              </w:rPr>
              <w:t>—</w:t>
            </w:r>
          </w:p>
        </w:tc>
        <w:tc>
          <w:tcPr>
            <w:tcW w:w="1040" w:type="dxa"/>
            <w:vAlign w:val="bottom"/>
          </w:tcPr>
          <w:p>
            <w:pPr>
              <w:jc w:val="right"/>
              <w:ind w:right="39"/>
              <w:spacing w:after="0"/>
              <w:rPr>
                <w:sz w:val="20"/>
                <w:szCs w:val="20"/>
                <w:color w:val="auto"/>
              </w:rPr>
            </w:pPr>
            <w:r>
              <w:rPr>
                <w:rFonts w:ascii="Arial" w:cs="Arial" w:eastAsia="Arial" w:hAnsi="Arial"/>
                <w:sz w:val="16"/>
                <w:szCs w:val="16"/>
                <w:color w:val="auto"/>
              </w:rPr>
              <w:t>99,596</w:t>
            </w:r>
          </w:p>
        </w:tc>
      </w:tr>
      <w:tr>
        <w:trPr>
          <w:trHeight w:val="189"/>
        </w:trPr>
        <w:tc>
          <w:tcPr>
            <w:tcW w:w="3880" w:type="dxa"/>
            <w:vAlign w:val="bottom"/>
            <w:tcBorders>
              <w:bottom w:val="single" w:sz="8" w:color="CFF0FC"/>
            </w:tcBorders>
            <w:shd w:val="clear" w:color="auto" w:fill="CFF0FC"/>
          </w:tcPr>
          <w:p>
            <w:pPr>
              <w:ind w:left="120"/>
              <w:spacing w:after="0"/>
              <w:rPr>
                <w:sz w:val="20"/>
                <w:szCs w:val="20"/>
                <w:color w:val="auto"/>
              </w:rPr>
            </w:pPr>
            <w:r>
              <w:rPr>
                <w:rFonts w:ascii="Arial" w:cs="Arial" w:eastAsia="Arial" w:hAnsi="Arial"/>
                <w:sz w:val="16"/>
                <w:szCs w:val="16"/>
                <w:color w:val="auto"/>
              </w:rPr>
              <w:t>U.S Treasury securities</w:t>
            </w:r>
          </w:p>
        </w:tc>
        <w:tc>
          <w:tcPr>
            <w:tcW w:w="1940" w:type="dxa"/>
            <w:vAlign w:val="bottom"/>
            <w:tcBorders>
              <w:bottom w:val="single" w:sz="8" w:color="CFF0FC"/>
            </w:tcBorders>
            <w:shd w:val="clear" w:color="auto" w:fill="CFF0FC"/>
          </w:tcPr>
          <w:p>
            <w:pPr>
              <w:spacing w:after="0"/>
              <w:rPr>
                <w:sz w:val="16"/>
                <w:szCs w:val="16"/>
                <w:color w:val="auto"/>
              </w:rPr>
            </w:pPr>
          </w:p>
        </w:tc>
        <w:tc>
          <w:tcPr>
            <w:tcW w:w="140" w:type="dxa"/>
            <w:vAlign w:val="bottom"/>
            <w:tcBorders>
              <w:bottom w:val="single" w:sz="8" w:color="auto"/>
            </w:tcBorders>
            <w:shd w:val="clear" w:color="auto" w:fill="CFF0FC"/>
          </w:tcPr>
          <w:p>
            <w:pPr>
              <w:spacing w:after="0"/>
              <w:rPr>
                <w:sz w:val="16"/>
                <w:szCs w:val="16"/>
                <w:color w:val="auto"/>
              </w:rPr>
            </w:pPr>
          </w:p>
        </w:tc>
        <w:tc>
          <w:tcPr>
            <w:tcW w:w="1120" w:type="dxa"/>
            <w:vAlign w:val="bottom"/>
            <w:tcBorders>
              <w:bottom w:val="single" w:sz="8" w:color="auto"/>
            </w:tcBorders>
            <w:shd w:val="clear" w:color="auto" w:fill="CFF0FC"/>
          </w:tcPr>
          <w:p>
            <w:pPr>
              <w:jc w:val="right"/>
              <w:ind w:right="39"/>
              <w:spacing w:after="0"/>
              <w:rPr>
                <w:sz w:val="20"/>
                <w:szCs w:val="20"/>
                <w:color w:val="auto"/>
              </w:rPr>
            </w:pPr>
            <w:r>
              <w:rPr>
                <w:rFonts w:ascii="Arial" w:cs="Arial" w:eastAsia="Arial" w:hAnsi="Arial"/>
                <w:sz w:val="16"/>
                <w:szCs w:val="16"/>
                <w:color w:val="auto"/>
              </w:rPr>
              <w:t>147,514</w:t>
            </w:r>
          </w:p>
        </w:tc>
        <w:tc>
          <w:tcPr>
            <w:tcW w:w="240" w:type="dxa"/>
            <w:vAlign w:val="bottom"/>
            <w:tcBorders>
              <w:bottom w:val="single" w:sz="8" w:color="auto"/>
            </w:tcBorders>
            <w:shd w:val="clear" w:color="auto" w:fill="CFF0FC"/>
          </w:tcPr>
          <w:p>
            <w:pPr>
              <w:spacing w:after="0"/>
              <w:rPr>
                <w:sz w:val="16"/>
                <w:szCs w:val="16"/>
                <w:color w:val="auto"/>
              </w:rPr>
            </w:pPr>
          </w:p>
        </w:tc>
        <w:tc>
          <w:tcPr>
            <w:tcW w:w="1140" w:type="dxa"/>
            <w:vAlign w:val="bottom"/>
            <w:tcBorders>
              <w:bottom w:val="single" w:sz="8" w:color="auto"/>
            </w:tcBorders>
            <w:shd w:val="clear" w:color="auto" w:fill="CFF0FC"/>
          </w:tcPr>
          <w:p>
            <w:pPr>
              <w:jc w:val="right"/>
              <w:ind w:right="39"/>
              <w:spacing w:after="0"/>
              <w:rPr>
                <w:sz w:val="20"/>
                <w:szCs w:val="20"/>
                <w:color w:val="auto"/>
              </w:rPr>
            </w:pPr>
            <w:r>
              <w:rPr>
                <w:rFonts w:ascii="Arial" w:cs="Arial" w:eastAsia="Arial" w:hAnsi="Arial"/>
                <w:sz w:val="16"/>
                <w:szCs w:val="16"/>
                <w:color w:val="auto"/>
              </w:rPr>
              <w:t>111</w:t>
            </w:r>
          </w:p>
        </w:tc>
        <w:tc>
          <w:tcPr>
            <w:tcW w:w="1100" w:type="dxa"/>
            <w:vAlign w:val="bottom"/>
            <w:tcBorders>
              <w:bottom w:val="single" w:sz="8" w:color="auto"/>
            </w:tcBorders>
            <w:shd w:val="clear" w:color="auto" w:fill="CFF0FC"/>
          </w:tcPr>
          <w:p>
            <w:pPr>
              <w:spacing w:after="0"/>
              <w:rPr>
                <w:sz w:val="16"/>
                <w:szCs w:val="16"/>
                <w:color w:val="auto"/>
              </w:rPr>
            </w:pPr>
          </w:p>
        </w:tc>
        <w:tc>
          <w:tcPr>
            <w:tcW w:w="640" w:type="dxa"/>
            <w:vAlign w:val="bottom"/>
            <w:tcBorders>
              <w:bottom w:val="single" w:sz="8" w:color="auto"/>
            </w:tcBorders>
            <w:shd w:val="clear" w:color="auto" w:fill="CFF0FC"/>
          </w:tcPr>
          <w:p>
            <w:pPr>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auto"/>
            </w:tcBorders>
            <w:shd w:val="clear" w:color="auto" w:fill="CFF0FC"/>
          </w:tcPr>
          <w:p>
            <w:pPr>
              <w:jc w:val="right"/>
              <w:ind w:right="39"/>
              <w:spacing w:after="0"/>
              <w:rPr>
                <w:sz w:val="20"/>
                <w:szCs w:val="20"/>
                <w:color w:val="auto"/>
              </w:rPr>
            </w:pPr>
            <w:r>
              <w:rPr>
                <w:rFonts w:ascii="Arial" w:cs="Arial" w:eastAsia="Arial" w:hAnsi="Arial"/>
                <w:sz w:val="16"/>
                <w:szCs w:val="16"/>
                <w:color w:val="auto"/>
              </w:rPr>
              <w:t>147,625</w:t>
            </w:r>
          </w:p>
        </w:tc>
      </w:tr>
      <w:tr>
        <w:trPr>
          <w:trHeight w:val="183"/>
        </w:trPr>
        <w:tc>
          <w:tcPr>
            <w:tcW w:w="3880" w:type="dxa"/>
            <w:vAlign w:val="bottom"/>
            <w:tcBorders>
              <w:bottom w:val="single" w:sz="8" w:color="auto"/>
            </w:tcBorders>
          </w:tcPr>
          <w:p>
            <w:pPr>
              <w:ind w:left="220"/>
              <w:spacing w:after="0" w:line="183" w:lineRule="exact"/>
              <w:rPr>
                <w:sz w:val="20"/>
                <w:szCs w:val="20"/>
                <w:color w:val="auto"/>
              </w:rPr>
            </w:pPr>
            <w:r>
              <w:rPr>
                <w:rFonts w:ascii="Arial" w:cs="Arial" w:eastAsia="Arial" w:hAnsi="Arial"/>
                <w:sz w:val="16"/>
                <w:szCs w:val="16"/>
                <w:color w:val="auto"/>
              </w:rPr>
              <w:t>Total</w:t>
            </w:r>
          </w:p>
        </w:tc>
        <w:tc>
          <w:tcPr>
            <w:tcW w:w="2080" w:type="dxa"/>
            <w:vAlign w:val="bottom"/>
            <w:tcBorders>
              <w:bottom w:val="single" w:sz="8" w:color="auto"/>
            </w:tcBorders>
            <w:gridSpan w:val="2"/>
          </w:tcPr>
          <w:p>
            <w:pPr>
              <w:jc w:val="right"/>
              <w:ind w:right="40"/>
              <w:spacing w:after="0" w:line="183" w:lineRule="exact"/>
              <w:rPr>
                <w:sz w:val="20"/>
                <w:szCs w:val="20"/>
                <w:color w:val="auto"/>
              </w:rPr>
            </w:pPr>
            <w:r>
              <w:rPr>
                <w:rFonts w:ascii="Arial" w:cs="Arial" w:eastAsia="Arial" w:hAnsi="Arial"/>
                <w:sz w:val="16"/>
                <w:szCs w:val="16"/>
                <w:color w:val="auto"/>
              </w:rPr>
              <w:t>$</w:t>
            </w:r>
          </w:p>
        </w:tc>
        <w:tc>
          <w:tcPr>
            <w:tcW w:w="1120" w:type="dxa"/>
            <w:vAlign w:val="bottom"/>
            <w:tcBorders>
              <w:bottom w:val="single" w:sz="8" w:color="auto"/>
            </w:tcBorders>
          </w:tcPr>
          <w:p>
            <w:pPr>
              <w:jc w:val="right"/>
              <w:ind w:right="39"/>
              <w:spacing w:after="0" w:line="183" w:lineRule="exact"/>
              <w:rPr>
                <w:sz w:val="20"/>
                <w:szCs w:val="20"/>
                <w:color w:val="auto"/>
              </w:rPr>
            </w:pPr>
            <w:r>
              <w:rPr>
                <w:rFonts w:ascii="Arial" w:cs="Arial" w:eastAsia="Arial" w:hAnsi="Arial"/>
                <w:sz w:val="16"/>
                <w:szCs w:val="16"/>
                <w:color w:val="auto"/>
              </w:rPr>
              <w:t>247,057</w:t>
            </w:r>
          </w:p>
        </w:tc>
        <w:tc>
          <w:tcPr>
            <w:tcW w:w="24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w:t>
            </w:r>
          </w:p>
        </w:tc>
        <w:tc>
          <w:tcPr>
            <w:tcW w:w="1140" w:type="dxa"/>
            <w:vAlign w:val="bottom"/>
            <w:tcBorders>
              <w:bottom w:val="single" w:sz="8" w:color="auto"/>
            </w:tcBorders>
          </w:tcPr>
          <w:p>
            <w:pPr>
              <w:jc w:val="right"/>
              <w:ind w:right="39"/>
              <w:spacing w:after="0" w:line="183" w:lineRule="exact"/>
              <w:rPr>
                <w:sz w:val="20"/>
                <w:szCs w:val="20"/>
                <w:color w:val="auto"/>
              </w:rPr>
            </w:pPr>
            <w:r>
              <w:rPr>
                <w:rFonts w:ascii="Arial" w:cs="Arial" w:eastAsia="Arial" w:hAnsi="Arial"/>
                <w:sz w:val="16"/>
                <w:szCs w:val="16"/>
                <w:color w:val="auto"/>
              </w:rPr>
              <w:t>164</w:t>
            </w:r>
          </w:p>
        </w:tc>
        <w:tc>
          <w:tcPr>
            <w:tcW w:w="1100" w:type="dxa"/>
            <w:vAlign w:val="bottom"/>
            <w:tcBorders>
              <w:bottom w:val="single" w:sz="8" w:color="auto"/>
            </w:tcBorders>
          </w:tcPr>
          <w:p>
            <w:pPr>
              <w:jc w:val="right"/>
              <w:ind w:right="799"/>
              <w:spacing w:after="0" w:line="183" w:lineRule="exact"/>
              <w:rPr>
                <w:sz w:val="20"/>
                <w:szCs w:val="20"/>
                <w:color w:val="auto"/>
              </w:rPr>
            </w:pPr>
            <w:r>
              <w:rPr>
                <w:rFonts w:ascii="Arial" w:cs="Arial" w:eastAsia="Arial" w:hAnsi="Arial"/>
                <w:sz w:val="16"/>
                <w:szCs w:val="16"/>
                <w:color w:val="auto"/>
              </w:rPr>
              <w:t>$</w:t>
            </w:r>
          </w:p>
        </w:tc>
        <w:tc>
          <w:tcPr>
            <w:tcW w:w="640" w:type="dxa"/>
            <w:vAlign w:val="bottom"/>
            <w:tcBorders>
              <w:bottom w:val="single" w:sz="8" w:color="auto"/>
            </w:tcBorders>
          </w:tcPr>
          <w:p>
            <w:pPr>
              <w:spacing w:after="0" w:line="183" w:lineRule="exact"/>
              <w:rPr>
                <w:sz w:val="20"/>
                <w:szCs w:val="20"/>
                <w:color w:val="auto"/>
              </w:rPr>
            </w:pPr>
            <w:r>
              <w:rPr>
                <w:rFonts w:ascii="Arial" w:cs="Arial" w:eastAsia="Arial" w:hAnsi="Arial"/>
                <w:sz w:val="16"/>
                <w:szCs w:val="16"/>
                <w:color w:val="auto"/>
              </w:rPr>
              <w:t>—   $</w:t>
            </w:r>
          </w:p>
        </w:tc>
        <w:tc>
          <w:tcPr>
            <w:tcW w:w="1040" w:type="dxa"/>
            <w:vAlign w:val="bottom"/>
            <w:tcBorders>
              <w:bottom w:val="single" w:sz="8" w:color="auto"/>
            </w:tcBorders>
          </w:tcPr>
          <w:p>
            <w:pPr>
              <w:jc w:val="right"/>
              <w:ind w:right="39"/>
              <w:spacing w:after="0" w:line="183" w:lineRule="exact"/>
              <w:rPr>
                <w:sz w:val="20"/>
                <w:szCs w:val="20"/>
                <w:color w:val="auto"/>
              </w:rPr>
            </w:pPr>
            <w:r>
              <w:rPr>
                <w:rFonts w:ascii="Arial" w:cs="Arial" w:eastAsia="Arial" w:hAnsi="Arial"/>
                <w:sz w:val="16"/>
                <w:szCs w:val="16"/>
                <w:color w:val="auto"/>
              </w:rPr>
              <w:t>247,221</w:t>
            </w:r>
          </w:p>
        </w:tc>
      </w:tr>
    </w:tbl>
    <w:p>
      <w:pPr>
        <w:spacing w:after="0" w:line="89" w:lineRule="exact"/>
        <w:rPr>
          <w:sz w:val="20"/>
          <w:szCs w:val="20"/>
          <w:color w:val="auto"/>
        </w:rPr>
      </w:pPr>
    </w:p>
    <w:p>
      <w:pPr>
        <w:spacing w:after="0" w:line="247" w:lineRule="auto"/>
        <w:rPr>
          <w:sz w:val="20"/>
          <w:szCs w:val="20"/>
          <w:color w:val="auto"/>
        </w:rPr>
      </w:pPr>
      <w:r>
        <w:rPr>
          <w:rFonts w:ascii="Arial" w:cs="Arial" w:eastAsia="Arial" w:hAnsi="Arial"/>
          <w:sz w:val="18"/>
          <w:szCs w:val="18"/>
          <w:color w:val="auto"/>
        </w:rPr>
        <w:t>As of March 31, 2026, unrealized gain and losses on marketable securities are recorded in accumulated other comprehensive loss in equity on the accompanying condensed consolidated balance sheet. There were no realized gains or losses recognized on the sale or maturity of marketable securities for the three months ended March 31, 2026 and 2025 and, as a result, the Company did not reclassify any amounts out of accumulated other comprehensive loss for the same periods.</w:t>
      </w:r>
    </w:p>
    <w:p>
      <w:pPr>
        <w:spacing w:after="0" w:line="66" w:lineRule="exact"/>
        <w:rPr>
          <w:sz w:val="20"/>
          <w:szCs w:val="20"/>
          <w:color w:val="auto"/>
        </w:rPr>
      </w:pPr>
    </w:p>
    <w:p>
      <w:pPr>
        <w:ind w:right="100"/>
        <w:spacing w:after="0" w:line="253" w:lineRule="auto"/>
        <w:rPr>
          <w:sz w:val="20"/>
          <w:szCs w:val="20"/>
          <w:color w:val="auto"/>
        </w:rPr>
      </w:pPr>
      <w:r>
        <w:rPr>
          <w:rFonts w:ascii="Arial" w:cs="Arial" w:eastAsia="Arial" w:hAnsi="Arial"/>
          <w:sz w:val="18"/>
          <w:szCs w:val="18"/>
          <w:color w:val="auto"/>
        </w:rPr>
        <w:t>The Company holds debt securities of companies with high credit quality and has determined that there was no material change in the credit risk of any of its debt securities. The Company also believes that it will be able to collect both principal and interest amounts due to it at maturity.</w:t>
      </w:r>
    </w:p>
    <w:p>
      <w:pPr>
        <w:spacing w:after="0" w:line="15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5. Property and equipment, net</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color w:val="auto"/>
        </w:rPr>
        <w:t>Property and equipment, net, consist of the following (in thousands):</w:t>
      </w:r>
    </w:p>
    <w:p>
      <w:pPr>
        <w:spacing w:after="0" w:line="116"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5220" w:type="dxa"/>
            <w:vAlign w:val="bottom"/>
            <w:tcBorders>
              <w:top w:val="single" w:sz="8" w:color="auto"/>
            </w:tcBorders>
          </w:tcPr>
          <w:p>
            <w:pPr>
              <w:spacing w:after="0"/>
              <w:rPr>
                <w:sz w:val="16"/>
                <w:szCs w:val="16"/>
                <w:color w:val="auto"/>
              </w:rPr>
            </w:pPr>
          </w:p>
        </w:tc>
        <w:tc>
          <w:tcPr>
            <w:tcW w:w="2520" w:type="dxa"/>
            <w:vAlign w:val="bottom"/>
            <w:tcBorders>
              <w:top w:val="single" w:sz="8" w:color="auto"/>
            </w:tcBorders>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1480" w:type="dxa"/>
            <w:vAlign w:val="bottom"/>
            <w:tcBorders>
              <w:top w:val="single" w:sz="8" w:color="auto"/>
            </w:tcBorders>
          </w:tcPr>
          <w:p>
            <w:pPr>
              <w:jc w:val="right"/>
              <w:ind w:right="499"/>
              <w:spacing w:after="0"/>
              <w:rPr>
                <w:sz w:val="20"/>
                <w:szCs w:val="20"/>
                <w:color w:val="auto"/>
              </w:rPr>
            </w:pPr>
            <w:r>
              <w:rPr>
                <w:rFonts w:ascii="Arial" w:cs="Arial" w:eastAsia="Arial" w:hAnsi="Arial"/>
                <w:sz w:val="16"/>
                <w:szCs w:val="16"/>
                <w:b w:val="1"/>
                <w:bCs w:val="1"/>
                <w:color w:val="auto"/>
              </w:rPr>
              <w:t>March 31,</w:t>
            </w:r>
          </w:p>
        </w:tc>
        <w:tc>
          <w:tcPr>
            <w:tcW w:w="280" w:type="dxa"/>
            <w:vAlign w:val="bottom"/>
            <w:tcBorders>
              <w:top w:val="single" w:sz="8" w:color="auto"/>
            </w:tcBorders>
          </w:tcPr>
          <w:p>
            <w:pPr>
              <w:spacing w:after="0"/>
              <w:rPr>
                <w:sz w:val="16"/>
                <w:szCs w:val="16"/>
                <w:color w:val="auto"/>
              </w:rPr>
            </w:pPr>
          </w:p>
        </w:tc>
        <w:tc>
          <w:tcPr>
            <w:tcW w:w="1500" w:type="dxa"/>
            <w:vAlign w:val="bottom"/>
            <w:tcBorders>
              <w:top w:val="single" w:sz="8" w:color="auto"/>
            </w:tcBorders>
          </w:tcPr>
          <w:p>
            <w:pPr>
              <w:jc w:val="right"/>
              <w:ind w:right="299"/>
              <w:spacing w:after="0"/>
              <w:rPr>
                <w:sz w:val="20"/>
                <w:szCs w:val="20"/>
                <w:color w:val="auto"/>
              </w:rPr>
            </w:pPr>
            <w:r>
              <w:rPr>
                <w:rFonts w:ascii="Arial" w:cs="Arial" w:eastAsia="Arial" w:hAnsi="Arial"/>
                <w:sz w:val="16"/>
                <w:szCs w:val="16"/>
                <w:b w:val="1"/>
                <w:bCs w:val="1"/>
                <w:color w:val="auto"/>
              </w:rPr>
              <w:t>December 31,</w:t>
            </w:r>
          </w:p>
        </w:tc>
      </w:tr>
      <w:tr>
        <w:trPr>
          <w:trHeight w:val="203"/>
        </w:trPr>
        <w:tc>
          <w:tcPr>
            <w:tcW w:w="5220" w:type="dxa"/>
            <w:vAlign w:val="bottom"/>
            <w:tcBorders>
              <w:bottom w:val="single" w:sz="8" w:color="auto"/>
            </w:tcBorders>
          </w:tcPr>
          <w:p>
            <w:pPr>
              <w:spacing w:after="0"/>
              <w:rPr>
                <w:sz w:val="17"/>
                <w:szCs w:val="17"/>
                <w:color w:val="auto"/>
              </w:rPr>
            </w:pPr>
          </w:p>
        </w:tc>
        <w:tc>
          <w:tcPr>
            <w:tcW w:w="2520" w:type="dxa"/>
            <w:vAlign w:val="bottom"/>
            <w:tcBorders>
              <w:bottom w:val="single" w:sz="8" w:color="auto"/>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480" w:type="dxa"/>
            <w:vAlign w:val="bottom"/>
            <w:tcBorders>
              <w:bottom w:val="single" w:sz="8" w:color="auto"/>
            </w:tcBorders>
          </w:tcPr>
          <w:p>
            <w:pPr>
              <w:jc w:val="right"/>
              <w:ind w:right="679"/>
              <w:spacing w:after="0"/>
              <w:rPr>
                <w:sz w:val="20"/>
                <w:szCs w:val="20"/>
                <w:color w:val="auto"/>
              </w:rPr>
            </w:pPr>
            <w:r>
              <w:rPr>
                <w:rFonts w:ascii="Arial" w:cs="Arial" w:eastAsia="Arial" w:hAnsi="Arial"/>
                <w:sz w:val="16"/>
                <w:szCs w:val="16"/>
                <w:b w:val="1"/>
                <w:bCs w:val="1"/>
                <w:color w:val="auto"/>
              </w:rPr>
              <w:t>2026</w:t>
            </w:r>
          </w:p>
        </w:tc>
        <w:tc>
          <w:tcPr>
            <w:tcW w:w="280" w:type="dxa"/>
            <w:vAlign w:val="bottom"/>
            <w:tcBorders>
              <w:bottom w:val="single" w:sz="8" w:color="auto"/>
            </w:tcBorders>
          </w:tcPr>
          <w:p>
            <w:pPr>
              <w:spacing w:after="0"/>
              <w:rPr>
                <w:sz w:val="17"/>
                <w:szCs w:val="17"/>
                <w:color w:val="auto"/>
              </w:rPr>
            </w:pPr>
          </w:p>
        </w:tc>
        <w:tc>
          <w:tcPr>
            <w:tcW w:w="1500" w:type="dxa"/>
            <w:vAlign w:val="bottom"/>
            <w:tcBorders>
              <w:bottom w:val="single" w:sz="8" w:color="auto"/>
            </w:tcBorders>
          </w:tcPr>
          <w:p>
            <w:pPr>
              <w:jc w:val="right"/>
              <w:ind w:right="619"/>
              <w:spacing w:after="0"/>
              <w:rPr>
                <w:sz w:val="20"/>
                <w:szCs w:val="20"/>
                <w:color w:val="auto"/>
              </w:rPr>
            </w:pPr>
            <w:r>
              <w:rPr>
                <w:rFonts w:ascii="Arial" w:cs="Arial" w:eastAsia="Arial" w:hAnsi="Arial"/>
                <w:sz w:val="16"/>
                <w:szCs w:val="16"/>
                <w:b w:val="1"/>
                <w:bCs w:val="1"/>
                <w:color w:val="auto"/>
              </w:rPr>
              <w:t>2025</w:t>
            </w:r>
          </w:p>
        </w:tc>
      </w:tr>
      <w:tr>
        <w:trPr>
          <w:trHeight w:val="183"/>
        </w:trPr>
        <w:tc>
          <w:tcPr>
            <w:tcW w:w="5220" w:type="dxa"/>
            <w:vAlign w:val="bottom"/>
            <w:shd w:val="clear" w:color="auto" w:fill="CFF0FC"/>
          </w:tcPr>
          <w:p>
            <w:pPr>
              <w:spacing w:after="0" w:line="183" w:lineRule="exact"/>
              <w:rPr>
                <w:sz w:val="20"/>
                <w:szCs w:val="20"/>
                <w:color w:val="auto"/>
              </w:rPr>
            </w:pPr>
            <w:r>
              <w:rPr>
                <w:rFonts w:ascii="Arial" w:cs="Arial" w:eastAsia="Arial" w:hAnsi="Arial"/>
                <w:sz w:val="16"/>
                <w:szCs w:val="16"/>
                <w:color w:val="auto"/>
              </w:rPr>
              <w:t>Laboratory equipment</w:t>
            </w:r>
          </w:p>
        </w:tc>
        <w:tc>
          <w:tcPr>
            <w:tcW w:w="2760" w:type="dxa"/>
            <w:vAlign w:val="bottom"/>
            <w:gridSpan w:val="2"/>
            <w:shd w:val="clear" w:color="auto" w:fill="CFF0FC"/>
          </w:tcPr>
          <w:p>
            <w:pPr>
              <w:jc w:val="right"/>
              <w:ind w:right="140"/>
              <w:spacing w:after="0" w:line="183" w:lineRule="exact"/>
              <w:rPr>
                <w:sz w:val="20"/>
                <w:szCs w:val="20"/>
                <w:color w:val="auto"/>
              </w:rPr>
            </w:pPr>
            <w:r>
              <w:rPr>
                <w:rFonts w:ascii="Arial" w:cs="Arial" w:eastAsia="Arial" w:hAnsi="Arial"/>
                <w:sz w:val="16"/>
                <w:szCs w:val="16"/>
                <w:color w:val="auto"/>
              </w:rPr>
              <w:t>$</w:t>
            </w:r>
          </w:p>
        </w:tc>
        <w:tc>
          <w:tcPr>
            <w:tcW w:w="1480" w:type="dxa"/>
            <w:vAlign w:val="bottom"/>
            <w:shd w:val="clear" w:color="auto" w:fill="CFF0FC"/>
          </w:tcPr>
          <w:p>
            <w:pPr>
              <w:jc w:val="right"/>
              <w:ind w:right="79"/>
              <w:spacing w:after="0" w:line="183" w:lineRule="exact"/>
              <w:rPr>
                <w:sz w:val="20"/>
                <w:szCs w:val="20"/>
                <w:color w:val="auto"/>
              </w:rPr>
            </w:pPr>
            <w:r>
              <w:rPr>
                <w:rFonts w:ascii="Arial" w:cs="Arial" w:eastAsia="Arial" w:hAnsi="Arial"/>
                <w:sz w:val="16"/>
                <w:szCs w:val="16"/>
                <w:color w:val="auto"/>
              </w:rPr>
              <w:t>28,024</w:t>
            </w:r>
          </w:p>
        </w:tc>
        <w:tc>
          <w:tcPr>
            <w:tcW w:w="280" w:type="dxa"/>
            <w:vAlign w:val="bottom"/>
            <w:shd w:val="clear" w:color="auto" w:fill="CFF0FC"/>
          </w:tcPr>
          <w:p>
            <w:pPr>
              <w:jc w:val="right"/>
              <w:spacing w:after="0" w:line="183" w:lineRule="exact"/>
              <w:rPr>
                <w:sz w:val="20"/>
                <w:szCs w:val="20"/>
                <w:color w:val="auto"/>
              </w:rPr>
            </w:pPr>
            <w:r>
              <w:rPr>
                <w:rFonts w:ascii="Arial" w:cs="Arial" w:eastAsia="Arial" w:hAnsi="Arial"/>
                <w:sz w:val="16"/>
                <w:szCs w:val="16"/>
                <w:color w:val="auto"/>
              </w:rPr>
              <w:t>$</w:t>
            </w:r>
          </w:p>
        </w:tc>
        <w:tc>
          <w:tcPr>
            <w:tcW w:w="1500" w:type="dxa"/>
            <w:vAlign w:val="bottom"/>
            <w:shd w:val="clear" w:color="auto" w:fill="CFF0FC"/>
          </w:tcPr>
          <w:p>
            <w:pPr>
              <w:jc w:val="right"/>
              <w:ind w:right="19"/>
              <w:spacing w:after="0" w:line="183" w:lineRule="exact"/>
              <w:rPr>
                <w:sz w:val="20"/>
                <w:szCs w:val="20"/>
                <w:color w:val="auto"/>
              </w:rPr>
            </w:pPr>
            <w:r>
              <w:rPr>
                <w:rFonts w:ascii="Arial" w:cs="Arial" w:eastAsia="Arial" w:hAnsi="Arial"/>
                <w:sz w:val="16"/>
                <w:szCs w:val="16"/>
                <w:color w:val="auto"/>
              </w:rPr>
              <w:t>27,022</w:t>
            </w:r>
          </w:p>
        </w:tc>
      </w:tr>
      <w:tr>
        <w:trPr>
          <w:trHeight w:val="189"/>
        </w:trPr>
        <w:tc>
          <w:tcPr>
            <w:tcW w:w="5220" w:type="dxa"/>
            <w:vAlign w:val="bottom"/>
          </w:tcPr>
          <w:p>
            <w:pPr>
              <w:spacing w:after="0"/>
              <w:rPr>
                <w:sz w:val="20"/>
                <w:szCs w:val="20"/>
                <w:color w:val="auto"/>
              </w:rPr>
            </w:pPr>
            <w:r>
              <w:rPr>
                <w:rFonts w:ascii="Arial" w:cs="Arial" w:eastAsia="Arial" w:hAnsi="Arial"/>
                <w:sz w:val="16"/>
                <w:szCs w:val="16"/>
                <w:color w:val="auto"/>
              </w:rPr>
              <w:t>Computer hardware and software</w:t>
            </w:r>
          </w:p>
        </w:tc>
        <w:tc>
          <w:tcPr>
            <w:tcW w:w="25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480" w:type="dxa"/>
            <w:vAlign w:val="bottom"/>
          </w:tcPr>
          <w:p>
            <w:pPr>
              <w:jc w:val="right"/>
              <w:ind w:right="79"/>
              <w:spacing w:after="0"/>
              <w:rPr>
                <w:sz w:val="20"/>
                <w:szCs w:val="20"/>
                <w:color w:val="auto"/>
              </w:rPr>
            </w:pPr>
            <w:r>
              <w:rPr>
                <w:rFonts w:ascii="Arial" w:cs="Arial" w:eastAsia="Arial" w:hAnsi="Arial"/>
                <w:sz w:val="16"/>
                <w:szCs w:val="16"/>
                <w:color w:val="auto"/>
              </w:rPr>
              <w:t>1,388</w:t>
            </w:r>
          </w:p>
        </w:tc>
        <w:tc>
          <w:tcPr>
            <w:tcW w:w="280" w:type="dxa"/>
            <w:vAlign w:val="bottom"/>
          </w:tcPr>
          <w:p>
            <w:pPr>
              <w:spacing w:after="0"/>
              <w:rPr>
                <w:sz w:val="16"/>
                <w:szCs w:val="16"/>
                <w:color w:val="auto"/>
              </w:rPr>
            </w:pPr>
          </w:p>
        </w:tc>
        <w:tc>
          <w:tcPr>
            <w:tcW w:w="1500" w:type="dxa"/>
            <w:vAlign w:val="bottom"/>
          </w:tcPr>
          <w:p>
            <w:pPr>
              <w:jc w:val="right"/>
              <w:ind w:right="19"/>
              <w:spacing w:after="0"/>
              <w:rPr>
                <w:sz w:val="20"/>
                <w:szCs w:val="20"/>
                <w:color w:val="auto"/>
              </w:rPr>
            </w:pPr>
            <w:r>
              <w:rPr>
                <w:rFonts w:ascii="Arial" w:cs="Arial" w:eastAsia="Arial" w:hAnsi="Arial"/>
                <w:sz w:val="16"/>
                <w:szCs w:val="16"/>
                <w:color w:val="auto"/>
              </w:rPr>
              <w:t>1,388</w:t>
            </w:r>
          </w:p>
        </w:tc>
      </w:tr>
      <w:tr>
        <w:trPr>
          <w:trHeight w:val="189"/>
        </w:trPr>
        <w:tc>
          <w:tcPr>
            <w:tcW w:w="5220" w:type="dxa"/>
            <w:vAlign w:val="bottom"/>
            <w:shd w:val="clear" w:color="auto" w:fill="CFF0FC"/>
          </w:tcPr>
          <w:p>
            <w:pPr>
              <w:spacing w:after="0"/>
              <w:rPr>
                <w:sz w:val="20"/>
                <w:szCs w:val="20"/>
                <w:color w:val="auto"/>
              </w:rPr>
            </w:pPr>
            <w:r>
              <w:rPr>
                <w:rFonts w:ascii="Arial" w:cs="Arial" w:eastAsia="Arial" w:hAnsi="Arial"/>
                <w:sz w:val="16"/>
                <w:szCs w:val="16"/>
                <w:color w:val="auto"/>
              </w:rPr>
              <w:t>Furniture and fixtures</w:t>
            </w:r>
          </w:p>
        </w:tc>
        <w:tc>
          <w:tcPr>
            <w:tcW w:w="252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1480" w:type="dxa"/>
            <w:vAlign w:val="bottom"/>
            <w:shd w:val="clear" w:color="auto" w:fill="CFF0FC"/>
          </w:tcPr>
          <w:p>
            <w:pPr>
              <w:jc w:val="right"/>
              <w:ind w:right="79"/>
              <w:spacing w:after="0"/>
              <w:rPr>
                <w:sz w:val="20"/>
                <w:szCs w:val="20"/>
                <w:color w:val="auto"/>
              </w:rPr>
            </w:pPr>
            <w:r>
              <w:rPr>
                <w:rFonts w:ascii="Arial" w:cs="Arial" w:eastAsia="Arial" w:hAnsi="Arial"/>
                <w:sz w:val="16"/>
                <w:szCs w:val="16"/>
                <w:color w:val="auto"/>
              </w:rPr>
              <w:t>1,402</w:t>
            </w:r>
          </w:p>
        </w:tc>
        <w:tc>
          <w:tcPr>
            <w:tcW w:w="280" w:type="dxa"/>
            <w:vAlign w:val="bottom"/>
            <w:shd w:val="clear" w:color="auto" w:fill="CFF0FC"/>
          </w:tcPr>
          <w:p>
            <w:pPr>
              <w:spacing w:after="0"/>
              <w:rPr>
                <w:sz w:val="16"/>
                <w:szCs w:val="16"/>
                <w:color w:val="auto"/>
              </w:rPr>
            </w:pPr>
          </w:p>
        </w:tc>
        <w:tc>
          <w:tcPr>
            <w:tcW w:w="1500" w:type="dxa"/>
            <w:vAlign w:val="bottom"/>
            <w:shd w:val="clear" w:color="auto" w:fill="CFF0FC"/>
          </w:tcPr>
          <w:p>
            <w:pPr>
              <w:jc w:val="right"/>
              <w:ind w:right="19"/>
              <w:spacing w:after="0"/>
              <w:rPr>
                <w:sz w:val="20"/>
                <w:szCs w:val="20"/>
                <w:color w:val="auto"/>
              </w:rPr>
            </w:pPr>
            <w:r>
              <w:rPr>
                <w:rFonts w:ascii="Arial" w:cs="Arial" w:eastAsia="Arial" w:hAnsi="Arial"/>
                <w:sz w:val="16"/>
                <w:szCs w:val="16"/>
                <w:color w:val="auto"/>
              </w:rPr>
              <w:t>1,402</w:t>
            </w:r>
          </w:p>
        </w:tc>
      </w:tr>
      <w:tr>
        <w:trPr>
          <w:trHeight w:val="189"/>
        </w:trPr>
        <w:tc>
          <w:tcPr>
            <w:tcW w:w="5220" w:type="dxa"/>
            <w:vAlign w:val="bottom"/>
          </w:tcPr>
          <w:p>
            <w:pPr>
              <w:spacing w:after="0"/>
              <w:rPr>
                <w:sz w:val="20"/>
                <w:szCs w:val="20"/>
                <w:color w:val="auto"/>
              </w:rPr>
            </w:pPr>
            <w:r>
              <w:rPr>
                <w:rFonts w:ascii="Arial" w:cs="Arial" w:eastAsia="Arial" w:hAnsi="Arial"/>
                <w:sz w:val="16"/>
                <w:szCs w:val="16"/>
                <w:color w:val="auto"/>
              </w:rPr>
              <w:t>Leasehold improvements</w:t>
            </w:r>
          </w:p>
        </w:tc>
        <w:tc>
          <w:tcPr>
            <w:tcW w:w="25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480" w:type="dxa"/>
            <w:vAlign w:val="bottom"/>
          </w:tcPr>
          <w:p>
            <w:pPr>
              <w:jc w:val="right"/>
              <w:ind w:right="79"/>
              <w:spacing w:after="0"/>
              <w:rPr>
                <w:sz w:val="20"/>
                <w:szCs w:val="20"/>
                <w:color w:val="auto"/>
              </w:rPr>
            </w:pPr>
            <w:r>
              <w:rPr>
                <w:rFonts w:ascii="Arial" w:cs="Arial" w:eastAsia="Arial" w:hAnsi="Arial"/>
                <w:sz w:val="16"/>
                <w:szCs w:val="16"/>
                <w:color w:val="auto"/>
              </w:rPr>
              <w:t>23,794</w:t>
            </w:r>
          </w:p>
        </w:tc>
        <w:tc>
          <w:tcPr>
            <w:tcW w:w="280" w:type="dxa"/>
            <w:vAlign w:val="bottom"/>
          </w:tcPr>
          <w:p>
            <w:pPr>
              <w:spacing w:after="0"/>
              <w:rPr>
                <w:sz w:val="16"/>
                <w:szCs w:val="16"/>
                <w:color w:val="auto"/>
              </w:rPr>
            </w:pPr>
          </w:p>
        </w:tc>
        <w:tc>
          <w:tcPr>
            <w:tcW w:w="1500" w:type="dxa"/>
            <w:vAlign w:val="bottom"/>
          </w:tcPr>
          <w:p>
            <w:pPr>
              <w:jc w:val="right"/>
              <w:ind w:right="19"/>
              <w:spacing w:after="0"/>
              <w:rPr>
                <w:sz w:val="20"/>
                <w:szCs w:val="20"/>
                <w:color w:val="auto"/>
              </w:rPr>
            </w:pPr>
            <w:r>
              <w:rPr>
                <w:rFonts w:ascii="Arial" w:cs="Arial" w:eastAsia="Arial" w:hAnsi="Arial"/>
                <w:sz w:val="16"/>
                <w:szCs w:val="16"/>
                <w:color w:val="auto"/>
              </w:rPr>
              <w:t>23,669</w:t>
            </w:r>
          </w:p>
        </w:tc>
      </w:tr>
      <w:tr>
        <w:trPr>
          <w:trHeight w:val="189"/>
        </w:trPr>
        <w:tc>
          <w:tcPr>
            <w:tcW w:w="522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6"/>
                <w:szCs w:val="16"/>
                <w:color w:val="auto"/>
              </w:rPr>
              <w:t>Construction in process</w:t>
            </w:r>
          </w:p>
        </w:tc>
        <w:tc>
          <w:tcPr>
            <w:tcW w:w="2520" w:type="dxa"/>
            <w:vAlign w:val="bottom"/>
            <w:tcBorders>
              <w:bottom w:val="single" w:sz="8" w:color="CFF0FC"/>
            </w:tcBorders>
            <w:shd w:val="clear" w:color="auto" w:fill="CFF0FC"/>
          </w:tcPr>
          <w:p>
            <w:pPr>
              <w:spacing w:after="0"/>
              <w:rPr>
                <w:sz w:val="16"/>
                <w:szCs w:val="16"/>
                <w:color w:val="auto"/>
              </w:rPr>
            </w:pPr>
          </w:p>
        </w:tc>
        <w:tc>
          <w:tcPr>
            <w:tcW w:w="240" w:type="dxa"/>
            <w:vAlign w:val="bottom"/>
            <w:tcBorders>
              <w:bottom w:val="single" w:sz="8" w:color="auto"/>
            </w:tcBorders>
            <w:shd w:val="clear" w:color="auto" w:fill="CFF0FC"/>
          </w:tcPr>
          <w:p>
            <w:pPr>
              <w:spacing w:after="0"/>
              <w:rPr>
                <w:sz w:val="16"/>
                <w:szCs w:val="16"/>
                <w:color w:val="auto"/>
              </w:rPr>
            </w:pPr>
          </w:p>
        </w:tc>
        <w:tc>
          <w:tcPr>
            <w:tcW w:w="1480" w:type="dxa"/>
            <w:vAlign w:val="bottom"/>
            <w:tcBorders>
              <w:bottom w:val="single" w:sz="8" w:color="auto"/>
            </w:tcBorders>
            <w:shd w:val="clear" w:color="auto" w:fill="CFF0FC"/>
          </w:tcPr>
          <w:p>
            <w:pPr>
              <w:jc w:val="right"/>
              <w:ind w:right="79"/>
              <w:spacing w:after="0"/>
              <w:rPr>
                <w:sz w:val="20"/>
                <w:szCs w:val="20"/>
                <w:color w:val="auto"/>
              </w:rPr>
            </w:pPr>
            <w:r>
              <w:rPr>
                <w:rFonts w:ascii="Arial" w:cs="Arial" w:eastAsia="Arial" w:hAnsi="Arial"/>
                <w:sz w:val="16"/>
                <w:szCs w:val="16"/>
                <w:color w:val="auto"/>
              </w:rPr>
              <w:t>3,445</w:t>
            </w:r>
          </w:p>
        </w:tc>
        <w:tc>
          <w:tcPr>
            <w:tcW w:w="280" w:type="dxa"/>
            <w:vAlign w:val="bottom"/>
            <w:tcBorders>
              <w:bottom w:val="single" w:sz="8" w:color="auto"/>
            </w:tcBorders>
            <w:shd w:val="clear" w:color="auto" w:fill="CFF0FC"/>
          </w:tcPr>
          <w:p>
            <w:pPr>
              <w:spacing w:after="0"/>
              <w:rPr>
                <w:sz w:val="16"/>
                <w:szCs w:val="16"/>
                <w:color w:val="auto"/>
              </w:rPr>
            </w:pPr>
          </w:p>
        </w:tc>
        <w:tc>
          <w:tcPr>
            <w:tcW w:w="1500" w:type="dxa"/>
            <w:vAlign w:val="bottom"/>
            <w:tcBorders>
              <w:bottom w:val="single" w:sz="8" w:color="auto"/>
            </w:tcBorders>
            <w:shd w:val="clear" w:color="auto" w:fill="CFF0FC"/>
          </w:tcPr>
          <w:p>
            <w:pPr>
              <w:jc w:val="right"/>
              <w:ind w:right="19"/>
              <w:spacing w:after="0"/>
              <w:rPr>
                <w:sz w:val="20"/>
                <w:szCs w:val="20"/>
                <w:color w:val="auto"/>
              </w:rPr>
            </w:pPr>
            <w:r>
              <w:rPr>
                <w:rFonts w:ascii="Arial" w:cs="Arial" w:eastAsia="Arial" w:hAnsi="Arial"/>
                <w:sz w:val="16"/>
                <w:szCs w:val="16"/>
                <w:color w:val="auto"/>
              </w:rPr>
              <w:t>118</w:t>
            </w:r>
          </w:p>
        </w:tc>
      </w:tr>
      <w:tr>
        <w:trPr>
          <w:trHeight w:val="183"/>
        </w:trPr>
        <w:tc>
          <w:tcPr>
            <w:tcW w:w="5220" w:type="dxa"/>
            <w:vAlign w:val="bottom"/>
          </w:tcPr>
          <w:p>
            <w:pPr>
              <w:spacing w:after="0" w:line="183" w:lineRule="exact"/>
              <w:rPr>
                <w:sz w:val="20"/>
                <w:szCs w:val="20"/>
                <w:color w:val="auto"/>
              </w:rPr>
            </w:pPr>
            <w:r>
              <w:rPr>
                <w:rFonts w:ascii="Arial" w:cs="Arial" w:eastAsia="Arial" w:hAnsi="Arial"/>
                <w:sz w:val="16"/>
                <w:szCs w:val="16"/>
                <w:color w:val="auto"/>
              </w:rPr>
              <w:t>Total property and equipment, at cost</w:t>
            </w:r>
          </w:p>
        </w:tc>
        <w:tc>
          <w:tcPr>
            <w:tcW w:w="2760" w:type="dxa"/>
            <w:vAlign w:val="bottom"/>
            <w:gridSpan w:val="2"/>
          </w:tcPr>
          <w:p>
            <w:pPr>
              <w:jc w:val="right"/>
              <w:ind w:right="140"/>
              <w:spacing w:after="0" w:line="183" w:lineRule="exact"/>
              <w:rPr>
                <w:sz w:val="20"/>
                <w:szCs w:val="20"/>
                <w:color w:val="auto"/>
              </w:rPr>
            </w:pPr>
            <w:r>
              <w:rPr>
                <w:rFonts w:ascii="Arial" w:cs="Arial" w:eastAsia="Arial" w:hAnsi="Arial"/>
                <w:sz w:val="16"/>
                <w:szCs w:val="16"/>
                <w:color w:val="auto"/>
              </w:rPr>
              <w:t>$</w:t>
            </w:r>
          </w:p>
        </w:tc>
        <w:tc>
          <w:tcPr>
            <w:tcW w:w="1480" w:type="dxa"/>
            <w:vAlign w:val="bottom"/>
          </w:tcPr>
          <w:p>
            <w:pPr>
              <w:jc w:val="right"/>
              <w:ind w:right="79"/>
              <w:spacing w:after="0" w:line="183" w:lineRule="exact"/>
              <w:rPr>
                <w:sz w:val="20"/>
                <w:szCs w:val="20"/>
                <w:color w:val="auto"/>
              </w:rPr>
            </w:pPr>
            <w:r>
              <w:rPr>
                <w:rFonts w:ascii="Arial" w:cs="Arial" w:eastAsia="Arial" w:hAnsi="Arial"/>
                <w:sz w:val="16"/>
                <w:szCs w:val="16"/>
                <w:color w:val="auto"/>
              </w:rPr>
              <w:t>58,053</w:t>
            </w:r>
          </w:p>
        </w:tc>
        <w:tc>
          <w:tcPr>
            <w:tcW w:w="280" w:type="dxa"/>
            <w:vAlign w:val="bottom"/>
          </w:tcPr>
          <w:p>
            <w:pPr>
              <w:jc w:val="right"/>
              <w:spacing w:after="0" w:line="183" w:lineRule="exact"/>
              <w:rPr>
                <w:sz w:val="20"/>
                <w:szCs w:val="20"/>
                <w:color w:val="auto"/>
              </w:rPr>
            </w:pPr>
            <w:r>
              <w:rPr>
                <w:rFonts w:ascii="Arial" w:cs="Arial" w:eastAsia="Arial" w:hAnsi="Arial"/>
                <w:sz w:val="16"/>
                <w:szCs w:val="16"/>
                <w:color w:val="auto"/>
              </w:rPr>
              <w:t>$</w:t>
            </w:r>
          </w:p>
        </w:tc>
        <w:tc>
          <w:tcPr>
            <w:tcW w:w="1500" w:type="dxa"/>
            <w:vAlign w:val="bottom"/>
          </w:tcPr>
          <w:p>
            <w:pPr>
              <w:jc w:val="right"/>
              <w:ind w:right="19"/>
              <w:spacing w:after="0" w:line="183" w:lineRule="exact"/>
              <w:rPr>
                <w:sz w:val="20"/>
                <w:szCs w:val="20"/>
                <w:color w:val="auto"/>
              </w:rPr>
            </w:pPr>
            <w:r>
              <w:rPr>
                <w:rFonts w:ascii="Arial" w:cs="Arial" w:eastAsia="Arial" w:hAnsi="Arial"/>
                <w:sz w:val="16"/>
                <w:szCs w:val="16"/>
                <w:color w:val="auto"/>
              </w:rPr>
              <w:t>53,599</w:t>
            </w:r>
          </w:p>
        </w:tc>
      </w:tr>
      <w:tr>
        <w:trPr>
          <w:trHeight w:val="189"/>
        </w:trPr>
        <w:tc>
          <w:tcPr>
            <w:tcW w:w="522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6"/>
                <w:szCs w:val="16"/>
                <w:color w:val="auto"/>
              </w:rPr>
              <w:t>Less: accumulated depreciation</w:t>
            </w:r>
          </w:p>
        </w:tc>
        <w:tc>
          <w:tcPr>
            <w:tcW w:w="2520" w:type="dxa"/>
            <w:vAlign w:val="bottom"/>
            <w:tcBorders>
              <w:bottom w:val="single" w:sz="8" w:color="CFF0FC"/>
            </w:tcBorders>
            <w:shd w:val="clear" w:color="auto" w:fill="CFF0FC"/>
          </w:tcPr>
          <w:p>
            <w:pPr>
              <w:spacing w:after="0"/>
              <w:rPr>
                <w:sz w:val="16"/>
                <w:szCs w:val="16"/>
                <w:color w:val="auto"/>
              </w:rPr>
            </w:pPr>
          </w:p>
        </w:tc>
        <w:tc>
          <w:tcPr>
            <w:tcW w:w="240" w:type="dxa"/>
            <w:vAlign w:val="bottom"/>
            <w:tcBorders>
              <w:bottom w:val="single" w:sz="8" w:color="auto"/>
            </w:tcBorders>
            <w:shd w:val="clear" w:color="auto" w:fill="CFF0FC"/>
          </w:tcPr>
          <w:p>
            <w:pPr>
              <w:spacing w:after="0"/>
              <w:rPr>
                <w:sz w:val="16"/>
                <w:szCs w:val="16"/>
                <w:color w:val="auto"/>
              </w:rPr>
            </w:pPr>
          </w:p>
        </w:tc>
        <w:tc>
          <w:tcPr>
            <w:tcW w:w="1480" w:type="dxa"/>
            <w:vAlign w:val="bottom"/>
            <w:tcBorders>
              <w:bottom w:val="single" w:sz="8" w:color="auto"/>
            </w:tcBorders>
            <w:shd w:val="clear" w:color="auto" w:fill="CFF0FC"/>
          </w:tcPr>
          <w:p>
            <w:pPr>
              <w:jc w:val="right"/>
              <w:ind w:right="19"/>
              <w:spacing w:after="0"/>
              <w:rPr>
                <w:sz w:val="20"/>
                <w:szCs w:val="20"/>
                <w:color w:val="auto"/>
              </w:rPr>
            </w:pPr>
            <w:r>
              <w:rPr>
                <w:rFonts w:ascii="Arial" w:cs="Arial" w:eastAsia="Arial" w:hAnsi="Arial"/>
                <w:sz w:val="16"/>
                <w:szCs w:val="16"/>
                <w:color w:val="auto"/>
              </w:rPr>
              <w:t>(29,644)</w:t>
            </w:r>
          </w:p>
        </w:tc>
        <w:tc>
          <w:tcPr>
            <w:tcW w:w="280" w:type="dxa"/>
            <w:vAlign w:val="bottom"/>
            <w:tcBorders>
              <w:bottom w:val="single" w:sz="8" w:color="auto"/>
            </w:tcBorders>
            <w:shd w:val="clear" w:color="auto" w:fill="CFF0FC"/>
          </w:tcPr>
          <w:p>
            <w:pPr>
              <w:spacing w:after="0"/>
              <w:rPr>
                <w:sz w:val="16"/>
                <w:szCs w:val="16"/>
                <w:color w:val="auto"/>
              </w:rPr>
            </w:pPr>
          </w:p>
        </w:tc>
        <w:tc>
          <w:tcPr>
            <w:tcW w:w="15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(27,613)</w:t>
            </w:r>
          </w:p>
        </w:tc>
      </w:tr>
      <w:tr>
        <w:trPr>
          <w:trHeight w:val="182"/>
        </w:trPr>
        <w:tc>
          <w:tcPr>
            <w:tcW w:w="5220" w:type="dxa"/>
            <w:vAlign w:val="bottom"/>
            <w:tcBorders>
              <w:bottom w:val="single" w:sz="8" w:color="auto"/>
            </w:tcBorders>
          </w:tcPr>
          <w:p>
            <w:pPr>
              <w:spacing w:after="0" w:line="183" w:lineRule="exact"/>
              <w:rPr>
                <w:sz w:val="20"/>
                <w:szCs w:val="20"/>
                <w:color w:val="auto"/>
              </w:rPr>
            </w:pPr>
            <w:r>
              <w:rPr>
                <w:rFonts w:ascii="Arial" w:cs="Arial" w:eastAsia="Arial" w:hAnsi="Arial"/>
                <w:sz w:val="16"/>
                <w:szCs w:val="16"/>
                <w:color w:val="auto"/>
              </w:rPr>
              <w:t>Property and equipment, net</w:t>
            </w:r>
          </w:p>
        </w:tc>
        <w:tc>
          <w:tcPr>
            <w:tcW w:w="2760" w:type="dxa"/>
            <w:vAlign w:val="bottom"/>
            <w:tcBorders>
              <w:bottom w:val="single" w:sz="8" w:color="auto"/>
            </w:tcBorders>
            <w:gridSpan w:val="2"/>
          </w:tcPr>
          <w:p>
            <w:pPr>
              <w:jc w:val="right"/>
              <w:ind w:right="140"/>
              <w:spacing w:after="0" w:line="183" w:lineRule="exact"/>
              <w:rPr>
                <w:sz w:val="20"/>
                <w:szCs w:val="20"/>
                <w:color w:val="auto"/>
              </w:rPr>
            </w:pPr>
            <w:r>
              <w:rPr>
                <w:rFonts w:ascii="Arial" w:cs="Arial" w:eastAsia="Arial" w:hAnsi="Arial"/>
                <w:sz w:val="16"/>
                <w:szCs w:val="16"/>
                <w:color w:val="auto"/>
              </w:rPr>
              <w:t>$</w:t>
            </w:r>
          </w:p>
        </w:tc>
        <w:tc>
          <w:tcPr>
            <w:tcW w:w="1480" w:type="dxa"/>
            <w:vAlign w:val="bottom"/>
            <w:tcBorders>
              <w:bottom w:val="single" w:sz="8" w:color="auto"/>
            </w:tcBorders>
          </w:tcPr>
          <w:p>
            <w:pPr>
              <w:jc w:val="right"/>
              <w:ind w:right="79"/>
              <w:spacing w:after="0" w:line="183" w:lineRule="exact"/>
              <w:rPr>
                <w:sz w:val="20"/>
                <w:szCs w:val="20"/>
                <w:color w:val="auto"/>
              </w:rPr>
            </w:pPr>
            <w:r>
              <w:rPr>
                <w:rFonts w:ascii="Arial" w:cs="Arial" w:eastAsia="Arial" w:hAnsi="Arial"/>
                <w:sz w:val="16"/>
                <w:szCs w:val="16"/>
                <w:color w:val="auto"/>
              </w:rPr>
              <w:t>28,409</w:t>
            </w:r>
          </w:p>
        </w:tc>
        <w:tc>
          <w:tcPr>
            <w:tcW w:w="28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w:t>
            </w:r>
          </w:p>
        </w:tc>
        <w:tc>
          <w:tcPr>
            <w:tcW w:w="1500" w:type="dxa"/>
            <w:vAlign w:val="bottom"/>
            <w:tcBorders>
              <w:bottom w:val="single" w:sz="8" w:color="auto"/>
            </w:tcBorders>
          </w:tcPr>
          <w:p>
            <w:pPr>
              <w:jc w:val="right"/>
              <w:ind w:right="19"/>
              <w:spacing w:after="0" w:line="183" w:lineRule="exact"/>
              <w:rPr>
                <w:sz w:val="20"/>
                <w:szCs w:val="20"/>
                <w:color w:val="auto"/>
              </w:rPr>
            </w:pPr>
            <w:r>
              <w:rPr>
                <w:rFonts w:ascii="Arial" w:cs="Arial" w:eastAsia="Arial" w:hAnsi="Arial"/>
                <w:sz w:val="16"/>
                <w:szCs w:val="16"/>
                <w:color w:val="auto"/>
              </w:rPr>
              <w:t>25,986</w:t>
            </w:r>
          </w:p>
        </w:tc>
      </w:tr>
    </w:tbl>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Depreciation expense for each of the three months ended March 31, 2026 and 2025 was $2.0 million.</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6. Accrued expenses and other current liabilities</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color w:val="auto"/>
        </w:rPr>
        <w:t>Accrued expenses and other current liabilities consist of the following (in thousands):</w:t>
      </w:r>
    </w:p>
    <w:p>
      <w:pPr>
        <w:spacing w:after="0" w:line="102"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4620" w:type="dxa"/>
            <w:vAlign w:val="bottom"/>
            <w:tcBorders>
              <w:top w:val="single" w:sz="8" w:color="auto"/>
            </w:tcBorders>
          </w:tcPr>
          <w:p>
            <w:pPr>
              <w:spacing w:after="0"/>
              <w:rPr>
                <w:sz w:val="16"/>
                <w:szCs w:val="16"/>
                <w:color w:val="auto"/>
              </w:rPr>
            </w:pPr>
          </w:p>
        </w:tc>
        <w:tc>
          <w:tcPr>
            <w:tcW w:w="3120" w:type="dxa"/>
            <w:vAlign w:val="bottom"/>
            <w:tcBorders>
              <w:top w:val="single" w:sz="8" w:color="auto"/>
            </w:tcBorders>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1420" w:type="dxa"/>
            <w:vAlign w:val="bottom"/>
            <w:tcBorders>
              <w:top w:val="single" w:sz="8" w:color="auto"/>
            </w:tcBorders>
          </w:tcPr>
          <w:p>
            <w:pPr>
              <w:jc w:val="right"/>
              <w:ind w:right="439"/>
              <w:spacing w:after="0"/>
              <w:rPr>
                <w:sz w:val="20"/>
                <w:szCs w:val="20"/>
                <w:color w:val="auto"/>
              </w:rPr>
            </w:pPr>
            <w:r>
              <w:rPr>
                <w:rFonts w:ascii="Arial" w:cs="Arial" w:eastAsia="Arial" w:hAnsi="Arial"/>
                <w:sz w:val="16"/>
                <w:szCs w:val="16"/>
                <w:b w:val="1"/>
                <w:bCs w:val="1"/>
                <w:color w:val="auto"/>
              </w:rPr>
              <w:t>March 31,</w:t>
            </w:r>
          </w:p>
        </w:tc>
        <w:tc>
          <w:tcPr>
            <w:tcW w:w="180" w:type="dxa"/>
            <w:vAlign w:val="bottom"/>
            <w:tcBorders>
              <w:top w:val="single" w:sz="8" w:color="auto"/>
            </w:tcBorders>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1500" w:type="dxa"/>
            <w:vAlign w:val="bottom"/>
            <w:tcBorders>
              <w:top w:val="single" w:sz="8" w:color="auto"/>
            </w:tcBorders>
          </w:tcPr>
          <w:p>
            <w:pPr>
              <w:jc w:val="right"/>
              <w:ind w:right="279"/>
              <w:spacing w:after="0"/>
              <w:rPr>
                <w:sz w:val="20"/>
                <w:szCs w:val="20"/>
                <w:color w:val="auto"/>
              </w:rPr>
            </w:pPr>
            <w:r>
              <w:rPr>
                <w:rFonts w:ascii="Arial" w:cs="Arial" w:eastAsia="Arial" w:hAnsi="Arial"/>
                <w:sz w:val="16"/>
                <w:szCs w:val="16"/>
                <w:b w:val="1"/>
                <w:bCs w:val="1"/>
                <w:color w:val="auto"/>
              </w:rPr>
              <w:t>December 31,</w:t>
            </w:r>
          </w:p>
        </w:tc>
      </w:tr>
      <w:tr>
        <w:trPr>
          <w:trHeight w:val="203"/>
        </w:trPr>
        <w:tc>
          <w:tcPr>
            <w:tcW w:w="4620" w:type="dxa"/>
            <w:vAlign w:val="bottom"/>
            <w:tcBorders>
              <w:bottom w:val="single" w:sz="8" w:color="auto"/>
            </w:tcBorders>
          </w:tcPr>
          <w:p>
            <w:pPr>
              <w:spacing w:after="0"/>
              <w:rPr>
                <w:sz w:val="17"/>
                <w:szCs w:val="17"/>
                <w:color w:val="auto"/>
              </w:rPr>
            </w:pPr>
          </w:p>
        </w:tc>
        <w:tc>
          <w:tcPr>
            <w:tcW w:w="3120" w:type="dxa"/>
            <w:vAlign w:val="bottom"/>
            <w:tcBorders>
              <w:bottom w:val="single" w:sz="8" w:color="auto"/>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420" w:type="dxa"/>
            <w:vAlign w:val="bottom"/>
            <w:tcBorders>
              <w:bottom w:val="single" w:sz="8" w:color="auto"/>
            </w:tcBorders>
          </w:tcPr>
          <w:p>
            <w:pPr>
              <w:jc w:val="right"/>
              <w:ind w:right="619"/>
              <w:spacing w:after="0"/>
              <w:rPr>
                <w:sz w:val="20"/>
                <w:szCs w:val="20"/>
                <w:color w:val="auto"/>
              </w:rPr>
            </w:pPr>
            <w:r>
              <w:rPr>
                <w:rFonts w:ascii="Arial" w:cs="Arial" w:eastAsia="Arial" w:hAnsi="Arial"/>
                <w:sz w:val="16"/>
                <w:szCs w:val="16"/>
                <w:b w:val="1"/>
                <w:bCs w:val="1"/>
                <w:color w:val="auto"/>
              </w:rPr>
              <w:t>2026</w:t>
            </w:r>
          </w:p>
        </w:tc>
        <w:tc>
          <w:tcPr>
            <w:tcW w:w="18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500" w:type="dxa"/>
            <w:vAlign w:val="bottom"/>
            <w:tcBorders>
              <w:bottom w:val="single" w:sz="8" w:color="auto"/>
            </w:tcBorders>
          </w:tcPr>
          <w:p>
            <w:pPr>
              <w:jc w:val="right"/>
              <w:ind w:right="639"/>
              <w:spacing w:after="0"/>
              <w:rPr>
                <w:sz w:val="20"/>
                <w:szCs w:val="20"/>
                <w:color w:val="auto"/>
              </w:rPr>
            </w:pPr>
            <w:r>
              <w:rPr>
                <w:rFonts w:ascii="Arial" w:cs="Arial" w:eastAsia="Arial" w:hAnsi="Arial"/>
                <w:sz w:val="16"/>
                <w:szCs w:val="16"/>
                <w:b w:val="1"/>
                <w:bCs w:val="1"/>
                <w:color w:val="auto"/>
              </w:rPr>
              <w:t>2025</w:t>
            </w:r>
          </w:p>
        </w:tc>
      </w:tr>
      <w:tr>
        <w:trPr>
          <w:trHeight w:val="183"/>
        </w:trPr>
        <w:tc>
          <w:tcPr>
            <w:tcW w:w="4620" w:type="dxa"/>
            <w:vAlign w:val="bottom"/>
            <w:shd w:val="clear" w:color="auto" w:fill="CFF0FC"/>
          </w:tcPr>
          <w:p>
            <w:pPr>
              <w:spacing w:after="0" w:line="183" w:lineRule="exact"/>
              <w:rPr>
                <w:sz w:val="20"/>
                <w:szCs w:val="20"/>
                <w:color w:val="auto"/>
              </w:rPr>
            </w:pPr>
            <w:r>
              <w:rPr>
                <w:rFonts w:ascii="Arial" w:cs="Arial" w:eastAsia="Arial" w:hAnsi="Arial"/>
                <w:sz w:val="16"/>
                <w:szCs w:val="16"/>
                <w:color w:val="auto"/>
              </w:rPr>
              <w:t>Accrued compensation and benefits</w:t>
            </w:r>
          </w:p>
        </w:tc>
        <w:tc>
          <w:tcPr>
            <w:tcW w:w="3360" w:type="dxa"/>
            <w:vAlign w:val="bottom"/>
            <w:gridSpan w:val="2"/>
            <w:shd w:val="clear" w:color="auto" w:fill="CFF0FC"/>
          </w:tcPr>
          <w:p>
            <w:pPr>
              <w:jc w:val="right"/>
              <w:ind w:right="140"/>
              <w:spacing w:after="0" w:line="183" w:lineRule="exact"/>
              <w:rPr>
                <w:sz w:val="20"/>
                <w:szCs w:val="20"/>
                <w:color w:val="auto"/>
              </w:rPr>
            </w:pPr>
            <w:r>
              <w:rPr>
                <w:rFonts w:ascii="Arial" w:cs="Arial" w:eastAsia="Arial" w:hAnsi="Arial"/>
                <w:sz w:val="16"/>
                <w:szCs w:val="16"/>
                <w:color w:val="auto"/>
              </w:rPr>
              <w:t>$</w:t>
            </w:r>
          </w:p>
        </w:tc>
        <w:tc>
          <w:tcPr>
            <w:tcW w:w="1420" w:type="dxa"/>
            <w:vAlign w:val="bottom"/>
            <w:shd w:val="clear" w:color="auto" w:fill="CFF0FC"/>
          </w:tcPr>
          <w:p>
            <w:pPr>
              <w:jc w:val="right"/>
              <w:ind w:right="39"/>
              <w:spacing w:after="0" w:line="183" w:lineRule="exact"/>
              <w:rPr>
                <w:sz w:val="20"/>
                <w:szCs w:val="20"/>
                <w:color w:val="auto"/>
              </w:rPr>
            </w:pPr>
            <w:r>
              <w:rPr>
                <w:rFonts w:ascii="Arial" w:cs="Arial" w:eastAsia="Arial" w:hAnsi="Arial"/>
                <w:sz w:val="16"/>
                <w:szCs w:val="16"/>
                <w:color w:val="auto"/>
              </w:rPr>
              <w:t>5,047</w:t>
            </w:r>
          </w:p>
        </w:tc>
        <w:tc>
          <w:tcPr>
            <w:tcW w:w="340" w:type="dxa"/>
            <w:vAlign w:val="bottom"/>
            <w:gridSpan w:val="2"/>
            <w:shd w:val="clear" w:color="auto" w:fill="CFF0FC"/>
          </w:tcPr>
          <w:p>
            <w:pPr>
              <w:jc w:val="right"/>
              <w:ind w:right="80"/>
              <w:spacing w:after="0" w:line="183" w:lineRule="exact"/>
              <w:rPr>
                <w:sz w:val="20"/>
                <w:szCs w:val="20"/>
                <w:color w:val="auto"/>
              </w:rPr>
            </w:pPr>
            <w:r>
              <w:rPr>
                <w:rFonts w:ascii="Arial" w:cs="Arial" w:eastAsia="Arial" w:hAnsi="Arial"/>
                <w:sz w:val="16"/>
                <w:szCs w:val="16"/>
                <w:color w:val="auto"/>
              </w:rPr>
              <w:t>$</w:t>
            </w:r>
          </w:p>
        </w:tc>
        <w:tc>
          <w:tcPr>
            <w:tcW w:w="1500" w:type="dxa"/>
            <w:vAlign w:val="bottom"/>
            <w:shd w:val="clear" w:color="auto" w:fill="CFF0FC"/>
          </w:tcPr>
          <w:p>
            <w:pPr>
              <w:jc w:val="right"/>
              <w:ind w:right="39"/>
              <w:spacing w:after="0" w:line="183" w:lineRule="exact"/>
              <w:rPr>
                <w:sz w:val="20"/>
                <w:szCs w:val="20"/>
                <w:color w:val="auto"/>
              </w:rPr>
            </w:pPr>
            <w:r>
              <w:rPr>
                <w:rFonts w:ascii="Arial" w:cs="Arial" w:eastAsia="Arial" w:hAnsi="Arial"/>
                <w:sz w:val="16"/>
                <w:szCs w:val="16"/>
                <w:color w:val="auto"/>
              </w:rPr>
              <w:t>9,998</w:t>
            </w:r>
          </w:p>
        </w:tc>
      </w:tr>
      <w:tr>
        <w:trPr>
          <w:trHeight w:val="189"/>
        </w:trPr>
        <w:tc>
          <w:tcPr>
            <w:tcW w:w="4620" w:type="dxa"/>
            <w:vAlign w:val="bottom"/>
          </w:tcPr>
          <w:p>
            <w:pPr>
              <w:spacing w:after="0"/>
              <w:rPr>
                <w:sz w:val="20"/>
                <w:szCs w:val="20"/>
                <w:color w:val="auto"/>
              </w:rPr>
            </w:pPr>
            <w:r>
              <w:rPr>
                <w:rFonts w:ascii="Arial" w:cs="Arial" w:eastAsia="Arial" w:hAnsi="Arial"/>
                <w:sz w:val="16"/>
                <w:szCs w:val="16"/>
                <w:color w:val="auto"/>
              </w:rPr>
              <w:t>Accrued research and development</w:t>
            </w:r>
          </w:p>
        </w:tc>
        <w:tc>
          <w:tcPr>
            <w:tcW w:w="3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420" w:type="dxa"/>
            <w:vAlign w:val="bottom"/>
          </w:tcPr>
          <w:p>
            <w:pPr>
              <w:jc w:val="right"/>
              <w:ind w:right="39"/>
              <w:spacing w:after="0"/>
              <w:rPr>
                <w:sz w:val="20"/>
                <w:szCs w:val="20"/>
                <w:color w:val="auto"/>
              </w:rPr>
            </w:pPr>
            <w:r>
              <w:rPr>
                <w:rFonts w:ascii="Arial" w:cs="Arial" w:eastAsia="Arial" w:hAnsi="Arial"/>
                <w:sz w:val="16"/>
                <w:szCs w:val="16"/>
                <w:color w:val="auto"/>
              </w:rPr>
              <w:t>16,641</w:t>
            </w:r>
          </w:p>
        </w:tc>
        <w:tc>
          <w:tcPr>
            <w:tcW w:w="1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500" w:type="dxa"/>
            <w:vAlign w:val="bottom"/>
          </w:tcPr>
          <w:p>
            <w:pPr>
              <w:jc w:val="right"/>
              <w:ind w:right="39"/>
              <w:spacing w:after="0"/>
              <w:rPr>
                <w:sz w:val="20"/>
                <w:szCs w:val="20"/>
                <w:color w:val="auto"/>
              </w:rPr>
            </w:pPr>
            <w:r>
              <w:rPr>
                <w:rFonts w:ascii="Arial" w:cs="Arial" w:eastAsia="Arial" w:hAnsi="Arial"/>
                <w:sz w:val="16"/>
                <w:szCs w:val="16"/>
                <w:color w:val="auto"/>
              </w:rPr>
              <w:t>15,118</w:t>
            </w:r>
          </w:p>
        </w:tc>
      </w:tr>
      <w:tr>
        <w:trPr>
          <w:trHeight w:val="189"/>
        </w:trPr>
        <w:tc>
          <w:tcPr>
            <w:tcW w:w="4620" w:type="dxa"/>
            <w:vAlign w:val="bottom"/>
            <w:shd w:val="clear" w:color="auto" w:fill="CFF0FC"/>
          </w:tcPr>
          <w:p>
            <w:pPr>
              <w:spacing w:after="0"/>
              <w:rPr>
                <w:sz w:val="20"/>
                <w:szCs w:val="20"/>
                <w:color w:val="auto"/>
              </w:rPr>
            </w:pPr>
            <w:r>
              <w:rPr>
                <w:rFonts w:ascii="Arial" w:cs="Arial" w:eastAsia="Arial" w:hAnsi="Arial"/>
                <w:sz w:val="16"/>
                <w:szCs w:val="16"/>
                <w:color w:val="auto"/>
              </w:rPr>
              <w:t>Accrued fixed asset purchase</w:t>
            </w:r>
          </w:p>
        </w:tc>
        <w:tc>
          <w:tcPr>
            <w:tcW w:w="312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142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2,670</w:t>
            </w:r>
          </w:p>
        </w:tc>
        <w:tc>
          <w:tcPr>
            <w:tcW w:w="18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150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57</w:t>
            </w:r>
          </w:p>
        </w:tc>
      </w:tr>
      <w:tr>
        <w:trPr>
          <w:trHeight w:val="189"/>
        </w:trPr>
        <w:tc>
          <w:tcPr>
            <w:tcW w:w="4620" w:type="dxa"/>
            <w:vAlign w:val="bottom"/>
          </w:tcPr>
          <w:p>
            <w:pPr>
              <w:spacing w:after="0"/>
              <w:rPr>
                <w:sz w:val="20"/>
                <w:szCs w:val="20"/>
                <w:color w:val="auto"/>
              </w:rPr>
            </w:pPr>
            <w:r>
              <w:rPr>
                <w:rFonts w:ascii="Arial" w:cs="Arial" w:eastAsia="Arial" w:hAnsi="Arial"/>
                <w:sz w:val="16"/>
                <w:szCs w:val="16"/>
                <w:color w:val="auto"/>
              </w:rPr>
              <w:t>Other</w:t>
            </w:r>
          </w:p>
        </w:tc>
        <w:tc>
          <w:tcPr>
            <w:tcW w:w="312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1,236</w:t>
            </w:r>
          </w:p>
        </w:tc>
        <w:tc>
          <w:tcPr>
            <w:tcW w:w="18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1,521</w:t>
            </w:r>
          </w:p>
        </w:tc>
      </w:tr>
      <w:tr>
        <w:trPr>
          <w:trHeight w:val="182"/>
        </w:trPr>
        <w:tc>
          <w:tcPr>
            <w:tcW w:w="4620" w:type="dxa"/>
            <w:vAlign w:val="bottom"/>
            <w:tcBorders>
              <w:bottom w:val="single" w:sz="8" w:color="auto"/>
            </w:tcBorders>
            <w:shd w:val="clear" w:color="auto" w:fill="CFF0FC"/>
          </w:tcPr>
          <w:p>
            <w:pPr>
              <w:spacing w:after="0" w:line="183" w:lineRule="exact"/>
              <w:rPr>
                <w:sz w:val="20"/>
                <w:szCs w:val="20"/>
                <w:color w:val="auto"/>
              </w:rPr>
            </w:pPr>
            <w:r>
              <w:rPr>
                <w:rFonts w:ascii="Arial" w:cs="Arial" w:eastAsia="Arial" w:hAnsi="Arial"/>
                <w:sz w:val="16"/>
                <w:szCs w:val="16"/>
                <w:color w:val="auto"/>
              </w:rPr>
              <w:t>Total accrued expenses and other current liabilities</w:t>
            </w:r>
          </w:p>
        </w:tc>
        <w:tc>
          <w:tcPr>
            <w:tcW w:w="3360" w:type="dxa"/>
            <w:vAlign w:val="bottom"/>
            <w:tcBorders>
              <w:bottom w:val="single" w:sz="8" w:color="auto"/>
            </w:tcBorders>
            <w:gridSpan w:val="2"/>
            <w:shd w:val="clear" w:color="auto" w:fill="CFF0FC"/>
          </w:tcPr>
          <w:p>
            <w:pPr>
              <w:jc w:val="right"/>
              <w:ind w:right="140"/>
              <w:spacing w:after="0" w:line="183" w:lineRule="exact"/>
              <w:rPr>
                <w:sz w:val="20"/>
                <w:szCs w:val="20"/>
                <w:color w:val="auto"/>
              </w:rPr>
            </w:pPr>
            <w:r>
              <w:rPr>
                <w:rFonts w:ascii="Arial" w:cs="Arial" w:eastAsia="Arial" w:hAnsi="Arial"/>
                <w:sz w:val="16"/>
                <w:szCs w:val="16"/>
                <w:color w:val="auto"/>
              </w:rPr>
              <w:t>$</w:t>
            </w:r>
          </w:p>
        </w:tc>
        <w:tc>
          <w:tcPr>
            <w:tcW w:w="1420" w:type="dxa"/>
            <w:vAlign w:val="bottom"/>
            <w:tcBorders>
              <w:bottom w:val="single" w:sz="8" w:color="auto"/>
            </w:tcBorders>
            <w:shd w:val="clear" w:color="auto" w:fill="CFF0FC"/>
          </w:tcPr>
          <w:p>
            <w:pPr>
              <w:jc w:val="right"/>
              <w:ind w:right="39"/>
              <w:spacing w:after="0" w:line="183" w:lineRule="exact"/>
              <w:rPr>
                <w:sz w:val="20"/>
                <w:szCs w:val="20"/>
                <w:color w:val="auto"/>
              </w:rPr>
            </w:pPr>
            <w:r>
              <w:rPr>
                <w:rFonts w:ascii="Arial" w:cs="Arial" w:eastAsia="Arial" w:hAnsi="Arial"/>
                <w:sz w:val="16"/>
                <w:szCs w:val="16"/>
                <w:color w:val="auto"/>
              </w:rPr>
              <w:t>25,594</w:t>
            </w:r>
          </w:p>
        </w:tc>
        <w:tc>
          <w:tcPr>
            <w:tcW w:w="340" w:type="dxa"/>
            <w:vAlign w:val="bottom"/>
            <w:tcBorders>
              <w:bottom w:val="single" w:sz="8" w:color="auto"/>
            </w:tcBorders>
            <w:gridSpan w:val="2"/>
            <w:shd w:val="clear" w:color="auto" w:fill="CFF0FC"/>
          </w:tcPr>
          <w:p>
            <w:pPr>
              <w:jc w:val="right"/>
              <w:ind w:right="80"/>
              <w:spacing w:after="0" w:line="183" w:lineRule="exact"/>
              <w:rPr>
                <w:sz w:val="20"/>
                <w:szCs w:val="20"/>
                <w:color w:val="auto"/>
              </w:rPr>
            </w:pPr>
            <w:r>
              <w:rPr>
                <w:rFonts w:ascii="Arial" w:cs="Arial" w:eastAsia="Arial" w:hAnsi="Arial"/>
                <w:sz w:val="16"/>
                <w:szCs w:val="16"/>
                <w:color w:val="auto"/>
              </w:rPr>
              <w:t>$</w:t>
            </w:r>
          </w:p>
        </w:tc>
        <w:tc>
          <w:tcPr>
            <w:tcW w:w="1500" w:type="dxa"/>
            <w:vAlign w:val="bottom"/>
            <w:tcBorders>
              <w:bottom w:val="single" w:sz="8" w:color="auto"/>
            </w:tcBorders>
            <w:shd w:val="clear" w:color="auto" w:fill="CFF0FC"/>
          </w:tcPr>
          <w:p>
            <w:pPr>
              <w:jc w:val="right"/>
              <w:ind w:right="39"/>
              <w:spacing w:after="0" w:line="183" w:lineRule="exact"/>
              <w:rPr>
                <w:sz w:val="20"/>
                <w:szCs w:val="20"/>
                <w:color w:val="auto"/>
              </w:rPr>
            </w:pPr>
            <w:r>
              <w:rPr>
                <w:rFonts w:ascii="Arial" w:cs="Arial" w:eastAsia="Arial" w:hAnsi="Arial"/>
                <w:sz w:val="16"/>
                <w:szCs w:val="16"/>
                <w:color w:val="auto"/>
              </w:rPr>
              <w:t>26,694</w:t>
            </w:r>
          </w:p>
        </w:tc>
      </w:tr>
      <w:tr>
        <w:trPr>
          <w:trHeight w:val="645"/>
        </w:trPr>
        <w:tc>
          <w:tcPr>
            <w:tcW w:w="4620" w:type="dxa"/>
            <w:vAlign w:val="bottom"/>
          </w:tcPr>
          <w:p>
            <w:pPr>
              <w:spacing w:after="0"/>
              <w:rPr>
                <w:sz w:val="24"/>
                <w:szCs w:val="24"/>
                <w:color w:val="auto"/>
              </w:rPr>
            </w:pPr>
          </w:p>
        </w:tc>
        <w:tc>
          <w:tcPr>
            <w:tcW w:w="3120" w:type="dxa"/>
            <w:vAlign w:val="bottom"/>
          </w:tcPr>
          <w:p>
            <w:pPr>
              <w:jc w:val="right"/>
              <w:ind w:right="1976"/>
              <w:spacing w:after="0"/>
              <w:rPr>
                <w:sz w:val="20"/>
                <w:szCs w:val="20"/>
                <w:color w:val="auto"/>
              </w:rPr>
            </w:pPr>
            <w:r>
              <w:rPr>
                <w:rFonts w:ascii="Arial" w:cs="Arial" w:eastAsia="Arial" w:hAnsi="Arial"/>
                <w:sz w:val="18"/>
                <w:szCs w:val="18"/>
                <w:color w:val="auto"/>
              </w:rPr>
              <w:t>7</w:t>
            </w:r>
          </w:p>
        </w:tc>
        <w:tc>
          <w:tcPr>
            <w:tcW w:w="24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500" w:type="dxa"/>
            <w:vAlign w:val="bottom"/>
          </w:tcPr>
          <w:p>
            <w:pPr>
              <w:spacing w:after="0"/>
              <w:rPr>
                <w:sz w:val="24"/>
                <w:szCs w:val="24"/>
                <w:color w:val="auto"/>
              </w:rPr>
            </w:pPr>
          </w:p>
        </w:tc>
      </w:tr>
      <w:tr>
        <w:trPr>
          <w:trHeight w:val="745"/>
        </w:trPr>
        <w:tc>
          <w:tcPr>
            <w:tcW w:w="4620" w:type="dxa"/>
            <w:vAlign w:val="bottom"/>
            <w:tcBorders>
              <w:bottom w:val="single" w:sz="8" w:color="9A9A9A"/>
            </w:tcBorders>
          </w:tcPr>
          <w:p>
            <w:pPr>
              <w:spacing w:after="0"/>
              <w:rPr>
                <w:sz w:val="24"/>
                <w:szCs w:val="24"/>
                <w:color w:val="auto"/>
              </w:rPr>
            </w:pPr>
          </w:p>
        </w:tc>
        <w:tc>
          <w:tcPr>
            <w:tcW w:w="312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142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15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002" w:right="339" w:bottom="1440" w:gutter="0" w:footer="0" w:header="0"/>
        </w:sectPr>
      </w:pPr>
    </w:p>
    <w:bookmarkStart w:id="11" w:name="page12"/>
    <w:bookmarkEnd w:id="11"/>
    <w:p>
      <w:pPr>
        <w:spacing w:after="0"/>
        <w:rPr>
          <w:sz w:val="20"/>
          <w:szCs w:val="20"/>
          <w:color w:val="auto"/>
        </w:rPr>
      </w:pPr>
      <w:r>
        <w:rPr>
          <w:rFonts w:ascii="Arial" w:cs="Arial" w:eastAsia="Arial" w:hAnsi="Arial"/>
          <w:sz w:val="22"/>
          <w:szCs w:val="22"/>
          <w:b w:val="1"/>
          <w:bCs w:val="1"/>
          <w:color w:val="auto"/>
        </w:rPr>
        <w:t>7. Leases</w:t>
      </w:r>
    </w:p>
    <w:p>
      <w:pPr>
        <w:spacing w:after="0" w:line="108" w:lineRule="exact"/>
        <w:rPr>
          <w:sz w:val="20"/>
          <w:szCs w:val="20"/>
          <w:color w:val="auto"/>
        </w:rPr>
      </w:pPr>
    </w:p>
    <w:p>
      <w:pPr>
        <w:jc w:val="both"/>
        <w:ind w:right="240"/>
        <w:spacing w:after="0" w:line="253" w:lineRule="auto"/>
        <w:rPr>
          <w:sz w:val="20"/>
          <w:szCs w:val="20"/>
          <w:color w:val="auto"/>
        </w:rPr>
      </w:pPr>
      <w:r>
        <w:rPr>
          <w:rFonts w:ascii="Arial" w:cs="Arial" w:eastAsia="Arial" w:hAnsi="Arial"/>
          <w:sz w:val="18"/>
          <w:szCs w:val="18"/>
          <w:color w:val="auto"/>
        </w:rPr>
        <w:t>The Company determines if an arrangement is a lease at inception. Operating leases are included in operating lease right-of-use, or ROU, assets and operating lease liabilities in the condensed consolidated balance sheets. The Company has no finance leases as of March 31, 2026.</w:t>
      </w:r>
    </w:p>
    <w:p>
      <w:pPr>
        <w:spacing w:after="0" w:line="61" w:lineRule="exact"/>
        <w:rPr>
          <w:sz w:val="20"/>
          <w:szCs w:val="20"/>
          <w:color w:val="auto"/>
        </w:rPr>
      </w:pPr>
    </w:p>
    <w:p>
      <w:pPr>
        <w:ind w:right="60"/>
        <w:spacing w:after="0" w:line="245" w:lineRule="auto"/>
        <w:rPr>
          <w:sz w:val="20"/>
          <w:szCs w:val="20"/>
          <w:color w:val="auto"/>
        </w:rPr>
      </w:pPr>
      <w:r>
        <w:rPr>
          <w:rFonts w:ascii="Arial" w:cs="Arial" w:eastAsia="Arial" w:hAnsi="Arial"/>
          <w:sz w:val="18"/>
          <w:szCs w:val="18"/>
          <w:color w:val="auto"/>
        </w:rPr>
        <w:t>ROU assets represent the right to use an underlying asset for the lease term and lease liabilities represent the obligation to make lease payments arising from the lease. Operating lease ROU assets and liabilities are recognized at commencement date based on the present value of lease payments over the lease term. As the Company’s leases do not provide an implicit rate, management estimated the incremental borrowing rate based on the rate of interest the Company would have to pay to borrow a similar amount on a collateralized basis over a similar term. The Company uses its incremental borrowing rate based on the information available at commencement date in determining the present value of lease payments.</w:t>
      </w:r>
    </w:p>
    <w:p>
      <w:pPr>
        <w:spacing w:after="0" w:line="7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Klybeckstrasse Lease</w:t>
      </w:r>
    </w:p>
    <w:p>
      <w:pPr>
        <w:spacing w:after="0" w:line="102" w:lineRule="exact"/>
        <w:rPr>
          <w:sz w:val="20"/>
          <w:szCs w:val="20"/>
          <w:color w:val="auto"/>
        </w:rPr>
      </w:pPr>
    </w:p>
    <w:p>
      <w:pPr>
        <w:spacing w:after="0"/>
        <w:rPr>
          <w:sz w:val="20"/>
          <w:szCs w:val="20"/>
          <w:color w:val="auto"/>
        </w:rPr>
      </w:pPr>
      <w:r>
        <w:rPr>
          <w:rFonts w:ascii="Arial" w:cs="Arial" w:eastAsia="Arial" w:hAnsi="Arial"/>
          <w:sz w:val="18"/>
          <w:szCs w:val="18"/>
          <w:color w:val="auto"/>
        </w:rPr>
        <w:t>In March 2021, the Company entered into an operating lease agreement, or the Klybeckstrasse Lease, for office and laboratory space with Wincasa AG, or the Basel Landlord, that occupies approximately 21,422 square feet located at Klybeckstrasse 191, 4057 Basel, Basel-City, Switzerland. In April 2023, the Company and the Basel Landlord amended the Klybeckstrasse Lease which increased the office and laboratory space square footage from 21,422 square feet to 44,685 square feet and extended the term of the lease through June 30, 2027. In March 2026, the Company and the Basel Landlord again amended the Klybeckstrasse Lease, the Second Amendment, to extend the term of the lease through June 30, 2028. The Second Amendment was accounted for as a lease modification and resulted in increases to the related ROU asset and operating lease liability of $1.0 million.</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Harrison Avenue Lease</w:t>
      </w:r>
    </w:p>
    <w:p>
      <w:pPr>
        <w:spacing w:after="0" w:line="102" w:lineRule="exact"/>
        <w:rPr>
          <w:sz w:val="20"/>
          <w:szCs w:val="20"/>
          <w:color w:val="auto"/>
        </w:rPr>
      </w:pPr>
    </w:p>
    <w:p>
      <w:pPr>
        <w:ind w:right="40"/>
        <w:spacing w:after="0"/>
        <w:rPr>
          <w:sz w:val="20"/>
          <w:szCs w:val="20"/>
          <w:color w:val="auto"/>
        </w:rPr>
      </w:pPr>
      <w:r>
        <w:rPr>
          <w:rFonts w:ascii="Arial" w:cs="Arial" w:eastAsia="Arial" w:hAnsi="Arial"/>
          <w:sz w:val="18"/>
          <w:szCs w:val="18"/>
          <w:color w:val="auto"/>
        </w:rPr>
        <w:t>In December 2021, the Company entered into a non-cancelable lease agreement, or the Harrison Avenue Lease, for 63,327 square feet of office and laboratory space to support its expanding operations. The term of the lease commenced on April 1, 2022 and the Company’s obligation to pay rent began on December 21, 2022. The initial term of the lease is 128 months following the commencement date, at which point the Company has the option to extend the lease an additional 5 years. The Company has determined that it is not reasonably certain to exercise the option to extend the lease and has not included the extension period in the lease term. The annual base rent under the Harrison Avenue Lease is $95 per square foot for the first year, which is subject to scheduled annual increases of 3%, plus certain costs, operating expenses and property management fees.</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color w:val="auto"/>
        </w:rPr>
        <w:t>The components of lease expense for the three months ended March 31, 2026 and 2025 are as follows (in thousands):</w:t>
      </w:r>
    </w:p>
    <w:p>
      <w:pPr>
        <w:spacing w:after="0" w:line="102"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4780" w:type="dxa"/>
            <w:vAlign w:val="bottom"/>
            <w:tcBorders>
              <w:top w:val="single" w:sz="8" w:color="auto"/>
            </w:tcBorders>
          </w:tcPr>
          <w:p>
            <w:pPr>
              <w:spacing w:after="0"/>
              <w:rPr>
                <w:sz w:val="16"/>
                <w:szCs w:val="16"/>
                <w:color w:val="auto"/>
              </w:rPr>
            </w:pPr>
          </w:p>
        </w:tc>
        <w:tc>
          <w:tcPr>
            <w:tcW w:w="2960" w:type="dxa"/>
            <w:vAlign w:val="bottom"/>
            <w:tcBorders>
              <w:top w:val="single" w:sz="8" w:color="auto"/>
            </w:tcBorders>
          </w:tcPr>
          <w:p>
            <w:pPr>
              <w:spacing w:after="0"/>
              <w:rPr>
                <w:sz w:val="16"/>
                <w:szCs w:val="16"/>
                <w:color w:val="auto"/>
              </w:rPr>
            </w:pPr>
          </w:p>
        </w:tc>
        <w:tc>
          <w:tcPr>
            <w:tcW w:w="2880" w:type="dxa"/>
            <w:vAlign w:val="bottom"/>
            <w:tcBorders>
              <w:top w:val="single" w:sz="8" w:color="auto"/>
            </w:tcBorders>
            <w:gridSpan w:val="3"/>
          </w:tcPr>
          <w:p>
            <w:pPr>
              <w:jc w:val="right"/>
              <w:ind w:right="339"/>
              <w:spacing w:after="0"/>
              <w:rPr>
                <w:sz w:val="20"/>
                <w:szCs w:val="20"/>
                <w:color w:val="auto"/>
              </w:rPr>
            </w:pPr>
            <w:r>
              <w:rPr>
                <w:rFonts w:ascii="Arial" w:cs="Arial" w:eastAsia="Arial" w:hAnsi="Arial"/>
                <w:sz w:val="16"/>
                <w:szCs w:val="16"/>
                <w:b w:val="1"/>
                <w:bCs w:val="1"/>
                <w:color w:val="auto"/>
              </w:rPr>
              <w:t>Three months ended</w:t>
            </w:r>
          </w:p>
        </w:tc>
        <w:tc>
          <w:tcPr>
            <w:tcW w:w="620" w:type="dxa"/>
            <w:vAlign w:val="bottom"/>
            <w:tcBorders>
              <w:top w:val="single" w:sz="8" w:color="auto"/>
            </w:tcBorders>
          </w:tcPr>
          <w:p>
            <w:pPr>
              <w:spacing w:after="0"/>
              <w:rPr>
                <w:sz w:val="16"/>
                <w:szCs w:val="16"/>
                <w:color w:val="auto"/>
              </w:rPr>
            </w:pPr>
          </w:p>
        </w:tc>
      </w:tr>
      <w:tr>
        <w:trPr>
          <w:trHeight w:val="203"/>
        </w:trPr>
        <w:tc>
          <w:tcPr>
            <w:tcW w:w="4780" w:type="dxa"/>
            <w:vAlign w:val="bottom"/>
          </w:tcPr>
          <w:p>
            <w:pPr>
              <w:spacing w:after="0"/>
              <w:rPr>
                <w:sz w:val="17"/>
                <w:szCs w:val="17"/>
                <w:color w:val="auto"/>
              </w:rPr>
            </w:pPr>
          </w:p>
        </w:tc>
        <w:tc>
          <w:tcPr>
            <w:tcW w:w="2960" w:type="dxa"/>
            <w:vAlign w:val="bottom"/>
          </w:tcPr>
          <w:p>
            <w:pPr>
              <w:spacing w:after="0"/>
              <w:rPr>
                <w:sz w:val="17"/>
                <w:szCs w:val="17"/>
                <w:color w:val="auto"/>
              </w:rPr>
            </w:pPr>
          </w:p>
        </w:tc>
        <w:tc>
          <w:tcPr>
            <w:tcW w:w="1040" w:type="dxa"/>
            <w:vAlign w:val="bottom"/>
            <w:tcBorders>
              <w:bottom w:val="single" w:sz="8" w:color="auto"/>
            </w:tcBorders>
          </w:tcPr>
          <w:p>
            <w:pPr>
              <w:spacing w:after="0"/>
              <w:rPr>
                <w:sz w:val="17"/>
                <w:szCs w:val="17"/>
                <w:color w:val="auto"/>
              </w:rPr>
            </w:pPr>
          </w:p>
        </w:tc>
        <w:tc>
          <w:tcPr>
            <w:tcW w:w="1840" w:type="dxa"/>
            <w:vAlign w:val="bottom"/>
            <w:tcBorders>
              <w:bottom w:val="single" w:sz="8" w:color="auto"/>
            </w:tcBorders>
            <w:gridSpan w:val="2"/>
          </w:tcPr>
          <w:p>
            <w:pPr>
              <w:jc w:val="right"/>
              <w:ind w:right="739"/>
              <w:spacing w:after="0"/>
              <w:rPr>
                <w:sz w:val="20"/>
                <w:szCs w:val="20"/>
                <w:color w:val="auto"/>
              </w:rPr>
            </w:pPr>
            <w:r>
              <w:rPr>
                <w:rFonts w:ascii="Arial" w:cs="Arial" w:eastAsia="Arial" w:hAnsi="Arial"/>
                <w:sz w:val="16"/>
                <w:szCs w:val="16"/>
                <w:b w:val="1"/>
                <w:bCs w:val="1"/>
                <w:color w:val="auto"/>
              </w:rPr>
              <w:t>March 31,</w:t>
            </w:r>
          </w:p>
        </w:tc>
        <w:tc>
          <w:tcPr>
            <w:tcW w:w="620" w:type="dxa"/>
            <w:vAlign w:val="bottom"/>
            <w:tcBorders>
              <w:bottom w:val="single" w:sz="8" w:color="auto"/>
            </w:tcBorders>
          </w:tcPr>
          <w:p>
            <w:pPr>
              <w:spacing w:after="0"/>
              <w:rPr>
                <w:sz w:val="17"/>
                <w:szCs w:val="17"/>
                <w:color w:val="auto"/>
              </w:rPr>
            </w:pPr>
          </w:p>
        </w:tc>
      </w:tr>
      <w:tr>
        <w:trPr>
          <w:trHeight w:val="183"/>
        </w:trPr>
        <w:tc>
          <w:tcPr>
            <w:tcW w:w="4780" w:type="dxa"/>
            <w:vAlign w:val="bottom"/>
          </w:tcPr>
          <w:p>
            <w:pPr>
              <w:spacing w:after="0"/>
              <w:rPr>
                <w:sz w:val="15"/>
                <w:szCs w:val="15"/>
                <w:color w:val="auto"/>
              </w:rPr>
            </w:pPr>
          </w:p>
        </w:tc>
        <w:tc>
          <w:tcPr>
            <w:tcW w:w="2960" w:type="dxa"/>
            <w:vAlign w:val="bottom"/>
          </w:tcPr>
          <w:p>
            <w:pPr>
              <w:spacing w:after="0"/>
              <w:rPr>
                <w:sz w:val="15"/>
                <w:szCs w:val="15"/>
                <w:color w:val="auto"/>
              </w:rPr>
            </w:pPr>
          </w:p>
        </w:tc>
        <w:tc>
          <w:tcPr>
            <w:tcW w:w="104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6"/>
                <w:szCs w:val="16"/>
                <w:b w:val="1"/>
                <w:bCs w:val="1"/>
                <w:color w:val="auto"/>
              </w:rPr>
              <w:t>2026</w:t>
            </w:r>
          </w:p>
        </w:tc>
        <w:tc>
          <w:tcPr>
            <w:tcW w:w="66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jc w:val="right"/>
              <w:ind w:right="19"/>
              <w:spacing w:after="0" w:line="183" w:lineRule="exact"/>
              <w:rPr>
                <w:sz w:val="20"/>
                <w:szCs w:val="20"/>
                <w:color w:val="auto"/>
              </w:rPr>
            </w:pPr>
            <w:r>
              <w:rPr>
                <w:rFonts w:ascii="Arial" w:cs="Arial" w:eastAsia="Arial" w:hAnsi="Arial"/>
                <w:sz w:val="16"/>
                <w:szCs w:val="16"/>
                <w:b w:val="1"/>
                <w:bCs w:val="1"/>
                <w:color w:val="auto"/>
              </w:rPr>
              <w:t>2025</w:t>
            </w:r>
          </w:p>
        </w:tc>
        <w:tc>
          <w:tcPr>
            <w:tcW w:w="620" w:type="dxa"/>
            <w:vAlign w:val="bottom"/>
            <w:tcBorders>
              <w:bottom w:val="single" w:sz="8" w:color="auto"/>
            </w:tcBorders>
          </w:tcPr>
          <w:p>
            <w:pPr>
              <w:spacing w:after="0"/>
              <w:rPr>
                <w:sz w:val="15"/>
                <w:szCs w:val="15"/>
                <w:color w:val="auto"/>
              </w:rPr>
            </w:pPr>
          </w:p>
        </w:tc>
      </w:tr>
      <w:tr>
        <w:trPr>
          <w:trHeight w:val="183"/>
        </w:trPr>
        <w:tc>
          <w:tcPr>
            <w:tcW w:w="4780" w:type="dxa"/>
            <w:vAlign w:val="bottom"/>
            <w:shd w:val="clear" w:color="auto" w:fill="CFF0FC"/>
          </w:tcPr>
          <w:p>
            <w:pPr>
              <w:spacing w:after="0" w:line="183" w:lineRule="exact"/>
              <w:rPr>
                <w:sz w:val="20"/>
                <w:szCs w:val="20"/>
                <w:color w:val="auto"/>
              </w:rPr>
            </w:pPr>
            <w:r>
              <w:rPr>
                <w:rFonts w:ascii="Arial" w:cs="Arial" w:eastAsia="Arial" w:hAnsi="Arial"/>
                <w:sz w:val="16"/>
                <w:szCs w:val="16"/>
                <w:color w:val="auto"/>
              </w:rPr>
              <w:t>Operating lease expense</w:t>
            </w:r>
          </w:p>
        </w:tc>
        <w:tc>
          <w:tcPr>
            <w:tcW w:w="4000" w:type="dxa"/>
            <w:vAlign w:val="bottom"/>
            <w:gridSpan w:val="2"/>
            <w:shd w:val="clear" w:color="auto" w:fill="CFF0FC"/>
          </w:tcPr>
          <w:p>
            <w:pPr>
              <w:jc w:val="right"/>
              <w:ind w:right="859"/>
              <w:spacing w:after="0" w:line="183" w:lineRule="exact"/>
              <w:rPr>
                <w:sz w:val="20"/>
                <w:szCs w:val="20"/>
                <w:color w:val="auto"/>
              </w:rPr>
            </w:pPr>
            <w:r>
              <w:rPr>
                <w:rFonts w:ascii="Arial" w:cs="Arial" w:eastAsia="Arial" w:hAnsi="Arial"/>
                <w:sz w:val="16"/>
                <w:szCs w:val="16"/>
                <w:color w:val="auto"/>
              </w:rPr>
              <w:t>$</w:t>
            </w:r>
          </w:p>
        </w:tc>
        <w:tc>
          <w:tcPr>
            <w:tcW w:w="660" w:type="dxa"/>
            <w:vAlign w:val="bottom"/>
            <w:shd w:val="clear" w:color="auto" w:fill="CFF0FC"/>
          </w:tcPr>
          <w:p>
            <w:pPr>
              <w:jc w:val="right"/>
              <w:ind w:right="79"/>
              <w:spacing w:after="0" w:line="183" w:lineRule="exact"/>
              <w:rPr>
                <w:sz w:val="20"/>
                <w:szCs w:val="20"/>
                <w:color w:val="auto"/>
              </w:rPr>
            </w:pPr>
            <w:r>
              <w:rPr>
                <w:rFonts w:ascii="Arial" w:cs="Arial" w:eastAsia="Arial" w:hAnsi="Arial"/>
                <w:sz w:val="16"/>
                <w:szCs w:val="16"/>
                <w:color w:val="auto"/>
              </w:rPr>
              <w:t>1,638</w:t>
            </w:r>
          </w:p>
        </w:tc>
        <w:tc>
          <w:tcPr>
            <w:tcW w:w="1180" w:type="dxa"/>
            <w:vAlign w:val="bottom"/>
            <w:shd w:val="clear" w:color="auto" w:fill="CFF0FC"/>
          </w:tcPr>
          <w:p>
            <w:pPr>
              <w:jc w:val="right"/>
              <w:ind w:right="879"/>
              <w:spacing w:after="0" w:line="183" w:lineRule="exact"/>
              <w:rPr>
                <w:sz w:val="20"/>
                <w:szCs w:val="20"/>
                <w:color w:val="auto"/>
              </w:rPr>
            </w:pPr>
            <w:r>
              <w:rPr>
                <w:rFonts w:ascii="Arial" w:cs="Arial" w:eastAsia="Arial" w:hAnsi="Arial"/>
                <w:sz w:val="16"/>
                <w:szCs w:val="16"/>
                <w:color w:val="auto"/>
              </w:rPr>
              <w:t>$</w:t>
            </w:r>
          </w:p>
        </w:tc>
        <w:tc>
          <w:tcPr>
            <w:tcW w:w="620" w:type="dxa"/>
            <w:vAlign w:val="bottom"/>
            <w:shd w:val="clear" w:color="auto" w:fill="CFF0FC"/>
          </w:tcPr>
          <w:p>
            <w:pPr>
              <w:jc w:val="right"/>
              <w:ind w:right="39"/>
              <w:spacing w:after="0" w:line="183" w:lineRule="exact"/>
              <w:rPr>
                <w:sz w:val="20"/>
                <w:szCs w:val="20"/>
                <w:color w:val="auto"/>
              </w:rPr>
            </w:pPr>
            <w:r>
              <w:rPr>
                <w:rFonts w:ascii="Arial" w:cs="Arial" w:eastAsia="Arial" w:hAnsi="Arial"/>
                <w:sz w:val="16"/>
                <w:szCs w:val="16"/>
                <w:color w:val="auto"/>
              </w:rPr>
              <w:t>1,634</w:t>
            </w:r>
          </w:p>
        </w:tc>
      </w:tr>
      <w:tr>
        <w:trPr>
          <w:trHeight w:val="189"/>
        </w:trPr>
        <w:tc>
          <w:tcPr>
            <w:tcW w:w="4780" w:type="dxa"/>
            <w:vAlign w:val="bottom"/>
          </w:tcPr>
          <w:p>
            <w:pPr>
              <w:spacing w:after="0"/>
              <w:rPr>
                <w:sz w:val="20"/>
                <w:szCs w:val="20"/>
                <w:color w:val="auto"/>
              </w:rPr>
            </w:pPr>
            <w:r>
              <w:rPr>
                <w:rFonts w:ascii="Arial" w:cs="Arial" w:eastAsia="Arial" w:hAnsi="Arial"/>
                <w:sz w:val="16"/>
                <w:szCs w:val="16"/>
                <w:color w:val="auto"/>
              </w:rPr>
              <w:t>Variable lease expense</w:t>
            </w:r>
          </w:p>
        </w:tc>
        <w:tc>
          <w:tcPr>
            <w:tcW w:w="2960" w:type="dxa"/>
            <w:vAlign w:val="bottom"/>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758</w:t>
            </w:r>
          </w:p>
        </w:tc>
        <w:tc>
          <w:tcPr>
            <w:tcW w:w="118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852</w:t>
            </w:r>
          </w:p>
        </w:tc>
      </w:tr>
      <w:tr>
        <w:trPr>
          <w:trHeight w:val="183"/>
        </w:trPr>
        <w:tc>
          <w:tcPr>
            <w:tcW w:w="4780" w:type="dxa"/>
            <w:vAlign w:val="bottom"/>
            <w:tcBorders>
              <w:bottom w:val="single" w:sz="8" w:color="auto"/>
            </w:tcBorders>
            <w:shd w:val="clear" w:color="auto" w:fill="CFF0FC"/>
          </w:tcPr>
          <w:p>
            <w:pPr>
              <w:ind w:left="140"/>
              <w:spacing w:after="0" w:line="183" w:lineRule="exact"/>
              <w:rPr>
                <w:sz w:val="20"/>
                <w:szCs w:val="20"/>
                <w:color w:val="auto"/>
              </w:rPr>
            </w:pPr>
            <w:r>
              <w:rPr>
                <w:rFonts w:ascii="Arial" w:cs="Arial" w:eastAsia="Arial" w:hAnsi="Arial"/>
                <w:sz w:val="16"/>
                <w:szCs w:val="16"/>
                <w:color w:val="auto"/>
              </w:rPr>
              <w:t>Total lease expense</w:t>
            </w:r>
          </w:p>
        </w:tc>
        <w:tc>
          <w:tcPr>
            <w:tcW w:w="4000" w:type="dxa"/>
            <w:vAlign w:val="bottom"/>
            <w:tcBorders>
              <w:bottom w:val="single" w:sz="8" w:color="auto"/>
            </w:tcBorders>
            <w:gridSpan w:val="2"/>
            <w:shd w:val="clear" w:color="auto" w:fill="CFF0FC"/>
          </w:tcPr>
          <w:p>
            <w:pPr>
              <w:jc w:val="right"/>
              <w:ind w:right="859"/>
              <w:spacing w:after="0" w:line="183" w:lineRule="exact"/>
              <w:rPr>
                <w:sz w:val="20"/>
                <w:szCs w:val="20"/>
                <w:color w:val="auto"/>
              </w:rPr>
            </w:pPr>
            <w:r>
              <w:rPr>
                <w:rFonts w:ascii="Arial" w:cs="Arial" w:eastAsia="Arial" w:hAnsi="Arial"/>
                <w:sz w:val="16"/>
                <w:szCs w:val="16"/>
                <w:color w:val="auto"/>
              </w:rPr>
              <w:t>$</w:t>
            </w:r>
          </w:p>
        </w:tc>
        <w:tc>
          <w:tcPr>
            <w:tcW w:w="660" w:type="dxa"/>
            <w:vAlign w:val="bottom"/>
            <w:tcBorders>
              <w:bottom w:val="single" w:sz="8" w:color="auto"/>
            </w:tcBorders>
            <w:shd w:val="clear" w:color="auto" w:fill="CFF0FC"/>
          </w:tcPr>
          <w:p>
            <w:pPr>
              <w:jc w:val="right"/>
              <w:ind w:right="79"/>
              <w:spacing w:after="0" w:line="183" w:lineRule="exact"/>
              <w:rPr>
                <w:sz w:val="20"/>
                <w:szCs w:val="20"/>
                <w:color w:val="auto"/>
              </w:rPr>
            </w:pPr>
            <w:r>
              <w:rPr>
                <w:rFonts w:ascii="Arial" w:cs="Arial" w:eastAsia="Arial" w:hAnsi="Arial"/>
                <w:sz w:val="16"/>
                <w:szCs w:val="16"/>
                <w:color w:val="auto"/>
              </w:rPr>
              <w:t>2,396</w:t>
            </w:r>
          </w:p>
        </w:tc>
        <w:tc>
          <w:tcPr>
            <w:tcW w:w="1180" w:type="dxa"/>
            <w:vAlign w:val="bottom"/>
            <w:tcBorders>
              <w:bottom w:val="single" w:sz="8" w:color="auto"/>
            </w:tcBorders>
            <w:shd w:val="clear" w:color="auto" w:fill="CFF0FC"/>
          </w:tcPr>
          <w:p>
            <w:pPr>
              <w:jc w:val="right"/>
              <w:ind w:right="879"/>
              <w:spacing w:after="0" w:line="183" w:lineRule="exact"/>
              <w:rPr>
                <w:sz w:val="20"/>
                <w:szCs w:val="20"/>
                <w:color w:val="auto"/>
              </w:rPr>
            </w:pPr>
            <w:r>
              <w:rPr>
                <w:rFonts w:ascii="Arial" w:cs="Arial" w:eastAsia="Arial" w:hAnsi="Arial"/>
                <w:sz w:val="16"/>
                <w:szCs w:val="16"/>
                <w:color w:val="auto"/>
              </w:rPr>
              <w:t>$</w:t>
            </w:r>
          </w:p>
        </w:tc>
        <w:tc>
          <w:tcPr>
            <w:tcW w:w="620" w:type="dxa"/>
            <w:vAlign w:val="bottom"/>
            <w:tcBorders>
              <w:bottom w:val="single" w:sz="8" w:color="auto"/>
            </w:tcBorders>
            <w:shd w:val="clear" w:color="auto" w:fill="CFF0FC"/>
          </w:tcPr>
          <w:p>
            <w:pPr>
              <w:jc w:val="right"/>
              <w:ind w:right="39"/>
              <w:spacing w:after="0" w:line="183" w:lineRule="exact"/>
              <w:rPr>
                <w:sz w:val="20"/>
                <w:szCs w:val="20"/>
                <w:color w:val="auto"/>
              </w:rPr>
            </w:pPr>
            <w:r>
              <w:rPr>
                <w:rFonts w:ascii="Arial" w:cs="Arial" w:eastAsia="Arial" w:hAnsi="Arial"/>
                <w:sz w:val="16"/>
                <w:szCs w:val="16"/>
                <w:color w:val="auto"/>
              </w:rPr>
              <w:t>2,486</w:t>
            </w:r>
          </w:p>
        </w:tc>
      </w:tr>
    </w:tbl>
    <w:p>
      <w:pPr>
        <w:spacing w:after="0" w:line="89" w:lineRule="exact"/>
        <w:rPr>
          <w:sz w:val="20"/>
          <w:szCs w:val="20"/>
          <w:color w:val="auto"/>
        </w:rPr>
      </w:pPr>
    </w:p>
    <w:p>
      <w:pPr>
        <w:spacing w:after="0"/>
        <w:rPr>
          <w:sz w:val="20"/>
          <w:szCs w:val="20"/>
          <w:color w:val="auto"/>
        </w:rPr>
      </w:pPr>
      <w:r>
        <w:rPr>
          <w:rFonts w:ascii="Arial" w:cs="Arial" w:eastAsia="Arial" w:hAnsi="Arial"/>
          <w:sz w:val="18"/>
          <w:szCs w:val="18"/>
          <w:color w:val="auto"/>
        </w:rPr>
        <w:t>The variable lease expenses generally include common area maintenance and property taxes.</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lease expense incurred (in thousands):</w:t>
      </w:r>
    </w:p>
    <w:p>
      <w:pPr>
        <w:spacing w:after="0" w:line="102"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4860" w:type="dxa"/>
            <w:vAlign w:val="bottom"/>
            <w:tcBorders>
              <w:top w:val="single" w:sz="8" w:color="auto"/>
            </w:tcBorders>
          </w:tcPr>
          <w:p>
            <w:pPr>
              <w:spacing w:after="0"/>
              <w:rPr>
                <w:sz w:val="16"/>
                <w:szCs w:val="16"/>
                <w:color w:val="auto"/>
              </w:rPr>
            </w:pPr>
          </w:p>
        </w:tc>
        <w:tc>
          <w:tcPr>
            <w:tcW w:w="2880" w:type="dxa"/>
            <w:vAlign w:val="bottom"/>
            <w:tcBorders>
              <w:top w:val="single" w:sz="8" w:color="auto"/>
            </w:tcBorders>
          </w:tcPr>
          <w:p>
            <w:pPr>
              <w:spacing w:after="0"/>
              <w:rPr>
                <w:sz w:val="16"/>
                <w:szCs w:val="16"/>
                <w:color w:val="auto"/>
              </w:rPr>
            </w:pPr>
          </w:p>
        </w:tc>
        <w:tc>
          <w:tcPr>
            <w:tcW w:w="2880" w:type="dxa"/>
            <w:vAlign w:val="bottom"/>
            <w:tcBorders>
              <w:top w:val="single" w:sz="8" w:color="auto"/>
            </w:tcBorders>
            <w:gridSpan w:val="3"/>
          </w:tcPr>
          <w:p>
            <w:pPr>
              <w:jc w:val="right"/>
              <w:ind w:right="339"/>
              <w:spacing w:after="0"/>
              <w:rPr>
                <w:sz w:val="20"/>
                <w:szCs w:val="20"/>
                <w:color w:val="auto"/>
              </w:rPr>
            </w:pPr>
            <w:r>
              <w:rPr>
                <w:rFonts w:ascii="Arial" w:cs="Arial" w:eastAsia="Arial" w:hAnsi="Arial"/>
                <w:sz w:val="16"/>
                <w:szCs w:val="16"/>
                <w:b w:val="1"/>
                <w:bCs w:val="1"/>
                <w:color w:val="auto"/>
              </w:rPr>
              <w:t>Three months ended</w:t>
            </w:r>
          </w:p>
        </w:tc>
        <w:tc>
          <w:tcPr>
            <w:tcW w:w="620" w:type="dxa"/>
            <w:vAlign w:val="bottom"/>
            <w:tcBorders>
              <w:top w:val="single" w:sz="8" w:color="auto"/>
            </w:tcBorders>
          </w:tcPr>
          <w:p>
            <w:pPr>
              <w:spacing w:after="0"/>
              <w:rPr>
                <w:sz w:val="16"/>
                <w:szCs w:val="16"/>
                <w:color w:val="auto"/>
              </w:rPr>
            </w:pPr>
          </w:p>
        </w:tc>
      </w:tr>
      <w:tr>
        <w:trPr>
          <w:trHeight w:val="203"/>
        </w:trPr>
        <w:tc>
          <w:tcPr>
            <w:tcW w:w="4860" w:type="dxa"/>
            <w:vAlign w:val="bottom"/>
          </w:tcPr>
          <w:p>
            <w:pPr>
              <w:spacing w:after="0"/>
              <w:rPr>
                <w:sz w:val="17"/>
                <w:szCs w:val="17"/>
                <w:color w:val="auto"/>
              </w:rPr>
            </w:pPr>
          </w:p>
        </w:tc>
        <w:tc>
          <w:tcPr>
            <w:tcW w:w="2880" w:type="dxa"/>
            <w:vAlign w:val="bottom"/>
          </w:tcPr>
          <w:p>
            <w:pPr>
              <w:spacing w:after="0"/>
              <w:rPr>
                <w:sz w:val="17"/>
                <w:szCs w:val="17"/>
                <w:color w:val="auto"/>
              </w:rPr>
            </w:pPr>
          </w:p>
        </w:tc>
        <w:tc>
          <w:tcPr>
            <w:tcW w:w="1040" w:type="dxa"/>
            <w:vAlign w:val="bottom"/>
            <w:tcBorders>
              <w:bottom w:val="single" w:sz="8" w:color="auto"/>
            </w:tcBorders>
          </w:tcPr>
          <w:p>
            <w:pPr>
              <w:spacing w:after="0"/>
              <w:rPr>
                <w:sz w:val="17"/>
                <w:szCs w:val="17"/>
                <w:color w:val="auto"/>
              </w:rPr>
            </w:pPr>
          </w:p>
        </w:tc>
        <w:tc>
          <w:tcPr>
            <w:tcW w:w="1840" w:type="dxa"/>
            <w:vAlign w:val="bottom"/>
            <w:tcBorders>
              <w:bottom w:val="single" w:sz="8" w:color="auto"/>
            </w:tcBorders>
            <w:gridSpan w:val="2"/>
          </w:tcPr>
          <w:p>
            <w:pPr>
              <w:jc w:val="right"/>
              <w:ind w:right="739"/>
              <w:spacing w:after="0"/>
              <w:rPr>
                <w:sz w:val="20"/>
                <w:szCs w:val="20"/>
                <w:color w:val="auto"/>
              </w:rPr>
            </w:pPr>
            <w:r>
              <w:rPr>
                <w:rFonts w:ascii="Arial" w:cs="Arial" w:eastAsia="Arial" w:hAnsi="Arial"/>
                <w:sz w:val="16"/>
                <w:szCs w:val="16"/>
                <w:b w:val="1"/>
                <w:bCs w:val="1"/>
                <w:color w:val="auto"/>
              </w:rPr>
              <w:t>March 31,</w:t>
            </w:r>
          </w:p>
        </w:tc>
        <w:tc>
          <w:tcPr>
            <w:tcW w:w="620" w:type="dxa"/>
            <w:vAlign w:val="bottom"/>
            <w:tcBorders>
              <w:bottom w:val="single" w:sz="8" w:color="auto"/>
            </w:tcBorders>
          </w:tcPr>
          <w:p>
            <w:pPr>
              <w:spacing w:after="0"/>
              <w:rPr>
                <w:sz w:val="17"/>
                <w:szCs w:val="17"/>
                <w:color w:val="auto"/>
              </w:rPr>
            </w:pPr>
          </w:p>
        </w:tc>
      </w:tr>
      <w:tr>
        <w:trPr>
          <w:trHeight w:val="183"/>
        </w:trPr>
        <w:tc>
          <w:tcPr>
            <w:tcW w:w="4860" w:type="dxa"/>
            <w:vAlign w:val="bottom"/>
          </w:tcPr>
          <w:p>
            <w:pPr>
              <w:spacing w:after="0"/>
              <w:rPr>
                <w:sz w:val="15"/>
                <w:szCs w:val="15"/>
                <w:color w:val="auto"/>
              </w:rPr>
            </w:pPr>
          </w:p>
        </w:tc>
        <w:tc>
          <w:tcPr>
            <w:tcW w:w="2880" w:type="dxa"/>
            <w:vAlign w:val="bottom"/>
          </w:tcPr>
          <w:p>
            <w:pPr>
              <w:spacing w:after="0"/>
              <w:rPr>
                <w:sz w:val="15"/>
                <w:szCs w:val="15"/>
                <w:color w:val="auto"/>
              </w:rPr>
            </w:pPr>
          </w:p>
        </w:tc>
        <w:tc>
          <w:tcPr>
            <w:tcW w:w="104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6"/>
                <w:szCs w:val="16"/>
                <w:b w:val="1"/>
                <w:bCs w:val="1"/>
                <w:color w:val="auto"/>
              </w:rPr>
              <w:t>2026</w:t>
            </w:r>
          </w:p>
        </w:tc>
        <w:tc>
          <w:tcPr>
            <w:tcW w:w="66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jc w:val="right"/>
              <w:ind w:right="19"/>
              <w:spacing w:after="0" w:line="183" w:lineRule="exact"/>
              <w:rPr>
                <w:sz w:val="20"/>
                <w:szCs w:val="20"/>
                <w:color w:val="auto"/>
              </w:rPr>
            </w:pPr>
            <w:r>
              <w:rPr>
                <w:rFonts w:ascii="Arial" w:cs="Arial" w:eastAsia="Arial" w:hAnsi="Arial"/>
                <w:sz w:val="16"/>
                <w:szCs w:val="16"/>
                <w:b w:val="1"/>
                <w:bCs w:val="1"/>
                <w:color w:val="auto"/>
              </w:rPr>
              <w:t>2025</w:t>
            </w:r>
          </w:p>
        </w:tc>
        <w:tc>
          <w:tcPr>
            <w:tcW w:w="620" w:type="dxa"/>
            <w:vAlign w:val="bottom"/>
            <w:tcBorders>
              <w:bottom w:val="single" w:sz="8" w:color="auto"/>
            </w:tcBorders>
          </w:tcPr>
          <w:p>
            <w:pPr>
              <w:spacing w:after="0"/>
              <w:rPr>
                <w:sz w:val="15"/>
                <w:szCs w:val="15"/>
                <w:color w:val="auto"/>
              </w:rPr>
            </w:pPr>
          </w:p>
        </w:tc>
      </w:tr>
      <w:tr>
        <w:trPr>
          <w:trHeight w:val="183"/>
        </w:trPr>
        <w:tc>
          <w:tcPr>
            <w:tcW w:w="4860" w:type="dxa"/>
            <w:vAlign w:val="bottom"/>
            <w:shd w:val="clear" w:color="auto" w:fill="CFF0FC"/>
          </w:tcPr>
          <w:p>
            <w:pPr>
              <w:spacing w:after="0" w:line="183" w:lineRule="exact"/>
              <w:rPr>
                <w:sz w:val="20"/>
                <w:szCs w:val="20"/>
                <w:color w:val="auto"/>
              </w:rPr>
            </w:pPr>
            <w:r>
              <w:rPr>
                <w:rFonts w:ascii="Arial" w:cs="Arial" w:eastAsia="Arial" w:hAnsi="Arial"/>
                <w:sz w:val="16"/>
                <w:szCs w:val="16"/>
                <w:color w:val="auto"/>
              </w:rPr>
              <w:t>Research and development</w:t>
            </w:r>
          </w:p>
        </w:tc>
        <w:tc>
          <w:tcPr>
            <w:tcW w:w="3920" w:type="dxa"/>
            <w:vAlign w:val="bottom"/>
            <w:gridSpan w:val="2"/>
            <w:shd w:val="clear" w:color="auto" w:fill="CFF0FC"/>
          </w:tcPr>
          <w:p>
            <w:pPr>
              <w:jc w:val="right"/>
              <w:ind w:right="859"/>
              <w:spacing w:after="0" w:line="183" w:lineRule="exact"/>
              <w:rPr>
                <w:sz w:val="20"/>
                <w:szCs w:val="20"/>
                <w:color w:val="auto"/>
              </w:rPr>
            </w:pPr>
            <w:r>
              <w:rPr>
                <w:rFonts w:ascii="Arial" w:cs="Arial" w:eastAsia="Arial" w:hAnsi="Arial"/>
                <w:sz w:val="16"/>
                <w:szCs w:val="16"/>
                <w:color w:val="auto"/>
              </w:rPr>
              <w:t>$</w:t>
            </w:r>
          </w:p>
        </w:tc>
        <w:tc>
          <w:tcPr>
            <w:tcW w:w="660" w:type="dxa"/>
            <w:vAlign w:val="bottom"/>
            <w:shd w:val="clear" w:color="auto" w:fill="CFF0FC"/>
          </w:tcPr>
          <w:p>
            <w:pPr>
              <w:jc w:val="right"/>
              <w:ind w:right="79"/>
              <w:spacing w:after="0" w:line="183" w:lineRule="exact"/>
              <w:rPr>
                <w:sz w:val="20"/>
                <w:szCs w:val="20"/>
                <w:color w:val="auto"/>
              </w:rPr>
            </w:pPr>
            <w:r>
              <w:rPr>
                <w:rFonts w:ascii="Arial" w:cs="Arial" w:eastAsia="Arial" w:hAnsi="Arial"/>
                <w:sz w:val="16"/>
                <w:szCs w:val="16"/>
                <w:color w:val="auto"/>
              </w:rPr>
              <w:t>2,244</w:t>
            </w:r>
          </w:p>
        </w:tc>
        <w:tc>
          <w:tcPr>
            <w:tcW w:w="1180" w:type="dxa"/>
            <w:vAlign w:val="bottom"/>
            <w:shd w:val="clear" w:color="auto" w:fill="CFF0FC"/>
          </w:tcPr>
          <w:p>
            <w:pPr>
              <w:jc w:val="right"/>
              <w:ind w:right="879"/>
              <w:spacing w:after="0" w:line="183" w:lineRule="exact"/>
              <w:rPr>
                <w:sz w:val="20"/>
                <w:szCs w:val="20"/>
                <w:color w:val="auto"/>
              </w:rPr>
            </w:pPr>
            <w:r>
              <w:rPr>
                <w:rFonts w:ascii="Arial" w:cs="Arial" w:eastAsia="Arial" w:hAnsi="Arial"/>
                <w:sz w:val="16"/>
                <w:szCs w:val="16"/>
                <w:color w:val="auto"/>
              </w:rPr>
              <w:t>$</w:t>
            </w:r>
          </w:p>
        </w:tc>
        <w:tc>
          <w:tcPr>
            <w:tcW w:w="620" w:type="dxa"/>
            <w:vAlign w:val="bottom"/>
            <w:shd w:val="clear" w:color="auto" w:fill="CFF0FC"/>
          </w:tcPr>
          <w:p>
            <w:pPr>
              <w:jc w:val="right"/>
              <w:ind w:right="39"/>
              <w:spacing w:after="0" w:line="183" w:lineRule="exact"/>
              <w:rPr>
                <w:sz w:val="20"/>
                <w:szCs w:val="20"/>
                <w:color w:val="auto"/>
              </w:rPr>
            </w:pPr>
            <w:r>
              <w:rPr>
                <w:rFonts w:ascii="Arial" w:cs="Arial" w:eastAsia="Arial" w:hAnsi="Arial"/>
                <w:sz w:val="16"/>
                <w:szCs w:val="16"/>
                <w:color w:val="auto"/>
              </w:rPr>
              <w:t>2,078</w:t>
            </w:r>
          </w:p>
        </w:tc>
      </w:tr>
      <w:tr>
        <w:trPr>
          <w:trHeight w:val="189"/>
        </w:trPr>
        <w:tc>
          <w:tcPr>
            <w:tcW w:w="4860" w:type="dxa"/>
            <w:vAlign w:val="bottom"/>
          </w:tcPr>
          <w:p>
            <w:pPr>
              <w:spacing w:after="0"/>
              <w:rPr>
                <w:sz w:val="20"/>
                <w:szCs w:val="20"/>
                <w:color w:val="auto"/>
              </w:rPr>
            </w:pPr>
            <w:r>
              <w:rPr>
                <w:rFonts w:ascii="Arial" w:cs="Arial" w:eastAsia="Arial" w:hAnsi="Arial"/>
                <w:sz w:val="16"/>
                <w:szCs w:val="16"/>
                <w:color w:val="auto"/>
              </w:rPr>
              <w:t>General and administrative</w:t>
            </w:r>
          </w:p>
        </w:tc>
        <w:tc>
          <w:tcPr>
            <w:tcW w:w="2880" w:type="dxa"/>
            <w:vAlign w:val="bottom"/>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152</w:t>
            </w:r>
          </w:p>
        </w:tc>
        <w:tc>
          <w:tcPr>
            <w:tcW w:w="118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408</w:t>
            </w:r>
          </w:p>
        </w:tc>
      </w:tr>
      <w:tr>
        <w:trPr>
          <w:trHeight w:val="183"/>
        </w:trPr>
        <w:tc>
          <w:tcPr>
            <w:tcW w:w="4860" w:type="dxa"/>
            <w:vAlign w:val="bottom"/>
            <w:tcBorders>
              <w:bottom w:val="single" w:sz="8" w:color="auto"/>
            </w:tcBorders>
            <w:shd w:val="clear" w:color="auto" w:fill="CFF0FC"/>
          </w:tcPr>
          <w:p>
            <w:pPr>
              <w:ind w:left="140"/>
              <w:spacing w:after="0" w:line="183" w:lineRule="exact"/>
              <w:rPr>
                <w:sz w:val="20"/>
                <w:szCs w:val="20"/>
                <w:color w:val="auto"/>
              </w:rPr>
            </w:pPr>
            <w:r>
              <w:rPr>
                <w:rFonts w:ascii="Arial" w:cs="Arial" w:eastAsia="Arial" w:hAnsi="Arial"/>
                <w:sz w:val="16"/>
                <w:szCs w:val="16"/>
                <w:color w:val="auto"/>
              </w:rPr>
              <w:t>Total lease expense</w:t>
            </w:r>
          </w:p>
        </w:tc>
        <w:tc>
          <w:tcPr>
            <w:tcW w:w="3920" w:type="dxa"/>
            <w:vAlign w:val="bottom"/>
            <w:tcBorders>
              <w:bottom w:val="single" w:sz="8" w:color="auto"/>
            </w:tcBorders>
            <w:gridSpan w:val="2"/>
            <w:shd w:val="clear" w:color="auto" w:fill="CFF0FC"/>
          </w:tcPr>
          <w:p>
            <w:pPr>
              <w:jc w:val="right"/>
              <w:ind w:right="859"/>
              <w:spacing w:after="0" w:line="183" w:lineRule="exact"/>
              <w:rPr>
                <w:sz w:val="20"/>
                <w:szCs w:val="20"/>
                <w:color w:val="auto"/>
              </w:rPr>
            </w:pPr>
            <w:r>
              <w:rPr>
                <w:rFonts w:ascii="Arial" w:cs="Arial" w:eastAsia="Arial" w:hAnsi="Arial"/>
                <w:sz w:val="16"/>
                <w:szCs w:val="16"/>
                <w:color w:val="auto"/>
              </w:rPr>
              <w:t>$</w:t>
            </w:r>
          </w:p>
        </w:tc>
        <w:tc>
          <w:tcPr>
            <w:tcW w:w="660" w:type="dxa"/>
            <w:vAlign w:val="bottom"/>
            <w:tcBorders>
              <w:bottom w:val="single" w:sz="8" w:color="auto"/>
            </w:tcBorders>
            <w:shd w:val="clear" w:color="auto" w:fill="CFF0FC"/>
          </w:tcPr>
          <w:p>
            <w:pPr>
              <w:jc w:val="right"/>
              <w:ind w:right="79"/>
              <w:spacing w:after="0" w:line="183" w:lineRule="exact"/>
              <w:rPr>
                <w:sz w:val="20"/>
                <w:szCs w:val="20"/>
                <w:color w:val="auto"/>
              </w:rPr>
            </w:pPr>
            <w:r>
              <w:rPr>
                <w:rFonts w:ascii="Arial" w:cs="Arial" w:eastAsia="Arial" w:hAnsi="Arial"/>
                <w:sz w:val="16"/>
                <w:szCs w:val="16"/>
                <w:color w:val="auto"/>
              </w:rPr>
              <w:t>2,396</w:t>
            </w:r>
          </w:p>
        </w:tc>
        <w:tc>
          <w:tcPr>
            <w:tcW w:w="1180" w:type="dxa"/>
            <w:vAlign w:val="bottom"/>
            <w:tcBorders>
              <w:bottom w:val="single" w:sz="8" w:color="auto"/>
            </w:tcBorders>
            <w:shd w:val="clear" w:color="auto" w:fill="CFF0FC"/>
          </w:tcPr>
          <w:p>
            <w:pPr>
              <w:jc w:val="right"/>
              <w:ind w:right="879"/>
              <w:spacing w:after="0" w:line="183" w:lineRule="exact"/>
              <w:rPr>
                <w:sz w:val="20"/>
                <w:szCs w:val="20"/>
                <w:color w:val="auto"/>
              </w:rPr>
            </w:pPr>
            <w:r>
              <w:rPr>
                <w:rFonts w:ascii="Arial" w:cs="Arial" w:eastAsia="Arial" w:hAnsi="Arial"/>
                <w:sz w:val="16"/>
                <w:szCs w:val="16"/>
                <w:color w:val="auto"/>
              </w:rPr>
              <w:t>$</w:t>
            </w:r>
          </w:p>
        </w:tc>
        <w:tc>
          <w:tcPr>
            <w:tcW w:w="620" w:type="dxa"/>
            <w:vAlign w:val="bottom"/>
            <w:tcBorders>
              <w:bottom w:val="single" w:sz="8" w:color="auto"/>
            </w:tcBorders>
            <w:shd w:val="clear" w:color="auto" w:fill="CFF0FC"/>
          </w:tcPr>
          <w:p>
            <w:pPr>
              <w:jc w:val="right"/>
              <w:ind w:right="39"/>
              <w:spacing w:after="0" w:line="183" w:lineRule="exact"/>
              <w:rPr>
                <w:sz w:val="20"/>
                <w:szCs w:val="20"/>
                <w:color w:val="auto"/>
              </w:rPr>
            </w:pPr>
            <w:r>
              <w:rPr>
                <w:rFonts w:ascii="Arial" w:cs="Arial" w:eastAsia="Arial" w:hAnsi="Arial"/>
                <w:sz w:val="16"/>
                <w:szCs w:val="16"/>
                <w:color w:val="auto"/>
              </w:rPr>
              <w:t>2,486</w:t>
            </w:r>
          </w:p>
        </w:tc>
      </w:tr>
    </w:tbl>
    <w:p>
      <w:pPr>
        <w:spacing w:after="0" w:line="89" w:lineRule="exact"/>
        <w:rPr>
          <w:sz w:val="20"/>
          <w:szCs w:val="20"/>
          <w:color w:val="auto"/>
        </w:rPr>
      </w:pPr>
    </w:p>
    <w:p>
      <w:pPr>
        <w:spacing w:after="0"/>
        <w:rPr>
          <w:sz w:val="20"/>
          <w:szCs w:val="20"/>
          <w:color w:val="auto"/>
        </w:rPr>
      </w:pPr>
      <w:r>
        <w:rPr>
          <w:rFonts w:ascii="Arial" w:cs="Arial" w:eastAsia="Arial" w:hAnsi="Arial"/>
          <w:sz w:val="18"/>
          <w:szCs w:val="18"/>
          <w:color w:val="auto"/>
        </w:rPr>
        <w:t>Short-term lease costs for the three months ended March 31, 2026 and 2025 were immaterial.</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color w:val="auto"/>
        </w:rPr>
        <w:t>The weighted average remaining lease term and discount rate related to the Company's leases are as follows:</w:t>
      </w:r>
    </w:p>
    <w:p>
      <w:pPr>
        <w:spacing w:after="0" w:line="102"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7600" w:type="dxa"/>
            <w:vAlign w:val="bottom"/>
            <w:tcBorders>
              <w:top w:val="single" w:sz="8" w:color="auto"/>
            </w:tcBorders>
          </w:tcPr>
          <w:p>
            <w:pPr>
              <w:spacing w:after="0"/>
              <w:rPr>
                <w:sz w:val="16"/>
                <w:szCs w:val="16"/>
                <w:color w:val="auto"/>
              </w:rPr>
            </w:pPr>
          </w:p>
        </w:tc>
        <w:tc>
          <w:tcPr>
            <w:tcW w:w="1280" w:type="dxa"/>
            <w:vAlign w:val="bottom"/>
            <w:tcBorders>
              <w:top w:val="single" w:sz="8" w:color="auto"/>
            </w:tcBorders>
          </w:tcPr>
          <w:p>
            <w:pPr>
              <w:jc w:val="center"/>
              <w:ind w:left="219"/>
              <w:spacing w:after="0"/>
              <w:rPr>
                <w:sz w:val="20"/>
                <w:szCs w:val="20"/>
                <w:color w:val="auto"/>
              </w:rPr>
            </w:pPr>
            <w:r>
              <w:rPr>
                <w:rFonts w:ascii="Arial" w:cs="Arial" w:eastAsia="Arial" w:hAnsi="Arial"/>
                <w:sz w:val="16"/>
                <w:szCs w:val="16"/>
                <w:b w:val="1"/>
                <w:bCs w:val="1"/>
                <w:color w:val="auto"/>
              </w:rPr>
              <w:t>March 31,</w:t>
            </w:r>
          </w:p>
        </w:tc>
        <w:tc>
          <w:tcPr>
            <w:tcW w:w="660" w:type="dxa"/>
            <w:vAlign w:val="bottom"/>
            <w:tcBorders>
              <w:top w:val="single" w:sz="8" w:color="auto"/>
            </w:tcBorders>
          </w:tcPr>
          <w:p>
            <w:pPr>
              <w:spacing w:after="0"/>
              <w:rPr>
                <w:sz w:val="16"/>
                <w:szCs w:val="16"/>
                <w:color w:val="auto"/>
              </w:rPr>
            </w:pPr>
          </w:p>
        </w:tc>
        <w:tc>
          <w:tcPr>
            <w:tcW w:w="1700" w:type="dxa"/>
            <w:vAlign w:val="bottom"/>
            <w:tcBorders>
              <w:top w:val="single" w:sz="8" w:color="auto"/>
            </w:tcBorders>
          </w:tcPr>
          <w:p>
            <w:pPr>
              <w:jc w:val="center"/>
              <w:ind w:right="159"/>
              <w:spacing w:after="0"/>
              <w:rPr>
                <w:sz w:val="20"/>
                <w:szCs w:val="20"/>
                <w:color w:val="auto"/>
              </w:rPr>
            </w:pPr>
            <w:r>
              <w:rPr>
                <w:rFonts w:ascii="Arial" w:cs="Arial" w:eastAsia="Arial" w:hAnsi="Arial"/>
                <w:sz w:val="16"/>
                <w:szCs w:val="16"/>
                <w:b w:val="1"/>
                <w:bCs w:val="1"/>
                <w:color w:val="auto"/>
              </w:rPr>
              <w:t>December 31,</w:t>
            </w:r>
          </w:p>
        </w:tc>
      </w:tr>
      <w:tr>
        <w:trPr>
          <w:trHeight w:val="203"/>
        </w:trPr>
        <w:tc>
          <w:tcPr>
            <w:tcW w:w="7600" w:type="dxa"/>
            <w:vAlign w:val="bottom"/>
          </w:tcPr>
          <w:p>
            <w:pPr>
              <w:spacing w:after="0"/>
              <w:rPr>
                <w:sz w:val="17"/>
                <w:szCs w:val="17"/>
                <w:color w:val="auto"/>
              </w:rPr>
            </w:pPr>
          </w:p>
        </w:tc>
        <w:tc>
          <w:tcPr>
            <w:tcW w:w="128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b w:val="1"/>
                <w:bCs w:val="1"/>
                <w:color w:val="auto"/>
              </w:rPr>
              <w:t>2026</w:t>
            </w:r>
          </w:p>
        </w:tc>
        <w:tc>
          <w:tcPr>
            <w:tcW w:w="660" w:type="dxa"/>
            <w:vAlign w:val="bottom"/>
            <w:tcBorders>
              <w:bottom w:val="single" w:sz="8" w:color="auto"/>
            </w:tcBorders>
          </w:tcPr>
          <w:p>
            <w:pPr>
              <w:spacing w:after="0"/>
              <w:rPr>
                <w:sz w:val="17"/>
                <w:szCs w:val="17"/>
                <w:color w:val="auto"/>
              </w:rPr>
            </w:pPr>
          </w:p>
        </w:tc>
        <w:tc>
          <w:tcPr>
            <w:tcW w:w="1700" w:type="dxa"/>
            <w:vAlign w:val="bottom"/>
            <w:tcBorders>
              <w:bottom w:val="single" w:sz="8" w:color="auto"/>
            </w:tcBorders>
          </w:tcPr>
          <w:p>
            <w:pPr>
              <w:jc w:val="right"/>
              <w:ind w:right="699"/>
              <w:spacing w:after="0"/>
              <w:rPr>
                <w:sz w:val="20"/>
                <w:szCs w:val="20"/>
                <w:color w:val="auto"/>
              </w:rPr>
            </w:pPr>
            <w:r>
              <w:rPr>
                <w:rFonts w:ascii="Arial" w:cs="Arial" w:eastAsia="Arial" w:hAnsi="Arial"/>
                <w:sz w:val="16"/>
                <w:szCs w:val="16"/>
                <w:b w:val="1"/>
                <w:bCs w:val="1"/>
                <w:color w:val="auto"/>
              </w:rPr>
              <w:t>2025</w:t>
            </w:r>
          </w:p>
        </w:tc>
      </w:tr>
      <w:tr>
        <w:trPr>
          <w:trHeight w:val="183"/>
        </w:trPr>
        <w:tc>
          <w:tcPr>
            <w:tcW w:w="8880" w:type="dxa"/>
            <w:vAlign w:val="bottom"/>
            <w:gridSpan w:val="2"/>
            <w:shd w:val="clear" w:color="auto" w:fill="CFF0FC"/>
          </w:tcPr>
          <w:p>
            <w:pPr>
              <w:spacing w:after="0" w:line="183" w:lineRule="exact"/>
              <w:rPr>
                <w:sz w:val="20"/>
                <w:szCs w:val="20"/>
                <w:color w:val="auto"/>
              </w:rPr>
            </w:pPr>
            <w:r>
              <w:rPr>
                <w:rFonts w:ascii="Arial" w:cs="Arial" w:eastAsia="Arial" w:hAnsi="Arial"/>
                <w:sz w:val="16"/>
                <w:szCs w:val="16"/>
                <w:color w:val="auto"/>
              </w:rPr>
              <w:t>Weighted average remaining lease term (years)</w:t>
            </w:r>
          </w:p>
        </w:tc>
        <w:tc>
          <w:tcPr>
            <w:tcW w:w="660" w:type="dxa"/>
            <w:vAlign w:val="bottom"/>
            <w:shd w:val="clear" w:color="auto" w:fill="CFF0FC"/>
          </w:tcPr>
          <w:p>
            <w:pPr>
              <w:ind w:left="120"/>
              <w:spacing w:after="0" w:line="183" w:lineRule="exact"/>
              <w:rPr>
                <w:sz w:val="20"/>
                <w:szCs w:val="20"/>
                <w:color w:val="auto"/>
              </w:rPr>
            </w:pPr>
            <w:r>
              <w:rPr>
                <w:rFonts w:ascii="Arial" w:cs="Arial" w:eastAsia="Arial" w:hAnsi="Arial"/>
                <w:sz w:val="16"/>
                <w:szCs w:val="16"/>
                <w:color w:val="auto"/>
              </w:rPr>
              <w:t>6.5</w:t>
            </w:r>
          </w:p>
        </w:tc>
        <w:tc>
          <w:tcPr>
            <w:tcW w:w="1700" w:type="dxa"/>
            <w:vAlign w:val="bottom"/>
            <w:shd w:val="clear" w:color="auto" w:fill="CFF0FC"/>
          </w:tcPr>
          <w:p>
            <w:pPr>
              <w:ind w:left="1320"/>
              <w:spacing w:after="0" w:line="183" w:lineRule="exact"/>
              <w:rPr>
                <w:sz w:val="20"/>
                <w:szCs w:val="20"/>
                <w:color w:val="auto"/>
              </w:rPr>
            </w:pPr>
            <w:r>
              <w:rPr>
                <w:rFonts w:ascii="Arial" w:cs="Arial" w:eastAsia="Arial" w:hAnsi="Arial"/>
                <w:sz w:val="16"/>
                <w:szCs w:val="16"/>
                <w:color w:val="auto"/>
              </w:rPr>
              <w:t>6.8</w:t>
            </w:r>
          </w:p>
        </w:tc>
      </w:tr>
      <w:tr>
        <w:trPr>
          <w:trHeight w:val="189"/>
        </w:trPr>
        <w:tc>
          <w:tcPr>
            <w:tcW w:w="8880" w:type="dxa"/>
            <w:vAlign w:val="bottom"/>
            <w:tcBorders>
              <w:bottom w:val="single" w:sz="8" w:color="auto"/>
            </w:tcBorders>
            <w:gridSpan w:val="2"/>
          </w:tcPr>
          <w:p>
            <w:pPr>
              <w:spacing w:after="0"/>
              <w:rPr>
                <w:sz w:val="20"/>
                <w:szCs w:val="20"/>
                <w:color w:val="auto"/>
              </w:rPr>
            </w:pPr>
            <w:r>
              <w:rPr>
                <w:rFonts w:ascii="Arial" w:cs="Arial" w:eastAsia="Arial" w:hAnsi="Arial"/>
                <w:sz w:val="16"/>
                <w:szCs w:val="16"/>
                <w:color w:val="auto"/>
              </w:rPr>
              <w:t>Weighted average discount rate</w:t>
            </w:r>
          </w:p>
        </w:tc>
        <w:tc>
          <w:tcPr>
            <w:tcW w:w="660" w:type="dxa"/>
            <w:vAlign w:val="bottom"/>
            <w:tcBorders>
              <w:bottom w:val="single" w:sz="8" w:color="auto"/>
            </w:tcBorders>
          </w:tcPr>
          <w:p>
            <w:pPr>
              <w:ind w:left="120"/>
              <w:spacing w:after="0"/>
              <w:rPr>
                <w:sz w:val="20"/>
                <w:szCs w:val="20"/>
                <w:color w:val="auto"/>
              </w:rPr>
            </w:pPr>
            <w:r>
              <w:rPr>
                <w:rFonts w:ascii="Arial" w:cs="Arial" w:eastAsia="Arial" w:hAnsi="Arial"/>
                <w:sz w:val="16"/>
                <w:szCs w:val="16"/>
                <w:color w:val="auto"/>
              </w:rPr>
              <w:t>9.8%</w:t>
            </w:r>
          </w:p>
        </w:tc>
        <w:tc>
          <w:tcPr>
            <w:tcW w:w="1700" w:type="dxa"/>
            <w:vAlign w:val="bottom"/>
            <w:tcBorders>
              <w:bottom w:val="single" w:sz="8" w:color="auto"/>
            </w:tcBorders>
          </w:tcPr>
          <w:p>
            <w:pPr>
              <w:ind w:left="1320"/>
              <w:spacing w:after="0"/>
              <w:rPr>
                <w:sz w:val="20"/>
                <w:szCs w:val="20"/>
                <w:color w:val="auto"/>
              </w:rPr>
            </w:pPr>
            <w:r>
              <w:rPr>
                <w:rFonts w:ascii="Arial" w:cs="Arial" w:eastAsia="Arial" w:hAnsi="Arial"/>
                <w:sz w:val="16"/>
                <w:szCs w:val="16"/>
                <w:color w:val="auto"/>
                <w:w w:val="98"/>
              </w:rPr>
              <w:t>9.9%</w:t>
            </w:r>
          </w:p>
        </w:tc>
      </w:tr>
      <w:tr>
        <w:trPr>
          <w:trHeight w:val="645"/>
        </w:trPr>
        <w:tc>
          <w:tcPr>
            <w:tcW w:w="7600" w:type="dxa"/>
            <w:vAlign w:val="bottom"/>
          </w:tcPr>
          <w:p>
            <w:pPr>
              <w:jc w:val="right"/>
              <w:ind w:right="1836"/>
              <w:spacing w:after="0"/>
              <w:rPr>
                <w:sz w:val="20"/>
                <w:szCs w:val="20"/>
                <w:color w:val="auto"/>
              </w:rPr>
            </w:pPr>
            <w:r>
              <w:rPr>
                <w:rFonts w:ascii="Arial" w:cs="Arial" w:eastAsia="Arial" w:hAnsi="Arial"/>
                <w:sz w:val="18"/>
                <w:szCs w:val="18"/>
                <w:color w:val="auto"/>
              </w:rPr>
              <w:t>8</w:t>
            </w:r>
          </w:p>
        </w:tc>
        <w:tc>
          <w:tcPr>
            <w:tcW w:w="12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700" w:type="dxa"/>
            <w:vAlign w:val="bottom"/>
          </w:tcPr>
          <w:p>
            <w:pPr>
              <w:spacing w:after="0"/>
              <w:rPr>
                <w:sz w:val="24"/>
                <w:szCs w:val="24"/>
                <w:color w:val="auto"/>
              </w:rPr>
            </w:pPr>
          </w:p>
        </w:tc>
      </w:tr>
      <w:tr>
        <w:trPr>
          <w:trHeight w:val="745"/>
        </w:trPr>
        <w:tc>
          <w:tcPr>
            <w:tcW w:w="7600" w:type="dxa"/>
            <w:vAlign w:val="bottom"/>
            <w:tcBorders>
              <w:bottom w:val="single" w:sz="8" w:color="9A9A9A"/>
            </w:tcBorders>
          </w:tcPr>
          <w:p>
            <w:pPr>
              <w:spacing w:after="0"/>
              <w:rPr>
                <w:sz w:val="24"/>
                <w:szCs w:val="24"/>
                <w:color w:val="auto"/>
              </w:rPr>
            </w:pPr>
          </w:p>
        </w:tc>
        <w:tc>
          <w:tcPr>
            <w:tcW w:w="1280" w:type="dxa"/>
            <w:vAlign w:val="bottom"/>
            <w:tcBorders>
              <w:bottom w:val="single" w:sz="8" w:color="9A9A9A"/>
            </w:tcBorders>
          </w:tcPr>
          <w:p>
            <w:pPr>
              <w:spacing w:after="0"/>
              <w:rPr>
                <w:sz w:val="24"/>
                <w:szCs w:val="24"/>
                <w:color w:val="auto"/>
              </w:rPr>
            </w:pPr>
          </w:p>
        </w:tc>
        <w:tc>
          <w:tcPr>
            <w:tcW w:w="660" w:type="dxa"/>
            <w:vAlign w:val="bottom"/>
            <w:tcBorders>
              <w:bottom w:val="single" w:sz="8" w:color="9A9A9A"/>
            </w:tcBorders>
          </w:tcPr>
          <w:p>
            <w:pPr>
              <w:spacing w:after="0"/>
              <w:rPr>
                <w:sz w:val="24"/>
                <w:szCs w:val="24"/>
                <w:color w:val="auto"/>
              </w:rPr>
            </w:pPr>
          </w:p>
        </w:tc>
        <w:tc>
          <w:tcPr>
            <w:tcW w:w="17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10" w:right="339" w:bottom="1440" w:gutter="0" w:footer="0" w:header="0"/>
        </w:sectPr>
      </w:pPr>
    </w:p>
    <w:bookmarkStart w:id="12" w:name="page13"/>
    <w:bookmarkEnd w:id="12"/>
    <w:p>
      <w:pPr>
        <w:ind w:right="120"/>
        <w:spacing w:after="0" w:line="271" w:lineRule="auto"/>
        <w:rPr>
          <w:sz w:val="20"/>
          <w:szCs w:val="20"/>
          <w:color w:val="auto"/>
        </w:rPr>
      </w:pPr>
      <w:r>
        <w:rPr>
          <w:rFonts w:ascii="Arial" w:cs="Arial" w:eastAsia="Arial" w:hAnsi="Arial"/>
          <w:sz w:val="18"/>
          <w:szCs w:val="18"/>
          <w:color w:val="auto"/>
        </w:rPr>
        <w:t>Supplemental cash flow information and other information relating to the Company's leases for the three months ended March 31, 2026 and 2025 is as follows (in thousands):</w:t>
      </w:r>
    </w:p>
    <w:p>
      <w:pPr>
        <w:spacing w:after="0" w:line="44"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6380" w:type="dxa"/>
            <w:vAlign w:val="bottom"/>
            <w:tcBorders>
              <w:top w:val="single" w:sz="8" w:color="auto"/>
            </w:tcBorders>
          </w:tcPr>
          <w:p>
            <w:pPr>
              <w:spacing w:after="0"/>
              <w:rPr>
                <w:sz w:val="16"/>
                <w:szCs w:val="16"/>
                <w:color w:val="auto"/>
              </w:rPr>
            </w:pPr>
          </w:p>
        </w:tc>
        <w:tc>
          <w:tcPr>
            <w:tcW w:w="1360" w:type="dxa"/>
            <w:vAlign w:val="bottom"/>
            <w:tcBorders>
              <w:top w:val="single" w:sz="8" w:color="auto"/>
            </w:tcBorders>
          </w:tcPr>
          <w:p>
            <w:pPr>
              <w:spacing w:after="0"/>
              <w:rPr>
                <w:sz w:val="16"/>
                <w:szCs w:val="16"/>
                <w:color w:val="auto"/>
              </w:rPr>
            </w:pPr>
          </w:p>
        </w:tc>
        <w:tc>
          <w:tcPr>
            <w:tcW w:w="340" w:type="dxa"/>
            <w:vAlign w:val="bottom"/>
            <w:tcBorders>
              <w:top w:val="single" w:sz="8" w:color="auto"/>
            </w:tcBorders>
          </w:tcPr>
          <w:p>
            <w:pPr>
              <w:spacing w:after="0"/>
              <w:rPr>
                <w:sz w:val="16"/>
                <w:szCs w:val="16"/>
                <w:color w:val="auto"/>
              </w:rPr>
            </w:pPr>
          </w:p>
        </w:tc>
        <w:tc>
          <w:tcPr>
            <w:tcW w:w="3160" w:type="dxa"/>
            <w:vAlign w:val="bottom"/>
            <w:tcBorders>
              <w:top w:val="single" w:sz="8" w:color="auto"/>
            </w:tcBorders>
            <w:gridSpan w:val="3"/>
          </w:tcPr>
          <w:p>
            <w:pPr>
              <w:jc w:val="right"/>
              <w:ind w:right="959"/>
              <w:spacing w:after="0"/>
              <w:rPr>
                <w:sz w:val="20"/>
                <w:szCs w:val="20"/>
                <w:color w:val="auto"/>
              </w:rPr>
            </w:pPr>
            <w:r>
              <w:rPr>
                <w:rFonts w:ascii="Arial" w:cs="Arial" w:eastAsia="Arial" w:hAnsi="Arial"/>
                <w:sz w:val="16"/>
                <w:szCs w:val="16"/>
                <w:b w:val="1"/>
                <w:bCs w:val="1"/>
                <w:color w:val="auto"/>
              </w:rPr>
              <w:t>Three months ended</w:t>
            </w:r>
          </w:p>
        </w:tc>
      </w:tr>
      <w:tr>
        <w:trPr>
          <w:trHeight w:val="203"/>
        </w:trPr>
        <w:tc>
          <w:tcPr>
            <w:tcW w:w="638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900" w:type="dxa"/>
            <w:vAlign w:val="bottom"/>
            <w:tcBorders>
              <w:bottom w:val="single" w:sz="8" w:color="auto"/>
            </w:tcBorders>
            <w:gridSpan w:val="2"/>
          </w:tcPr>
          <w:p>
            <w:pPr>
              <w:jc w:val="right"/>
              <w:ind w:right="99"/>
              <w:spacing w:after="0"/>
              <w:rPr>
                <w:sz w:val="20"/>
                <w:szCs w:val="20"/>
                <w:color w:val="auto"/>
              </w:rPr>
            </w:pPr>
            <w:r>
              <w:rPr>
                <w:rFonts w:ascii="Arial" w:cs="Arial" w:eastAsia="Arial" w:hAnsi="Arial"/>
                <w:sz w:val="16"/>
                <w:szCs w:val="16"/>
                <w:b w:val="1"/>
                <w:bCs w:val="1"/>
                <w:color w:val="auto"/>
              </w:rPr>
              <w:t>March 31,</w:t>
            </w:r>
          </w:p>
        </w:tc>
        <w:tc>
          <w:tcPr>
            <w:tcW w:w="1260" w:type="dxa"/>
            <w:vAlign w:val="bottom"/>
            <w:tcBorders>
              <w:bottom w:val="single" w:sz="8" w:color="auto"/>
            </w:tcBorders>
          </w:tcPr>
          <w:p>
            <w:pPr>
              <w:spacing w:after="0"/>
              <w:rPr>
                <w:sz w:val="17"/>
                <w:szCs w:val="17"/>
                <w:color w:val="auto"/>
              </w:rPr>
            </w:pPr>
          </w:p>
        </w:tc>
      </w:tr>
      <w:tr>
        <w:trPr>
          <w:trHeight w:val="183"/>
        </w:trPr>
        <w:tc>
          <w:tcPr>
            <w:tcW w:w="638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360" w:type="dxa"/>
            <w:vAlign w:val="bottom"/>
            <w:tcBorders>
              <w:bottom w:val="single" w:sz="8" w:color="auto"/>
            </w:tcBorders>
          </w:tcPr>
          <w:p>
            <w:pPr>
              <w:jc w:val="right"/>
              <w:ind w:right="659"/>
              <w:spacing w:after="0" w:line="183" w:lineRule="exact"/>
              <w:rPr>
                <w:sz w:val="20"/>
                <w:szCs w:val="20"/>
                <w:color w:val="auto"/>
              </w:rPr>
            </w:pPr>
            <w:r>
              <w:rPr>
                <w:rFonts w:ascii="Arial" w:cs="Arial" w:eastAsia="Arial" w:hAnsi="Arial"/>
                <w:sz w:val="16"/>
                <w:szCs w:val="16"/>
                <w:b w:val="1"/>
                <w:bCs w:val="1"/>
                <w:color w:val="auto"/>
              </w:rPr>
              <w:t>2026</w:t>
            </w:r>
          </w:p>
        </w:tc>
        <w:tc>
          <w:tcPr>
            <w:tcW w:w="54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tcPr>
          <w:p>
            <w:pPr>
              <w:jc w:val="right"/>
              <w:ind w:right="639"/>
              <w:spacing w:after="0" w:line="183" w:lineRule="exact"/>
              <w:rPr>
                <w:sz w:val="20"/>
                <w:szCs w:val="20"/>
                <w:color w:val="auto"/>
              </w:rPr>
            </w:pPr>
            <w:r>
              <w:rPr>
                <w:rFonts w:ascii="Arial" w:cs="Arial" w:eastAsia="Arial" w:hAnsi="Arial"/>
                <w:sz w:val="16"/>
                <w:szCs w:val="16"/>
                <w:b w:val="1"/>
                <w:bCs w:val="1"/>
                <w:color w:val="auto"/>
              </w:rPr>
              <w:t>2025</w:t>
            </w:r>
          </w:p>
        </w:tc>
      </w:tr>
      <w:tr>
        <w:trPr>
          <w:trHeight w:val="183"/>
        </w:trPr>
        <w:tc>
          <w:tcPr>
            <w:tcW w:w="6380" w:type="dxa"/>
            <w:vAlign w:val="bottom"/>
            <w:shd w:val="clear" w:color="auto" w:fill="CFF0FC"/>
          </w:tcPr>
          <w:p>
            <w:pPr>
              <w:spacing w:after="0" w:line="183" w:lineRule="exact"/>
              <w:rPr>
                <w:sz w:val="20"/>
                <w:szCs w:val="20"/>
                <w:color w:val="auto"/>
              </w:rPr>
            </w:pPr>
            <w:r>
              <w:rPr>
                <w:rFonts w:ascii="Arial" w:cs="Arial" w:eastAsia="Arial" w:hAnsi="Arial"/>
                <w:sz w:val="16"/>
                <w:szCs w:val="16"/>
                <w:color w:val="auto"/>
              </w:rPr>
              <w:t>Cash paid for amounts included in the measurement of lease liabilities</w:t>
            </w:r>
          </w:p>
        </w:tc>
        <w:tc>
          <w:tcPr>
            <w:tcW w:w="1700" w:type="dxa"/>
            <w:vAlign w:val="bottom"/>
            <w:gridSpan w:val="2"/>
            <w:shd w:val="clear" w:color="auto" w:fill="CFF0FC"/>
          </w:tcPr>
          <w:p>
            <w:pPr>
              <w:jc w:val="right"/>
              <w:ind w:right="240"/>
              <w:spacing w:after="0" w:line="183" w:lineRule="exact"/>
              <w:rPr>
                <w:sz w:val="20"/>
                <w:szCs w:val="20"/>
                <w:color w:val="auto"/>
              </w:rPr>
            </w:pPr>
            <w:r>
              <w:rPr>
                <w:rFonts w:ascii="Arial" w:cs="Arial" w:eastAsia="Arial" w:hAnsi="Arial"/>
                <w:sz w:val="16"/>
                <w:szCs w:val="16"/>
                <w:color w:val="auto"/>
              </w:rPr>
              <w:t>$</w:t>
            </w:r>
          </w:p>
        </w:tc>
        <w:tc>
          <w:tcPr>
            <w:tcW w:w="1360" w:type="dxa"/>
            <w:vAlign w:val="bottom"/>
            <w:shd w:val="clear" w:color="auto" w:fill="CFF0FC"/>
          </w:tcPr>
          <w:p>
            <w:pPr>
              <w:jc w:val="right"/>
              <w:ind w:right="79"/>
              <w:spacing w:after="0" w:line="183" w:lineRule="exact"/>
              <w:rPr>
                <w:sz w:val="20"/>
                <w:szCs w:val="20"/>
                <w:color w:val="auto"/>
              </w:rPr>
            </w:pPr>
            <w:r>
              <w:rPr>
                <w:rFonts w:ascii="Arial" w:cs="Arial" w:eastAsia="Arial" w:hAnsi="Arial"/>
                <w:sz w:val="16"/>
                <w:szCs w:val="16"/>
                <w:color w:val="auto"/>
              </w:rPr>
              <w:t>1,998</w:t>
            </w:r>
          </w:p>
        </w:tc>
        <w:tc>
          <w:tcPr>
            <w:tcW w:w="540" w:type="dxa"/>
            <w:vAlign w:val="bottom"/>
            <w:shd w:val="clear" w:color="auto" w:fill="CFF0FC"/>
          </w:tcPr>
          <w:p>
            <w:pPr>
              <w:jc w:val="right"/>
              <w:ind w:right="239"/>
              <w:spacing w:after="0" w:line="183" w:lineRule="exact"/>
              <w:rPr>
                <w:sz w:val="20"/>
                <w:szCs w:val="20"/>
                <w:color w:val="auto"/>
              </w:rPr>
            </w:pPr>
            <w:r>
              <w:rPr>
                <w:rFonts w:ascii="Arial" w:cs="Arial" w:eastAsia="Arial" w:hAnsi="Arial"/>
                <w:sz w:val="16"/>
                <w:szCs w:val="16"/>
                <w:color w:val="auto"/>
              </w:rPr>
              <w:t>$</w:t>
            </w:r>
          </w:p>
        </w:tc>
        <w:tc>
          <w:tcPr>
            <w:tcW w:w="1260" w:type="dxa"/>
            <w:vAlign w:val="bottom"/>
            <w:shd w:val="clear" w:color="auto" w:fill="CFF0FC"/>
          </w:tcPr>
          <w:p>
            <w:pPr>
              <w:jc w:val="right"/>
              <w:ind w:right="39"/>
              <w:spacing w:after="0" w:line="183" w:lineRule="exact"/>
              <w:rPr>
                <w:sz w:val="20"/>
                <w:szCs w:val="20"/>
                <w:color w:val="auto"/>
              </w:rPr>
            </w:pPr>
            <w:r>
              <w:rPr>
                <w:rFonts w:ascii="Arial" w:cs="Arial" w:eastAsia="Arial" w:hAnsi="Arial"/>
                <w:sz w:val="16"/>
                <w:szCs w:val="16"/>
                <w:color w:val="auto"/>
              </w:rPr>
              <w:t>908</w:t>
            </w:r>
          </w:p>
        </w:tc>
      </w:tr>
      <w:tr>
        <w:trPr>
          <w:trHeight w:val="189"/>
        </w:trPr>
        <w:tc>
          <w:tcPr>
            <w:tcW w:w="638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Amortization of ROU assets</w:t>
            </w:r>
          </w:p>
        </w:tc>
        <w:tc>
          <w:tcPr>
            <w:tcW w:w="1700" w:type="dxa"/>
            <w:vAlign w:val="bottom"/>
            <w:tcBorders>
              <w:bottom w:val="single" w:sz="8" w:color="auto"/>
            </w:tcBorders>
            <w:gridSpan w:val="2"/>
          </w:tcPr>
          <w:p>
            <w:pPr>
              <w:jc w:val="right"/>
              <w:ind w:right="240"/>
              <w:spacing w:after="0"/>
              <w:rPr>
                <w:sz w:val="20"/>
                <w:szCs w:val="20"/>
                <w:color w:val="auto"/>
              </w:rPr>
            </w:pPr>
            <w:r>
              <w:rPr>
                <w:rFonts w:ascii="Arial" w:cs="Arial" w:eastAsia="Arial" w:hAnsi="Arial"/>
                <w:sz w:val="16"/>
                <w:szCs w:val="16"/>
                <w:color w:val="auto"/>
              </w:rPr>
              <w:t>$</w:t>
            </w:r>
          </w:p>
        </w:tc>
        <w:tc>
          <w:tcPr>
            <w:tcW w:w="136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643</w:t>
            </w:r>
          </w:p>
        </w:tc>
        <w:tc>
          <w:tcPr>
            <w:tcW w:w="540" w:type="dxa"/>
            <w:vAlign w:val="bottom"/>
            <w:tcBorders>
              <w:bottom w:val="single" w:sz="8" w:color="auto"/>
            </w:tcBorders>
          </w:tcPr>
          <w:p>
            <w:pPr>
              <w:jc w:val="right"/>
              <w:ind w:right="239"/>
              <w:spacing w:after="0"/>
              <w:rPr>
                <w:sz w:val="20"/>
                <w:szCs w:val="20"/>
                <w:color w:val="auto"/>
              </w:rPr>
            </w:pPr>
            <w:r>
              <w:rPr>
                <w:rFonts w:ascii="Arial" w:cs="Arial" w:eastAsia="Arial" w:hAnsi="Arial"/>
                <w:sz w:val="16"/>
                <w:szCs w:val="16"/>
                <w:color w:val="auto"/>
              </w:rPr>
              <w:t>$</w:t>
            </w:r>
          </w:p>
        </w:tc>
        <w:tc>
          <w:tcPr>
            <w:tcW w:w="126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574</w:t>
            </w:r>
          </w:p>
        </w:tc>
      </w:tr>
    </w:tbl>
    <w:p>
      <w:pPr>
        <w:spacing w:after="0" w:line="89" w:lineRule="exact"/>
        <w:rPr>
          <w:sz w:val="20"/>
          <w:szCs w:val="20"/>
          <w:color w:val="auto"/>
        </w:rPr>
      </w:pPr>
    </w:p>
    <w:p>
      <w:pPr>
        <w:ind w:right="580"/>
        <w:spacing w:after="0" w:line="271" w:lineRule="auto"/>
        <w:rPr>
          <w:sz w:val="20"/>
          <w:szCs w:val="20"/>
          <w:color w:val="auto"/>
        </w:rPr>
      </w:pPr>
      <w:r>
        <w:rPr>
          <w:rFonts w:ascii="Arial" w:cs="Arial" w:eastAsia="Arial" w:hAnsi="Arial"/>
          <w:sz w:val="18"/>
          <w:szCs w:val="18"/>
          <w:color w:val="auto"/>
        </w:rPr>
        <w:t>Future minimum lease payments under non-cancelable leases as of March 31, 2026 for each of the years ending December 31 are as follows (in thousands):</w:t>
      </w:r>
    </w:p>
    <w:p>
      <w:pPr>
        <w:spacing w:after="0" w:line="44"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924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6"/>
                <w:szCs w:val="16"/>
                <w:b w:val="1"/>
                <w:bCs w:val="1"/>
                <w:color w:val="auto"/>
              </w:rPr>
              <w:t>Undiscounted lease payments</w:t>
            </w:r>
          </w:p>
        </w:tc>
        <w:tc>
          <w:tcPr>
            <w:tcW w:w="720" w:type="dxa"/>
            <w:vAlign w:val="bottom"/>
            <w:tcBorders>
              <w:top w:val="single" w:sz="8" w:color="auto"/>
            </w:tcBorders>
            <w:shd w:val="clear" w:color="auto" w:fill="CFF0FC"/>
          </w:tcPr>
          <w:p>
            <w:pPr>
              <w:spacing w:after="0"/>
              <w:rPr>
                <w:sz w:val="17"/>
                <w:szCs w:val="17"/>
                <w:color w:val="auto"/>
              </w:rPr>
            </w:pPr>
          </w:p>
        </w:tc>
        <w:tc>
          <w:tcPr>
            <w:tcW w:w="1280" w:type="dxa"/>
            <w:vAlign w:val="bottom"/>
            <w:tcBorders>
              <w:top w:val="single" w:sz="8" w:color="auto"/>
            </w:tcBorders>
            <w:shd w:val="clear" w:color="auto" w:fill="CFF0FC"/>
          </w:tcPr>
          <w:p>
            <w:pPr>
              <w:spacing w:after="0"/>
              <w:rPr>
                <w:sz w:val="17"/>
                <w:szCs w:val="17"/>
                <w:color w:val="auto"/>
              </w:rPr>
            </w:pPr>
          </w:p>
        </w:tc>
      </w:tr>
      <w:tr>
        <w:trPr>
          <w:trHeight w:val="189"/>
        </w:trPr>
        <w:tc>
          <w:tcPr>
            <w:tcW w:w="9240" w:type="dxa"/>
            <w:vAlign w:val="bottom"/>
          </w:tcPr>
          <w:p>
            <w:pPr>
              <w:ind w:left="180"/>
              <w:spacing w:after="0"/>
              <w:rPr>
                <w:sz w:val="20"/>
                <w:szCs w:val="20"/>
                <w:color w:val="auto"/>
              </w:rPr>
            </w:pPr>
            <w:r>
              <w:rPr>
                <w:rFonts w:ascii="Arial" w:cs="Arial" w:eastAsia="Arial" w:hAnsi="Arial"/>
                <w:sz w:val="16"/>
                <w:szCs w:val="16"/>
                <w:color w:val="auto"/>
              </w:rPr>
              <w:t>2026</w:t>
            </w:r>
          </w:p>
        </w:tc>
        <w:tc>
          <w:tcPr>
            <w:tcW w:w="720" w:type="dxa"/>
            <w:vAlign w:val="bottom"/>
          </w:tcPr>
          <w:p>
            <w:pPr>
              <w:jc w:val="right"/>
              <w:ind w:right="539"/>
              <w:spacing w:after="0"/>
              <w:rPr>
                <w:sz w:val="20"/>
                <w:szCs w:val="20"/>
                <w:color w:val="auto"/>
              </w:rPr>
            </w:pPr>
            <w:r>
              <w:rPr>
                <w:rFonts w:ascii="Arial" w:cs="Arial" w:eastAsia="Arial" w:hAnsi="Arial"/>
                <w:sz w:val="16"/>
                <w:szCs w:val="16"/>
                <w:color w:val="auto"/>
                <w:w w:val="89"/>
              </w:rPr>
              <w:t>$</w:t>
            </w:r>
          </w:p>
        </w:tc>
        <w:tc>
          <w:tcPr>
            <w:tcW w:w="1280" w:type="dxa"/>
            <w:vAlign w:val="bottom"/>
          </w:tcPr>
          <w:p>
            <w:pPr>
              <w:jc w:val="right"/>
              <w:ind w:right="39"/>
              <w:spacing w:after="0"/>
              <w:rPr>
                <w:sz w:val="20"/>
                <w:szCs w:val="20"/>
                <w:color w:val="auto"/>
              </w:rPr>
            </w:pPr>
            <w:r>
              <w:rPr>
                <w:rFonts w:ascii="Arial" w:cs="Arial" w:eastAsia="Arial" w:hAnsi="Arial"/>
                <w:sz w:val="16"/>
                <w:szCs w:val="16"/>
                <w:color w:val="auto"/>
              </w:rPr>
              <w:t>5,992</w:t>
            </w:r>
          </w:p>
        </w:tc>
      </w:tr>
      <w:tr>
        <w:trPr>
          <w:trHeight w:val="189"/>
        </w:trPr>
        <w:tc>
          <w:tcPr>
            <w:tcW w:w="9240" w:type="dxa"/>
            <w:vAlign w:val="bottom"/>
            <w:shd w:val="clear" w:color="auto" w:fill="CFF0FC"/>
          </w:tcPr>
          <w:p>
            <w:pPr>
              <w:ind w:left="180"/>
              <w:spacing w:after="0"/>
              <w:rPr>
                <w:sz w:val="20"/>
                <w:szCs w:val="20"/>
                <w:color w:val="auto"/>
              </w:rPr>
            </w:pPr>
            <w:r>
              <w:rPr>
                <w:rFonts w:ascii="Arial" w:cs="Arial" w:eastAsia="Arial" w:hAnsi="Arial"/>
                <w:sz w:val="16"/>
                <w:szCs w:val="16"/>
                <w:color w:val="auto"/>
              </w:rPr>
              <w:t>2027</w:t>
            </w:r>
          </w:p>
        </w:tc>
        <w:tc>
          <w:tcPr>
            <w:tcW w:w="720" w:type="dxa"/>
            <w:vAlign w:val="bottom"/>
            <w:shd w:val="clear" w:color="auto" w:fill="CFF0FC"/>
          </w:tcPr>
          <w:p>
            <w:pPr>
              <w:spacing w:after="0"/>
              <w:rPr>
                <w:sz w:val="16"/>
                <w:szCs w:val="16"/>
                <w:color w:val="auto"/>
              </w:rPr>
            </w:pPr>
          </w:p>
        </w:tc>
        <w:tc>
          <w:tcPr>
            <w:tcW w:w="128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8,208</w:t>
            </w:r>
          </w:p>
        </w:tc>
      </w:tr>
      <w:tr>
        <w:trPr>
          <w:trHeight w:val="189"/>
        </w:trPr>
        <w:tc>
          <w:tcPr>
            <w:tcW w:w="9240" w:type="dxa"/>
            <w:vAlign w:val="bottom"/>
          </w:tcPr>
          <w:p>
            <w:pPr>
              <w:ind w:left="180"/>
              <w:spacing w:after="0"/>
              <w:rPr>
                <w:sz w:val="20"/>
                <w:szCs w:val="20"/>
                <w:color w:val="auto"/>
              </w:rPr>
            </w:pPr>
            <w:r>
              <w:rPr>
                <w:rFonts w:ascii="Arial" w:cs="Arial" w:eastAsia="Arial" w:hAnsi="Arial"/>
                <w:sz w:val="16"/>
                <w:szCs w:val="16"/>
                <w:color w:val="auto"/>
              </w:rPr>
              <w:t>2028</w:t>
            </w:r>
          </w:p>
        </w:tc>
        <w:tc>
          <w:tcPr>
            <w:tcW w:w="720" w:type="dxa"/>
            <w:vAlign w:val="bottom"/>
          </w:tcPr>
          <w:p>
            <w:pPr>
              <w:spacing w:after="0"/>
              <w:rPr>
                <w:sz w:val="16"/>
                <w:szCs w:val="16"/>
                <w:color w:val="auto"/>
              </w:rPr>
            </w:pPr>
          </w:p>
        </w:tc>
        <w:tc>
          <w:tcPr>
            <w:tcW w:w="1280" w:type="dxa"/>
            <w:vAlign w:val="bottom"/>
          </w:tcPr>
          <w:p>
            <w:pPr>
              <w:jc w:val="right"/>
              <w:ind w:right="39"/>
              <w:spacing w:after="0"/>
              <w:rPr>
                <w:sz w:val="20"/>
                <w:szCs w:val="20"/>
                <w:color w:val="auto"/>
              </w:rPr>
            </w:pPr>
            <w:r>
              <w:rPr>
                <w:rFonts w:ascii="Arial" w:cs="Arial" w:eastAsia="Arial" w:hAnsi="Arial"/>
                <w:sz w:val="16"/>
                <w:szCs w:val="16"/>
                <w:color w:val="auto"/>
              </w:rPr>
              <w:t>7,894</w:t>
            </w:r>
          </w:p>
        </w:tc>
      </w:tr>
      <w:tr>
        <w:trPr>
          <w:trHeight w:val="189"/>
        </w:trPr>
        <w:tc>
          <w:tcPr>
            <w:tcW w:w="9240" w:type="dxa"/>
            <w:vAlign w:val="bottom"/>
            <w:shd w:val="clear" w:color="auto" w:fill="CFF0FC"/>
          </w:tcPr>
          <w:p>
            <w:pPr>
              <w:ind w:left="180"/>
              <w:spacing w:after="0"/>
              <w:rPr>
                <w:sz w:val="20"/>
                <w:szCs w:val="20"/>
                <w:color w:val="auto"/>
              </w:rPr>
            </w:pPr>
            <w:r>
              <w:rPr>
                <w:rFonts w:ascii="Arial" w:cs="Arial" w:eastAsia="Arial" w:hAnsi="Arial"/>
                <w:sz w:val="16"/>
                <w:szCs w:val="16"/>
                <w:color w:val="auto"/>
              </w:rPr>
              <w:t>2029</w:t>
            </w:r>
          </w:p>
        </w:tc>
        <w:tc>
          <w:tcPr>
            <w:tcW w:w="720" w:type="dxa"/>
            <w:vAlign w:val="bottom"/>
            <w:shd w:val="clear" w:color="auto" w:fill="CFF0FC"/>
          </w:tcPr>
          <w:p>
            <w:pPr>
              <w:spacing w:after="0"/>
              <w:rPr>
                <w:sz w:val="16"/>
                <w:szCs w:val="16"/>
                <w:color w:val="auto"/>
              </w:rPr>
            </w:pPr>
          </w:p>
        </w:tc>
        <w:tc>
          <w:tcPr>
            <w:tcW w:w="128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7,575</w:t>
            </w:r>
          </w:p>
        </w:tc>
      </w:tr>
      <w:tr>
        <w:trPr>
          <w:trHeight w:val="189"/>
        </w:trPr>
        <w:tc>
          <w:tcPr>
            <w:tcW w:w="9240" w:type="dxa"/>
            <w:vAlign w:val="bottom"/>
          </w:tcPr>
          <w:p>
            <w:pPr>
              <w:ind w:left="180"/>
              <w:spacing w:after="0"/>
              <w:rPr>
                <w:sz w:val="20"/>
                <w:szCs w:val="20"/>
                <w:color w:val="auto"/>
              </w:rPr>
            </w:pPr>
            <w:r>
              <w:rPr>
                <w:rFonts w:ascii="Arial" w:cs="Arial" w:eastAsia="Arial" w:hAnsi="Arial"/>
                <w:sz w:val="16"/>
                <w:szCs w:val="16"/>
                <w:color w:val="auto"/>
              </w:rPr>
              <w:t>2030</w:t>
            </w:r>
          </w:p>
        </w:tc>
        <w:tc>
          <w:tcPr>
            <w:tcW w:w="720" w:type="dxa"/>
            <w:vAlign w:val="bottom"/>
          </w:tcPr>
          <w:p>
            <w:pPr>
              <w:spacing w:after="0"/>
              <w:rPr>
                <w:sz w:val="16"/>
                <w:szCs w:val="16"/>
                <w:color w:val="auto"/>
              </w:rPr>
            </w:pPr>
          </w:p>
        </w:tc>
        <w:tc>
          <w:tcPr>
            <w:tcW w:w="1280" w:type="dxa"/>
            <w:vAlign w:val="bottom"/>
          </w:tcPr>
          <w:p>
            <w:pPr>
              <w:jc w:val="right"/>
              <w:ind w:right="39"/>
              <w:spacing w:after="0"/>
              <w:rPr>
                <w:sz w:val="20"/>
                <w:szCs w:val="20"/>
                <w:color w:val="auto"/>
              </w:rPr>
            </w:pPr>
            <w:r>
              <w:rPr>
                <w:rFonts w:ascii="Arial" w:cs="Arial" w:eastAsia="Arial" w:hAnsi="Arial"/>
                <w:sz w:val="16"/>
                <w:szCs w:val="16"/>
                <w:color w:val="auto"/>
              </w:rPr>
              <w:t>7,802</w:t>
            </w:r>
          </w:p>
        </w:tc>
      </w:tr>
      <w:tr>
        <w:trPr>
          <w:trHeight w:val="189"/>
        </w:trPr>
        <w:tc>
          <w:tcPr>
            <w:tcW w:w="9240" w:type="dxa"/>
            <w:vAlign w:val="bottom"/>
            <w:tcBorders>
              <w:bottom w:val="single" w:sz="8" w:color="CFF0FC"/>
            </w:tcBorders>
            <w:shd w:val="clear" w:color="auto" w:fill="CFF0FC"/>
          </w:tcPr>
          <w:p>
            <w:pPr>
              <w:ind w:left="180"/>
              <w:spacing w:after="0"/>
              <w:rPr>
                <w:sz w:val="20"/>
                <w:szCs w:val="20"/>
                <w:color w:val="auto"/>
              </w:rPr>
            </w:pPr>
            <w:r>
              <w:rPr>
                <w:rFonts w:ascii="Arial" w:cs="Arial" w:eastAsia="Arial" w:hAnsi="Arial"/>
                <w:sz w:val="16"/>
                <w:szCs w:val="16"/>
                <w:color w:val="auto"/>
              </w:rPr>
              <w:t>Thereafter</w:t>
            </w:r>
          </w:p>
        </w:tc>
        <w:tc>
          <w:tcPr>
            <w:tcW w:w="720" w:type="dxa"/>
            <w:vAlign w:val="bottom"/>
            <w:tcBorders>
              <w:bottom w:val="single" w:sz="8" w:color="auto"/>
            </w:tcBorders>
            <w:shd w:val="clear" w:color="auto" w:fill="CFF0FC"/>
          </w:tcPr>
          <w:p>
            <w:pPr>
              <w:spacing w:after="0"/>
              <w:rPr>
                <w:sz w:val="16"/>
                <w:szCs w:val="16"/>
                <w:color w:val="auto"/>
              </w:rPr>
            </w:pPr>
          </w:p>
        </w:tc>
        <w:tc>
          <w:tcPr>
            <w:tcW w:w="1280" w:type="dxa"/>
            <w:vAlign w:val="bottom"/>
            <w:tcBorders>
              <w:bottom w:val="single" w:sz="8" w:color="auto"/>
            </w:tcBorders>
            <w:shd w:val="clear" w:color="auto" w:fill="CFF0FC"/>
          </w:tcPr>
          <w:p>
            <w:pPr>
              <w:jc w:val="right"/>
              <w:ind w:right="39"/>
              <w:spacing w:after="0"/>
              <w:rPr>
                <w:sz w:val="20"/>
                <w:szCs w:val="20"/>
                <w:color w:val="auto"/>
              </w:rPr>
            </w:pPr>
            <w:r>
              <w:rPr>
                <w:rFonts w:ascii="Arial" w:cs="Arial" w:eastAsia="Arial" w:hAnsi="Arial"/>
                <w:sz w:val="16"/>
                <w:szCs w:val="16"/>
                <w:color w:val="auto"/>
              </w:rPr>
              <w:t>15,624</w:t>
            </w:r>
          </w:p>
        </w:tc>
      </w:tr>
      <w:tr>
        <w:trPr>
          <w:trHeight w:val="183"/>
        </w:trPr>
        <w:tc>
          <w:tcPr>
            <w:tcW w:w="9240" w:type="dxa"/>
            <w:vAlign w:val="bottom"/>
          </w:tcPr>
          <w:p>
            <w:pPr>
              <w:spacing w:after="0" w:line="183" w:lineRule="exact"/>
              <w:rPr>
                <w:sz w:val="20"/>
                <w:szCs w:val="20"/>
                <w:color w:val="auto"/>
              </w:rPr>
            </w:pPr>
            <w:r>
              <w:rPr>
                <w:rFonts w:ascii="Arial" w:cs="Arial" w:eastAsia="Arial" w:hAnsi="Arial"/>
                <w:sz w:val="16"/>
                <w:szCs w:val="16"/>
                <w:color w:val="auto"/>
              </w:rPr>
              <w:t>Total undiscounted minimum lease payments</w:t>
            </w:r>
          </w:p>
        </w:tc>
        <w:tc>
          <w:tcPr>
            <w:tcW w:w="720" w:type="dxa"/>
            <w:vAlign w:val="bottom"/>
          </w:tcPr>
          <w:p>
            <w:pPr>
              <w:spacing w:after="0"/>
              <w:rPr>
                <w:sz w:val="15"/>
                <w:szCs w:val="15"/>
                <w:color w:val="auto"/>
              </w:rPr>
            </w:pPr>
          </w:p>
        </w:tc>
        <w:tc>
          <w:tcPr>
            <w:tcW w:w="1280" w:type="dxa"/>
            <w:vAlign w:val="bottom"/>
          </w:tcPr>
          <w:p>
            <w:pPr>
              <w:jc w:val="right"/>
              <w:ind w:right="39"/>
              <w:spacing w:after="0" w:line="183" w:lineRule="exact"/>
              <w:rPr>
                <w:sz w:val="20"/>
                <w:szCs w:val="20"/>
                <w:color w:val="auto"/>
              </w:rPr>
            </w:pPr>
            <w:r>
              <w:rPr>
                <w:rFonts w:ascii="Arial" w:cs="Arial" w:eastAsia="Arial" w:hAnsi="Arial"/>
                <w:sz w:val="16"/>
                <w:szCs w:val="16"/>
                <w:color w:val="auto"/>
              </w:rPr>
              <w:t>53,095</w:t>
            </w:r>
          </w:p>
        </w:tc>
      </w:tr>
      <w:tr>
        <w:trPr>
          <w:trHeight w:val="189"/>
        </w:trPr>
        <w:tc>
          <w:tcPr>
            <w:tcW w:w="924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6"/>
                <w:szCs w:val="16"/>
                <w:color w:val="auto"/>
              </w:rPr>
              <w:t>Less: Imputed interest</w:t>
            </w:r>
          </w:p>
        </w:tc>
        <w:tc>
          <w:tcPr>
            <w:tcW w:w="720" w:type="dxa"/>
            <w:vAlign w:val="bottom"/>
            <w:tcBorders>
              <w:bottom w:val="single" w:sz="8" w:color="auto"/>
            </w:tcBorders>
            <w:shd w:val="clear" w:color="auto" w:fill="CFF0FC"/>
          </w:tcPr>
          <w:p>
            <w:pPr>
              <w:spacing w:after="0"/>
              <w:rPr>
                <w:sz w:val="16"/>
                <w:szCs w:val="16"/>
                <w:color w:val="auto"/>
              </w:rPr>
            </w:pPr>
          </w:p>
        </w:tc>
        <w:tc>
          <w:tcPr>
            <w:tcW w:w="12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(14,031)</w:t>
            </w:r>
          </w:p>
        </w:tc>
      </w:tr>
      <w:tr>
        <w:trPr>
          <w:trHeight w:val="183"/>
        </w:trPr>
        <w:tc>
          <w:tcPr>
            <w:tcW w:w="9240" w:type="dxa"/>
            <w:vAlign w:val="bottom"/>
            <w:tcBorders>
              <w:bottom w:val="single" w:sz="8" w:color="auto"/>
            </w:tcBorders>
          </w:tcPr>
          <w:p>
            <w:pPr>
              <w:spacing w:after="0" w:line="183" w:lineRule="exact"/>
              <w:rPr>
                <w:sz w:val="20"/>
                <w:szCs w:val="20"/>
                <w:color w:val="auto"/>
              </w:rPr>
            </w:pPr>
            <w:r>
              <w:rPr>
                <w:rFonts w:ascii="Arial" w:cs="Arial" w:eastAsia="Arial" w:hAnsi="Arial"/>
                <w:sz w:val="16"/>
                <w:szCs w:val="16"/>
                <w:color w:val="auto"/>
              </w:rPr>
              <w:t>Total operating lease liability</w:t>
            </w:r>
          </w:p>
        </w:tc>
        <w:tc>
          <w:tcPr>
            <w:tcW w:w="720" w:type="dxa"/>
            <w:vAlign w:val="bottom"/>
            <w:tcBorders>
              <w:bottom w:val="single" w:sz="8" w:color="auto"/>
            </w:tcBorders>
          </w:tcPr>
          <w:p>
            <w:pPr>
              <w:jc w:val="right"/>
              <w:ind w:right="539"/>
              <w:spacing w:after="0" w:line="183" w:lineRule="exact"/>
              <w:rPr>
                <w:sz w:val="20"/>
                <w:szCs w:val="20"/>
                <w:color w:val="auto"/>
              </w:rPr>
            </w:pPr>
            <w:r>
              <w:rPr>
                <w:rFonts w:ascii="Arial" w:cs="Arial" w:eastAsia="Arial" w:hAnsi="Arial"/>
                <w:sz w:val="16"/>
                <w:szCs w:val="16"/>
                <w:color w:val="auto"/>
                <w:w w:val="89"/>
              </w:rPr>
              <w:t>$</w:t>
            </w:r>
          </w:p>
        </w:tc>
        <w:tc>
          <w:tcPr>
            <w:tcW w:w="1280" w:type="dxa"/>
            <w:vAlign w:val="bottom"/>
            <w:tcBorders>
              <w:bottom w:val="single" w:sz="8" w:color="auto"/>
            </w:tcBorders>
          </w:tcPr>
          <w:p>
            <w:pPr>
              <w:jc w:val="right"/>
              <w:ind w:right="39"/>
              <w:spacing w:after="0" w:line="183" w:lineRule="exact"/>
              <w:rPr>
                <w:sz w:val="20"/>
                <w:szCs w:val="20"/>
                <w:color w:val="auto"/>
              </w:rPr>
            </w:pPr>
            <w:r>
              <w:rPr>
                <w:rFonts w:ascii="Arial" w:cs="Arial" w:eastAsia="Arial" w:hAnsi="Arial"/>
                <w:sz w:val="16"/>
                <w:szCs w:val="16"/>
                <w:color w:val="auto"/>
              </w:rPr>
              <w:t>39,064</w:t>
            </w:r>
          </w:p>
        </w:tc>
      </w:tr>
    </w:tbl>
    <w:p>
      <w:pPr>
        <w:spacing w:after="0" w:line="29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8. Commitments and contingencies</w:t>
      </w:r>
    </w:p>
    <w:p>
      <w:pPr>
        <w:spacing w:after="0" w:line="1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Legal proceedings</w:t>
      </w:r>
    </w:p>
    <w:p>
      <w:pPr>
        <w:spacing w:after="0" w:line="102" w:lineRule="exact"/>
        <w:rPr>
          <w:sz w:val="20"/>
          <w:szCs w:val="20"/>
          <w:color w:val="auto"/>
        </w:rPr>
      </w:pPr>
    </w:p>
    <w:p>
      <w:pPr>
        <w:ind w:right="120"/>
        <w:spacing w:after="0" w:line="247" w:lineRule="auto"/>
        <w:rPr>
          <w:sz w:val="20"/>
          <w:szCs w:val="20"/>
          <w:color w:val="auto"/>
        </w:rPr>
      </w:pPr>
      <w:r>
        <w:rPr>
          <w:rFonts w:ascii="Arial" w:cs="Arial" w:eastAsia="Arial" w:hAnsi="Arial"/>
          <w:sz w:val="18"/>
          <w:szCs w:val="18"/>
          <w:color w:val="auto"/>
        </w:rPr>
        <w:t>From time to time, the Company may be subject to legal proceedings, claims and disputes that arise in the ordinary course of business. The Company accrues a liability for such matters when it is probable that future expenditures will be made and that such expenditures can be reasonably estimated. As of March 31, 2026, the Company is not a party to any litigation and does not have a contingency reserve established for any litigation liabilities.</w:t>
      </w:r>
    </w:p>
    <w:p>
      <w:pPr>
        <w:spacing w:after="0" w:line="16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9. Collaboration and license agreements</w:t>
      </w:r>
    </w:p>
    <w:p>
      <w:pPr>
        <w:spacing w:after="0" w:line="1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Roche collaboration and license agreement</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Description</w:t>
      </w:r>
    </w:p>
    <w:p>
      <w:pPr>
        <w:spacing w:after="0" w:line="102" w:lineRule="exact"/>
        <w:rPr>
          <w:sz w:val="20"/>
          <w:szCs w:val="20"/>
          <w:color w:val="auto"/>
        </w:rPr>
      </w:pPr>
    </w:p>
    <w:p>
      <w:pPr>
        <w:ind w:right="40"/>
        <w:spacing w:after="0" w:line="242" w:lineRule="auto"/>
        <w:rPr>
          <w:sz w:val="20"/>
          <w:szCs w:val="20"/>
          <w:color w:val="auto"/>
        </w:rPr>
      </w:pPr>
      <w:r>
        <w:rPr>
          <w:rFonts w:ascii="Arial" w:cs="Arial" w:eastAsia="Arial" w:hAnsi="Arial"/>
          <w:sz w:val="18"/>
          <w:szCs w:val="18"/>
          <w:color w:val="auto"/>
        </w:rPr>
        <w:t>In October 2023, Monte Rosa Therapeutics AG, a wholly-owned subsidiary of Monte Rosa Therapeutics, Inc, or the Company, entered into a collaboration and license agreement, or the Roche Agreement, with Roche. Pursuant to the Roche Agreement, the parties will seek to identify and develop molecular glue degraders, or MGDs, against cancer or neurological disease targets using the Company’s proprietary drug discovery engine for an initial set of targets in oncology and neuroscience selected by Roche, wherein a certain number of targets selected by Roche are for a limited time subject to replacement rights owned by Roche. The Company will lead preclinical discovery and research activities with Roche leading late preclinical and clinical development activities.</w:t>
      </w:r>
    </w:p>
    <w:p>
      <w:pPr>
        <w:spacing w:after="0" w:line="71" w:lineRule="exact"/>
        <w:rPr>
          <w:sz w:val="20"/>
          <w:szCs w:val="20"/>
          <w:color w:val="auto"/>
        </w:rPr>
      </w:pPr>
    </w:p>
    <w:p>
      <w:pPr>
        <w:ind w:right="120"/>
        <w:spacing w:after="0" w:line="253" w:lineRule="auto"/>
        <w:rPr>
          <w:sz w:val="20"/>
          <w:szCs w:val="20"/>
          <w:color w:val="auto"/>
        </w:rPr>
      </w:pPr>
      <w:r>
        <w:rPr>
          <w:rFonts w:ascii="Arial" w:cs="Arial" w:eastAsia="Arial" w:hAnsi="Arial"/>
          <w:sz w:val="18"/>
          <w:szCs w:val="18"/>
          <w:color w:val="auto"/>
        </w:rPr>
        <w:t>Under the Roche Agreement, Roche will have a worldwide, exclusive license under patents and know-how controlled by the Company to develop and commercialize products directed to applicable targets. The license exclusivity is subject to the Company’s retained rights solely to fulfill its obligations under the arrangement.</w:t>
      </w:r>
    </w:p>
    <w:p>
      <w:pPr>
        <w:spacing w:after="0" w:line="61" w:lineRule="exact"/>
        <w:rPr>
          <w:sz w:val="20"/>
          <w:szCs w:val="20"/>
          <w:color w:val="auto"/>
        </w:rPr>
      </w:pPr>
    </w:p>
    <w:p>
      <w:pPr>
        <w:spacing w:after="0"/>
        <w:rPr>
          <w:sz w:val="20"/>
          <w:szCs w:val="20"/>
          <w:color w:val="auto"/>
        </w:rPr>
      </w:pPr>
      <w:r>
        <w:rPr>
          <w:rFonts w:ascii="Arial" w:cs="Arial" w:eastAsia="Arial" w:hAnsi="Arial"/>
          <w:sz w:val="18"/>
          <w:szCs w:val="18"/>
          <w:color w:val="auto"/>
        </w:rPr>
        <w:t>The research collaboration activities governed by the Roche Agreement are overseen by a joint research committee.</w:t>
      </w:r>
    </w:p>
    <w:p>
      <w:pPr>
        <w:spacing w:after="0" w:line="104" w:lineRule="exact"/>
        <w:rPr>
          <w:sz w:val="20"/>
          <w:szCs w:val="20"/>
          <w:color w:val="auto"/>
        </w:rPr>
      </w:pPr>
    </w:p>
    <w:p>
      <w:pPr>
        <w:jc w:val="both"/>
        <w:ind w:right="20"/>
        <w:spacing w:after="0" w:line="253" w:lineRule="auto"/>
        <w:rPr>
          <w:sz w:val="20"/>
          <w:szCs w:val="20"/>
          <w:color w:val="auto"/>
        </w:rPr>
      </w:pPr>
      <w:r>
        <w:rPr>
          <w:rFonts w:ascii="Arial" w:cs="Arial" w:eastAsia="Arial" w:hAnsi="Arial"/>
          <w:sz w:val="18"/>
          <w:szCs w:val="18"/>
          <w:color w:val="auto"/>
        </w:rPr>
        <w:t>Unless earlier terminated, the Roche Agreement will remain in effect for each product licensed under the Roche Agreement until expiration of the royalty term for the applicable product. The parties have included termination provisions in the Roche Agreement, allowing termination of the Roche Agreement in its entirety, on a country-by-country or a target-by-target basis.</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Pricing</w:t>
      </w:r>
    </w:p>
    <w:p>
      <w:pPr>
        <w:spacing w:after="0" w:line="102" w:lineRule="exact"/>
        <w:rPr>
          <w:sz w:val="20"/>
          <w:szCs w:val="20"/>
          <w:color w:val="auto"/>
        </w:rPr>
      </w:pPr>
    </w:p>
    <w:p>
      <w:pPr>
        <w:ind w:right="100"/>
        <w:spacing w:after="0" w:line="244" w:lineRule="auto"/>
        <w:rPr>
          <w:sz w:val="20"/>
          <w:szCs w:val="20"/>
          <w:color w:val="auto"/>
        </w:rPr>
      </w:pPr>
      <w:r>
        <w:rPr>
          <w:rFonts w:ascii="Arial" w:cs="Arial" w:eastAsia="Arial" w:hAnsi="Arial"/>
          <w:sz w:val="18"/>
          <w:szCs w:val="18"/>
          <w:color w:val="auto"/>
        </w:rPr>
        <w:t>In November 2023, the Company received a $50.0 million non-refundable upfront payment for the initial set of targets. Pursuant to the terms of the Roche Agreement, the Company expects to be entitled to receive from Roche certain variable consideration including potential preclinical milestones up to $172 million, and potential clinical, commercial and sales milestones exceeding $2 billion. The Company is also eligible to receive tiered royalties ranging from high-single-digits to low-teens on any products that are commercialized by Roche as a result of the collaboration.</w:t>
      </w:r>
    </w:p>
    <w:p>
      <w:pPr>
        <w:spacing w:after="0" w:line="2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20" w:right="339" w:bottom="1440" w:gutter="0" w:footer="0" w:header="0"/>
        </w:sectPr>
      </w:pPr>
    </w:p>
    <w:bookmarkStart w:id="13" w:name="page14"/>
    <w:bookmarkEnd w:id="13"/>
    <w:p>
      <w:pPr>
        <w:jc w:val="both"/>
        <w:ind w:right="60"/>
        <w:spacing w:after="0" w:line="247" w:lineRule="auto"/>
        <w:rPr>
          <w:sz w:val="20"/>
          <w:szCs w:val="20"/>
          <w:color w:val="auto"/>
        </w:rPr>
      </w:pPr>
      <w:r>
        <w:rPr>
          <w:rFonts w:ascii="Arial" w:cs="Arial" w:eastAsia="Arial" w:hAnsi="Arial"/>
          <w:sz w:val="18"/>
          <w:szCs w:val="18"/>
          <w:color w:val="auto"/>
        </w:rPr>
        <w:t>To date through March 31, 2026, the Company has received $16.0 million related to Roche's decision to pay preclinical milestones and $3.0 million related to Roche's decision to exercise its option rights to replace certain targets for research and development services. The related payments are initially classified as deferred revenue in the accompanying condensed consolidated balance sheet and recognized in revenue as the related research and development services are performed.</w:t>
      </w:r>
    </w:p>
    <w:p>
      <w:pPr>
        <w:spacing w:after="0" w:line="6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Accounting</w:t>
      </w:r>
    </w:p>
    <w:p>
      <w:pPr>
        <w:spacing w:after="0" w:line="102" w:lineRule="exact"/>
        <w:rPr>
          <w:sz w:val="20"/>
          <w:szCs w:val="20"/>
          <w:color w:val="auto"/>
        </w:rPr>
      </w:pPr>
    </w:p>
    <w:p>
      <w:pPr>
        <w:ind w:right="460"/>
        <w:spacing w:after="0" w:line="271" w:lineRule="auto"/>
        <w:rPr>
          <w:sz w:val="20"/>
          <w:szCs w:val="20"/>
          <w:color w:val="auto"/>
        </w:rPr>
      </w:pPr>
      <w:r>
        <w:rPr>
          <w:rFonts w:ascii="Arial" w:cs="Arial" w:eastAsia="Arial" w:hAnsi="Arial"/>
          <w:sz w:val="18"/>
          <w:szCs w:val="18"/>
          <w:color w:val="auto"/>
        </w:rPr>
        <w:t xml:space="preserve">This agreement represents a transaction with a customer and therefore is accounted for under ASC 606, </w:t>
      </w:r>
      <w:r>
        <w:rPr>
          <w:rFonts w:ascii="Arial" w:cs="Arial" w:eastAsia="Arial" w:hAnsi="Arial"/>
          <w:sz w:val="18"/>
          <w:szCs w:val="18"/>
          <w:i w:val="1"/>
          <w:iCs w:val="1"/>
          <w:color w:val="auto"/>
        </w:rPr>
        <w:t>Revenue From Contracts With</w:t>
      </w:r>
      <w:r>
        <w:rPr>
          <w:rFonts w:ascii="Arial" w:cs="Arial" w:eastAsia="Arial" w:hAnsi="Arial"/>
          <w:sz w:val="18"/>
          <w:szCs w:val="18"/>
          <w:color w:val="auto"/>
        </w:rPr>
        <w:t xml:space="preserve"> </w:t>
      </w:r>
      <w:r>
        <w:rPr>
          <w:rFonts w:ascii="Arial" w:cs="Arial" w:eastAsia="Arial" w:hAnsi="Arial"/>
          <w:sz w:val="18"/>
          <w:szCs w:val="18"/>
          <w:i w:val="1"/>
          <w:iCs w:val="1"/>
          <w:color w:val="auto"/>
        </w:rPr>
        <w:t>Customers</w:t>
      </w:r>
      <w:r>
        <w:rPr>
          <w:rFonts w:ascii="Arial" w:cs="Arial" w:eastAsia="Arial" w:hAnsi="Arial"/>
          <w:sz w:val="18"/>
          <w:szCs w:val="18"/>
          <w:color w:val="auto"/>
        </w:rPr>
        <w:t>.</w:t>
      </w:r>
    </w:p>
    <w:p>
      <w:pPr>
        <w:spacing w:after="0" w:line="46" w:lineRule="exact"/>
        <w:rPr>
          <w:sz w:val="20"/>
          <w:szCs w:val="20"/>
          <w:color w:val="auto"/>
        </w:rPr>
      </w:pPr>
    </w:p>
    <w:p>
      <w:pPr>
        <w:ind w:right="100"/>
        <w:spacing w:after="0" w:line="242" w:lineRule="auto"/>
        <w:rPr>
          <w:sz w:val="20"/>
          <w:szCs w:val="20"/>
          <w:color w:val="auto"/>
        </w:rPr>
      </w:pPr>
      <w:r>
        <w:rPr>
          <w:rFonts w:ascii="Arial" w:cs="Arial" w:eastAsia="Arial" w:hAnsi="Arial"/>
          <w:sz w:val="18"/>
          <w:szCs w:val="18"/>
          <w:color w:val="auto"/>
        </w:rPr>
        <w:t>The Company determined that the development and commercialization licenses for each of the collaboration targets is neither capable of being distinct nor distinct within the context from the promised initial research services. In addition, the Company has determined that each target in the agreement is distinct from other targets because: (i) Roche can benefit from the license and research services for a given target on their own since the results related thereto can be evaluated discretely and (ii) the results of the research and development of each target does not affect either the Company’s ability to perform or Roche’s ability to assess the results for any other target. As such, the Company has identified certain performance obligations within the agreement as follows:</w:t>
      </w:r>
    </w:p>
    <w:p>
      <w:pPr>
        <w:spacing w:after="0" w:line="71" w:lineRule="exact"/>
        <w:rPr>
          <w:sz w:val="20"/>
          <w:szCs w:val="20"/>
          <w:color w:val="auto"/>
        </w:rPr>
      </w:pPr>
    </w:p>
    <w:p>
      <w:pPr>
        <w:ind w:left="520" w:hanging="512"/>
        <w:spacing w:after="0"/>
        <w:tabs>
          <w:tab w:leader="none" w:pos="520" w:val="left"/>
        </w:tabs>
        <w:numPr>
          <w:ilvl w:val="0"/>
          <w:numId w:val="5"/>
        </w:numPr>
        <w:rPr>
          <w:rFonts w:ascii="Times New Roman" w:cs="Times New Roman" w:eastAsia="Times New Roman" w:hAnsi="Times New Roman"/>
          <w:sz w:val="18"/>
          <w:szCs w:val="18"/>
          <w:color w:val="auto"/>
        </w:rPr>
      </w:pPr>
      <w:r>
        <w:rPr>
          <w:rFonts w:ascii="Arial" w:cs="Arial" w:eastAsia="Arial" w:hAnsi="Arial"/>
          <w:sz w:val="18"/>
          <w:szCs w:val="18"/>
          <w:color w:val="auto"/>
        </w:rPr>
        <w:t>Performance obligations for the research and development of initial targets; and</w:t>
      </w:r>
    </w:p>
    <w:p>
      <w:pPr>
        <w:spacing w:after="0" w:line="116"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5"/>
        </w:numPr>
        <w:rPr>
          <w:rFonts w:ascii="Times New Roman" w:cs="Times New Roman" w:eastAsia="Times New Roman" w:hAnsi="Times New Roman"/>
          <w:sz w:val="18"/>
          <w:szCs w:val="18"/>
          <w:color w:val="auto"/>
        </w:rPr>
      </w:pPr>
      <w:r>
        <w:rPr>
          <w:rFonts w:ascii="Arial" w:cs="Arial" w:eastAsia="Arial" w:hAnsi="Arial"/>
          <w:sz w:val="18"/>
          <w:szCs w:val="18"/>
          <w:color w:val="auto"/>
        </w:rPr>
        <w:t>Performance obligations for the research and development services related to Roche’s option to replace certain targets.</w:t>
      </w:r>
    </w:p>
    <w:p>
      <w:pPr>
        <w:spacing w:after="0" w:line="116" w:lineRule="exact"/>
        <w:rPr>
          <w:sz w:val="20"/>
          <w:szCs w:val="20"/>
          <w:color w:val="auto"/>
        </w:rPr>
      </w:pPr>
    </w:p>
    <w:p>
      <w:pPr>
        <w:ind w:right="20"/>
        <w:spacing w:after="0" w:line="247" w:lineRule="auto"/>
        <w:rPr>
          <w:sz w:val="20"/>
          <w:szCs w:val="20"/>
          <w:color w:val="auto"/>
        </w:rPr>
      </w:pPr>
      <w:r>
        <w:rPr>
          <w:rFonts w:ascii="Arial" w:cs="Arial" w:eastAsia="Arial" w:hAnsi="Arial"/>
          <w:sz w:val="18"/>
          <w:szCs w:val="18"/>
          <w:color w:val="auto"/>
        </w:rPr>
        <w:t>The total transaction price of the Roche Agreement is allocated to the performance obligations based on their relative standalone selling price. The Company developed the standalone selling price for the performance obligations included in the Roche Agreement by determining the total estimated costs to fulfill each performance obligation identified with the objective of determining the price at which it would sell such an item if it were to be sold regularly on a standalone basis. The allocated transaction price is recognized as revenue from collaboration agreements in one of two ways:</w:t>
      </w:r>
    </w:p>
    <w:p>
      <w:pPr>
        <w:spacing w:after="0" w:line="69" w:lineRule="exact"/>
        <w:rPr>
          <w:sz w:val="20"/>
          <w:szCs w:val="20"/>
          <w:color w:val="auto"/>
        </w:rPr>
      </w:pPr>
    </w:p>
    <w:p>
      <w:pPr>
        <w:ind w:left="520" w:hanging="512"/>
        <w:spacing w:after="0" w:line="261" w:lineRule="auto"/>
        <w:tabs>
          <w:tab w:leader="none" w:pos="520" w:val="left"/>
        </w:tabs>
        <w:numPr>
          <w:ilvl w:val="0"/>
          <w:numId w:val="6"/>
        </w:numPr>
        <w:rPr>
          <w:rFonts w:ascii="Times New Roman" w:cs="Times New Roman" w:eastAsia="Times New Roman" w:hAnsi="Times New Roman"/>
          <w:sz w:val="17"/>
          <w:szCs w:val="17"/>
          <w:color w:val="auto"/>
        </w:rPr>
      </w:pPr>
      <w:r>
        <w:rPr>
          <w:rFonts w:ascii="Arial" w:cs="Arial" w:eastAsia="Arial" w:hAnsi="Arial"/>
          <w:sz w:val="17"/>
          <w:szCs w:val="17"/>
          <w:color w:val="auto"/>
        </w:rPr>
        <w:t>Research and development of the initial targets: The Company recognizes the portion of the transaction price allocated to each of the research and development performance obligations as the research and development services are provided, using an input method, in proportion to costs incurred to date for each research development target as compared to total costs incurred and expected to be incurred in the future to satisfy the underlying obligation related to said research and development target. The transfer of control occurs over this period and, in management’s judgment, is the best measure of progress towards satisfying the performance obligation.</w:t>
      </w:r>
    </w:p>
    <w:p>
      <w:pPr>
        <w:spacing w:after="0" w:line="56" w:lineRule="exact"/>
        <w:rPr>
          <w:rFonts w:ascii="Times New Roman" w:cs="Times New Roman" w:eastAsia="Times New Roman" w:hAnsi="Times New Roman"/>
          <w:sz w:val="17"/>
          <w:szCs w:val="17"/>
          <w:color w:val="auto"/>
        </w:rPr>
      </w:pPr>
    </w:p>
    <w:p>
      <w:pPr>
        <w:ind w:left="520" w:right="60" w:hanging="512"/>
        <w:spacing w:after="0" w:line="243" w:lineRule="auto"/>
        <w:tabs>
          <w:tab w:leader="none" w:pos="520" w:val="left"/>
        </w:tabs>
        <w:numPr>
          <w:ilvl w:val="0"/>
          <w:numId w:val="6"/>
        </w:numPr>
        <w:rPr>
          <w:rFonts w:ascii="Times New Roman" w:cs="Times New Roman" w:eastAsia="Times New Roman" w:hAnsi="Times New Roman"/>
          <w:sz w:val="18"/>
          <w:szCs w:val="18"/>
          <w:color w:val="auto"/>
        </w:rPr>
      </w:pPr>
      <w:r>
        <w:rPr>
          <w:rFonts w:ascii="Arial" w:cs="Arial" w:eastAsia="Arial" w:hAnsi="Arial"/>
          <w:sz w:val="18"/>
          <w:szCs w:val="18"/>
          <w:color w:val="auto"/>
        </w:rPr>
        <w:t>Option rights to replace targets: The transaction price allocated to the replacement option rights, which are considered material rights, is deferred until the period that Roche elects to exercise or elects to not exercise its option right to license and commercialize the underlying research and development target. Upon Roche's exercise of a replacement option right, the Company will recognize the portion of the transaction price allocated using the input method described above. Any payments made to exercise replacement option rights will be added to the allocated value and recognized as the related services are performed.</w:t>
      </w:r>
    </w:p>
    <w:p>
      <w:pPr>
        <w:spacing w:after="0" w:line="72" w:lineRule="exact"/>
        <w:rPr>
          <w:sz w:val="20"/>
          <w:szCs w:val="20"/>
          <w:color w:val="auto"/>
        </w:rPr>
      </w:pPr>
    </w:p>
    <w:p>
      <w:pPr>
        <w:ind w:right="540"/>
        <w:spacing w:after="0" w:line="244" w:lineRule="auto"/>
        <w:rPr>
          <w:sz w:val="20"/>
          <w:szCs w:val="20"/>
          <w:color w:val="auto"/>
        </w:rPr>
      </w:pPr>
      <w:r>
        <w:rPr>
          <w:rFonts w:ascii="Arial" w:cs="Arial" w:eastAsia="Arial" w:hAnsi="Arial"/>
          <w:sz w:val="18"/>
          <w:szCs w:val="18"/>
          <w:color w:val="auto"/>
        </w:rPr>
        <w:t>To date through March 31, 2026, $48.0 million related to the Roche Agreement has been recognized as collaboration revenue in the condensed consolidated statements of operations and comprehensive loss. The remaining $21.0 million of the upfront payment and subsequent milestone and replacement target payments related to customer options are recorded as deferred revenue in the liabilities section of the condensed consolidated balance sheet, with $10.5 million included in current liabilities and $10.5 million included in non-current liabilities.</w:t>
      </w:r>
    </w:p>
    <w:p>
      <w:pPr>
        <w:spacing w:after="0" w:line="68"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the deferred revenue amounts allocated to the Roche Agreement performance obligations (in thousands):</w:t>
      </w:r>
    </w:p>
    <w:p>
      <w:pPr>
        <w:spacing w:after="0" w:line="102"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5720" w:type="dxa"/>
            <w:vAlign w:val="bottom"/>
            <w:tcBorders>
              <w:top w:val="single" w:sz="8" w:color="auto"/>
            </w:tcBorders>
          </w:tcPr>
          <w:p>
            <w:pPr>
              <w:spacing w:after="0"/>
              <w:rPr>
                <w:sz w:val="16"/>
                <w:szCs w:val="16"/>
                <w:color w:val="auto"/>
              </w:rPr>
            </w:pPr>
          </w:p>
        </w:tc>
        <w:tc>
          <w:tcPr>
            <w:tcW w:w="2020" w:type="dxa"/>
            <w:vAlign w:val="bottom"/>
            <w:tcBorders>
              <w:top w:val="single" w:sz="8" w:color="auto"/>
            </w:tcBorders>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1460" w:type="dxa"/>
            <w:vAlign w:val="bottom"/>
            <w:tcBorders>
              <w:top w:val="single" w:sz="8" w:color="auto"/>
            </w:tcBorders>
          </w:tcPr>
          <w:p>
            <w:pPr>
              <w:jc w:val="right"/>
              <w:ind w:right="479"/>
              <w:spacing w:after="0"/>
              <w:rPr>
                <w:sz w:val="20"/>
                <w:szCs w:val="20"/>
                <w:color w:val="auto"/>
              </w:rPr>
            </w:pPr>
            <w:r>
              <w:rPr>
                <w:rFonts w:ascii="Arial" w:cs="Arial" w:eastAsia="Arial" w:hAnsi="Arial"/>
                <w:sz w:val="16"/>
                <w:szCs w:val="16"/>
                <w:b w:val="1"/>
                <w:bCs w:val="1"/>
                <w:color w:val="auto"/>
              </w:rPr>
              <w:t>March 31,</w:t>
            </w:r>
          </w:p>
        </w:tc>
        <w:tc>
          <w:tcPr>
            <w:tcW w:w="300" w:type="dxa"/>
            <w:vAlign w:val="bottom"/>
            <w:tcBorders>
              <w:top w:val="single" w:sz="8" w:color="auto"/>
            </w:tcBorders>
          </w:tcPr>
          <w:p>
            <w:pPr>
              <w:spacing w:after="0"/>
              <w:rPr>
                <w:sz w:val="16"/>
                <w:szCs w:val="16"/>
                <w:color w:val="auto"/>
              </w:rPr>
            </w:pPr>
          </w:p>
        </w:tc>
        <w:tc>
          <w:tcPr>
            <w:tcW w:w="1500" w:type="dxa"/>
            <w:vAlign w:val="bottom"/>
            <w:tcBorders>
              <w:top w:val="single" w:sz="8" w:color="auto"/>
            </w:tcBorders>
          </w:tcPr>
          <w:p>
            <w:pPr>
              <w:jc w:val="right"/>
              <w:ind w:right="279"/>
              <w:spacing w:after="0"/>
              <w:rPr>
                <w:sz w:val="20"/>
                <w:szCs w:val="20"/>
                <w:color w:val="auto"/>
              </w:rPr>
            </w:pPr>
            <w:r>
              <w:rPr>
                <w:rFonts w:ascii="Arial" w:cs="Arial" w:eastAsia="Arial" w:hAnsi="Arial"/>
                <w:sz w:val="16"/>
                <w:szCs w:val="16"/>
                <w:b w:val="1"/>
                <w:bCs w:val="1"/>
                <w:color w:val="auto"/>
              </w:rPr>
              <w:t>December 31,</w:t>
            </w:r>
          </w:p>
        </w:tc>
      </w:tr>
      <w:tr>
        <w:trPr>
          <w:trHeight w:val="203"/>
        </w:trPr>
        <w:tc>
          <w:tcPr>
            <w:tcW w:w="5720" w:type="dxa"/>
            <w:vAlign w:val="bottom"/>
            <w:tcBorders>
              <w:bottom w:val="single" w:sz="8" w:color="auto"/>
            </w:tcBorders>
          </w:tcPr>
          <w:p>
            <w:pPr>
              <w:spacing w:after="0"/>
              <w:rPr>
                <w:sz w:val="17"/>
                <w:szCs w:val="17"/>
                <w:color w:val="auto"/>
              </w:rPr>
            </w:pPr>
          </w:p>
        </w:tc>
        <w:tc>
          <w:tcPr>
            <w:tcW w:w="2020" w:type="dxa"/>
            <w:vAlign w:val="bottom"/>
            <w:tcBorders>
              <w:bottom w:val="single" w:sz="8" w:color="auto"/>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460" w:type="dxa"/>
            <w:vAlign w:val="bottom"/>
            <w:tcBorders>
              <w:bottom w:val="single" w:sz="8" w:color="auto"/>
            </w:tcBorders>
          </w:tcPr>
          <w:p>
            <w:pPr>
              <w:jc w:val="right"/>
              <w:ind w:right="659"/>
              <w:spacing w:after="0"/>
              <w:rPr>
                <w:sz w:val="20"/>
                <w:szCs w:val="20"/>
                <w:color w:val="auto"/>
              </w:rPr>
            </w:pPr>
            <w:r>
              <w:rPr>
                <w:rFonts w:ascii="Arial" w:cs="Arial" w:eastAsia="Arial" w:hAnsi="Arial"/>
                <w:sz w:val="16"/>
                <w:szCs w:val="16"/>
                <w:b w:val="1"/>
                <w:bCs w:val="1"/>
                <w:color w:val="auto"/>
              </w:rPr>
              <w:t>2026</w:t>
            </w:r>
          </w:p>
        </w:tc>
        <w:tc>
          <w:tcPr>
            <w:tcW w:w="300" w:type="dxa"/>
            <w:vAlign w:val="bottom"/>
            <w:tcBorders>
              <w:bottom w:val="single" w:sz="8" w:color="auto"/>
            </w:tcBorders>
          </w:tcPr>
          <w:p>
            <w:pPr>
              <w:spacing w:after="0"/>
              <w:rPr>
                <w:sz w:val="17"/>
                <w:szCs w:val="17"/>
                <w:color w:val="auto"/>
              </w:rPr>
            </w:pPr>
          </w:p>
        </w:tc>
        <w:tc>
          <w:tcPr>
            <w:tcW w:w="1500" w:type="dxa"/>
            <w:vAlign w:val="bottom"/>
            <w:tcBorders>
              <w:bottom w:val="single" w:sz="8" w:color="auto"/>
            </w:tcBorders>
          </w:tcPr>
          <w:p>
            <w:pPr>
              <w:jc w:val="right"/>
              <w:ind w:right="639"/>
              <w:spacing w:after="0"/>
              <w:rPr>
                <w:sz w:val="20"/>
                <w:szCs w:val="20"/>
                <w:color w:val="auto"/>
              </w:rPr>
            </w:pPr>
            <w:r>
              <w:rPr>
                <w:rFonts w:ascii="Arial" w:cs="Arial" w:eastAsia="Arial" w:hAnsi="Arial"/>
                <w:sz w:val="16"/>
                <w:szCs w:val="16"/>
                <w:b w:val="1"/>
                <w:bCs w:val="1"/>
                <w:color w:val="auto"/>
              </w:rPr>
              <w:t>2025</w:t>
            </w:r>
          </w:p>
        </w:tc>
      </w:tr>
      <w:tr>
        <w:trPr>
          <w:trHeight w:val="183"/>
        </w:trPr>
        <w:tc>
          <w:tcPr>
            <w:tcW w:w="5720" w:type="dxa"/>
            <w:vAlign w:val="bottom"/>
            <w:shd w:val="clear" w:color="auto" w:fill="CFF0FC"/>
          </w:tcPr>
          <w:p>
            <w:pPr>
              <w:spacing w:after="0" w:line="183" w:lineRule="exact"/>
              <w:rPr>
                <w:sz w:val="20"/>
                <w:szCs w:val="20"/>
                <w:color w:val="auto"/>
              </w:rPr>
            </w:pPr>
            <w:r>
              <w:rPr>
                <w:rFonts w:ascii="Arial" w:cs="Arial" w:eastAsia="Arial" w:hAnsi="Arial"/>
                <w:sz w:val="16"/>
                <w:szCs w:val="16"/>
                <w:b w:val="1"/>
                <w:bCs w:val="1"/>
                <w:color w:val="auto"/>
              </w:rPr>
              <w:t>Roche Agreement performance obligations</w:t>
            </w:r>
          </w:p>
        </w:tc>
        <w:tc>
          <w:tcPr>
            <w:tcW w:w="202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1460" w:type="dxa"/>
            <w:vAlign w:val="bottom"/>
            <w:shd w:val="clear" w:color="auto" w:fill="CFF0FC"/>
          </w:tcPr>
          <w:p>
            <w:pPr>
              <w:spacing w:after="0"/>
              <w:rPr>
                <w:sz w:val="15"/>
                <w:szCs w:val="15"/>
                <w:color w:val="auto"/>
              </w:rPr>
            </w:pPr>
          </w:p>
        </w:tc>
        <w:tc>
          <w:tcPr>
            <w:tcW w:w="300" w:type="dxa"/>
            <w:vAlign w:val="bottom"/>
            <w:shd w:val="clear" w:color="auto" w:fill="CFF0FC"/>
          </w:tcPr>
          <w:p>
            <w:pPr>
              <w:spacing w:after="0"/>
              <w:rPr>
                <w:sz w:val="15"/>
                <w:szCs w:val="15"/>
                <w:color w:val="auto"/>
              </w:rPr>
            </w:pPr>
          </w:p>
        </w:tc>
        <w:tc>
          <w:tcPr>
            <w:tcW w:w="1500" w:type="dxa"/>
            <w:vAlign w:val="bottom"/>
            <w:shd w:val="clear" w:color="auto" w:fill="CFF0FC"/>
          </w:tcPr>
          <w:p>
            <w:pPr>
              <w:spacing w:after="0"/>
              <w:rPr>
                <w:sz w:val="15"/>
                <w:szCs w:val="15"/>
                <w:color w:val="auto"/>
              </w:rPr>
            </w:pPr>
          </w:p>
        </w:tc>
      </w:tr>
      <w:tr>
        <w:trPr>
          <w:trHeight w:val="189"/>
        </w:trPr>
        <w:tc>
          <w:tcPr>
            <w:tcW w:w="5720" w:type="dxa"/>
            <w:vAlign w:val="bottom"/>
          </w:tcPr>
          <w:p>
            <w:pPr>
              <w:spacing w:after="0"/>
              <w:rPr>
                <w:sz w:val="20"/>
                <w:szCs w:val="20"/>
                <w:color w:val="auto"/>
              </w:rPr>
            </w:pPr>
            <w:r>
              <w:rPr>
                <w:rFonts w:ascii="Arial" w:cs="Arial" w:eastAsia="Arial" w:hAnsi="Arial"/>
                <w:sz w:val="16"/>
                <w:szCs w:val="16"/>
                <w:color w:val="auto"/>
              </w:rPr>
              <w:t>Research and development of initial targets</w:t>
            </w:r>
          </w:p>
        </w:tc>
        <w:tc>
          <w:tcPr>
            <w:tcW w:w="226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1460" w:type="dxa"/>
            <w:vAlign w:val="bottom"/>
          </w:tcPr>
          <w:p>
            <w:pPr>
              <w:jc w:val="right"/>
              <w:ind w:right="79"/>
              <w:spacing w:after="0"/>
              <w:rPr>
                <w:sz w:val="20"/>
                <w:szCs w:val="20"/>
                <w:color w:val="auto"/>
              </w:rPr>
            </w:pPr>
            <w:r>
              <w:rPr>
                <w:rFonts w:ascii="Arial" w:cs="Arial" w:eastAsia="Arial" w:hAnsi="Arial"/>
                <w:sz w:val="16"/>
                <w:szCs w:val="16"/>
                <w:color w:val="auto"/>
              </w:rPr>
              <w:t>12,775</w:t>
            </w:r>
          </w:p>
        </w:tc>
        <w:tc>
          <w:tcPr>
            <w:tcW w:w="300" w:type="dxa"/>
            <w:vAlign w:val="bottom"/>
          </w:tcPr>
          <w:p>
            <w:pPr>
              <w:jc w:val="right"/>
              <w:spacing w:after="0"/>
              <w:rPr>
                <w:sz w:val="20"/>
                <w:szCs w:val="20"/>
                <w:color w:val="auto"/>
              </w:rPr>
            </w:pPr>
            <w:r>
              <w:rPr>
                <w:rFonts w:ascii="Arial" w:cs="Arial" w:eastAsia="Arial" w:hAnsi="Arial"/>
                <w:sz w:val="16"/>
                <w:szCs w:val="16"/>
                <w:color w:val="auto"/>
              </w:rPr>
              <w:t>$</w:t>
            </w:r>
          </w:p>
        </w:tc>
        <w:tc>
          <w:tcPr>
            <w:tcW w:w="1500" w:type="dxa"/>
            <w:vAlign w:val="bottom"/>
          </w:tcPr>
          <w:p>
            <w:pPr>
              <w:jc w:val="right"/>
              <w:ind w:right="39"/>
              <w:spacing w:after="0"/>
              <w:rPr>
                <w:sz w:val="20"/>
                <w:szCs w:val="20"/>
                <w:color w:val="auto"/>
              </w:rPr>
            </w:pPr>
            <w:r>
              <w:rPr>
                <w:rFonts w:ascii="Arial" w:cs="Arial" w:eastAsia="Arial" w:hAnsi="Arial"/>
                <w:sz w:val="16"/>
                <w:szCs w:val="16"/>
                <w:color w:val="auto"/>
              </w:rPr>
              <w:t>14,140</w:t>
            </w:r>
          </w:p>
        </w:tc>
      </w:tr>
      <w:tr>
        <w:trPr>
          <w:trHeight w:val="189"/>
        </w:trPr>
        <w:tc>
          <w:tcPr>
            <w:tcW w:w="572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6"/>
                <w:szCs w:val="16"/>
                <w:color w:val="auto"/>
              </w:rPr>
              <w:t>Research and development for replacement targets</w:t>
            </w:r>
          </w:p>
        </w:tc>
        <w:tc>
          <w:tcPr>
            <w:tcW w:w="2020" w:type="dxa"/>
            <w:vAlign w:val="bottom"/>
            <w:tcBorders>
              <w:bottom w:val="single" w:sz="8" w:color="CFF0FC"/>
            </w:tcBorders>
            <w:shd w:val="clear" w:color="auto" w:fill="CFF0FC"/>
          </w:tcPr>
          <w:p>
            <w:pPr>
              <w:spacing w:after="0"/>
              <w:rPr>
                <w:sz w:val="16"/>
                <w:szCs w:val="16"/>
                <w:color w:val="auto"/>
              </w:rPr>
            </w:pPr>
          </w:p>
        </w:tc>
        <w:tc>
          <w:tcPr>
            <w:tcW w:w="240" w:type="dxa"/>
            <w:vAlign w:val="bottom"/>
            <w:tcBorders>
              <w:bottom w:val="single" w:sz="8" w:color="auto"/>
            </w:tcBorders>
            <w:shd w:val="clear" w:color="auto" w:fill="CFF0FC"/>
          </w:tcPr>
          <w:p>
            <w:pPr>
              <w:spacing w:after="0"/>
              <w:rPr>
                <w:sz w:val="16"/>
                <w:szCs w:val="16"/>
                <w:color w:val="auto"/>
              </w:rPr>
            </w:pPr>
          </w:p>
        </w:tc>
        <w:tc>
          <w:tcPr>
            <w:tcW w:w="1460" w:type="dxa"/>
            <w:vAlign w:val="bottom"/>
            <w:tcBorders>
              <w:bottom w:val="single" w:sz="8" w:color="auto"/>
            </w:tcBorders>
            <w:shd w:val="clear" w:color="auto" w:fill="CFF0FC"/>
          </w:tcPr>
          <w:p>
            <w:pPr>
              <w:jc w:val="right"/>
              <w:ind w:right="79"/>
              <w:spacing w:after="0"/>
              <w:rPr>
                <w:sz w:val="20"/>
                <w:szCs w:val="20"/>
                <w:color w:val="auto"/>
              </w:rPr>
            </w:pPr>
            <w:r>
              <w:rPr>
                <w:rFonts w:ascii="Arial" w:cs="Arial" w:eastAsia="Arial" w:hAnsi="Arial"/>
                <w:sz w:val="16"/>
                <w:szCs w:val="16"/>
                <w:color w:val="auto"/>
              </w:rPr>
              <w:t>8,217</w:t>
            </w:r>
          </w:p>
        </w:tc>
        <w:tc>
          <w:tcPr>
            <w:tcW w:w="300" w:type="dxa"/>
            <w:vAlign w:val="bottom"/>
            <w:tcBorders>
              <w:bottom w:val="single" w:sz="8" w:color="auto"/>
            </w:tcBorders>
            <w:shd w:val="clear" w:color="auto" w:fill="CFF0FC"/>
          </w:tcPr>
          <w:p>
            <w:pPr>
              <w:spacing w:after="0"/>
              <w:rPr>
                <w:sz w:val="16"/>
                <w:szCs w:val="16"/>
                <w:color w:val="auto"/>
              </w:rPr>
            </w:pPr>
          </w:p>
        </w:tc>
        <w:tc>
          <w:tcPr>
            <w:tcW w:w="1500" w:type="dxa"/>
            <w:vAlign w:val="bottom"/>
            <w:tcBorders>
              <w:bottom w:val="single" w:sz="8" w:color="auto"/>
            </w:tcBorders>
            <w:shd w:val="clear" w:color="auto" w:fill="CFF0FC"/>
          </w:tcPr>
          <w:p>
            <w:pPr>
              <w:jc w:val="right"/>
              <w:ind w:right="39"/>
              <w:spacing w:after="0"/>
              <w:rPr>
                <w:sz w:val="20"/>
                <w:szCs w:val="20"/>
                <w:color w:val="auto"/>
              </w:rPr>
            </w:pPr>
            <w:r>
              <w:rPr>
                <w:rFonts w:ascii="Arial" w:cs="Arial" w:eastAsia="Arial" w:hAnsi="Arial"/>
                <w:sz w:val="16"/>
                <w:szCs w:val="16"/>
                <w:color w:val="auto"/>
              </w:rPr>
              <w:t>8,517</w:t>
            </w:r>
          </w:p>
        </w:tc>
      </w:tr>
      <w:tr>
        <w:trPr>
          <w:trHeight w:val="183"/>
        </w:trPr>
        <w:tc>
          <w:tcPr>
            <w:tcW w:w="5720" w:type="dxa"/>
            <w:vAlign w:val="bottom"/>
            <w:tcBorders>
              <w:bottom w:val="single" w:sz="8" w:color="auto"/>
            </w:tcBorders>
          </w:tcPr>
          <w:p>
            <w:pPr>
              <w:spacing w:after="0" w:line="183" w:lineRule="exact"/>
              <w:rPr>
                <w:sz w:val="20"/>
                <w:szCs w:val="20"/>
                <w:color w:val="auto"/>
              </w:rPr>
            </w:pPr>
            <w:r>
              <w:rPr>
                <w:rFonts w:ascii="Arial" w:cs="Arial" w:eastAsia="Arial" w:hAnsi="Arial"/>
                <w:sz w:val="16"/>
                <w:szCs w:val="16"/>
                <w:color w:val="auto"/>
              </w:rPr>
              <w:t>Total Roche Agreement deferred revenue</w:t>
            </w:r>
          </w:p>
        </w:tc>
        <w:tc>
          <w:tcPr>
            <w:tcW w:w="2260" w:type="dxa"/>
            <w:vAlign w:val="bottom"/>
            <w:tcBorders>
              <w:bottom w:val="single" w:sz="8" w:color="auto"/>
            </w:tcBorders>
            <w:gridSpan w:val="2"/>
          </w:tcPr>
          <w:p>
            <w:pPr>
              <w:jc w:val="right"/>
              <w:ind w:right="140"/>
              <w:spacing w:after="0" w:line="183" w:lineRule="exact"/>
              <w:rPr>
                <w:sz w:val="20"/>
                <w:szCs w:val="20"/>
                <w:color w:val="auto"/>
              </w:rPr>
            </w:pPr>
            <w:r>
              <w:rPr>
                <w:rFonts w:ascii="Arial" w:cs="Arial" w:eastAsia="Arial" w:hAnsi="Arial"/>
                <w:sz w:val="16"/>
                <w:szCs w:val="16"/>
                <w:color w:val="auto"/>
              </w:rPr>
              <w:t>$</w:t>
            </w:r>
          </w:p>
        </w:tc>
        <w:tc>
          <w:tcPr>
            <w:tcW w:w="1460" w:type="dxa"/>
            <w:vAlign w:val="bottom"/>
            <w:tcBorders>
              <w:bottom w:val="single" w:sz="8" w:color="auto"/>
            </w:tcBorders>
          </w:tcPr>
          <w:p>
            <w:pPr>
              <w:jc w:val="right"/>
              <w:ind w:right="79"/>
              <w:spacing w:after="0" w:line="183" w:lineRule="exact"/>
              <w:rPr>
                <w:sz w:val="20"/>
                <w:szCs w:val="20"/>
                <w:color w:val="auto"/>
              </w:rPr>
            </w:pPr>
            <w:r>
              <w:rPr>
                <w:rFonts w:ascii="Arial" w:cs="Arial" w:eastAsia="Arial" w:hAnsi="Arial"/>
                <w:sz w:val="16"/>
                <w:szCs w:val="16"/>
                <w:color w:val="auto"/>
              </w:rPr>
              <w:t>20,992</w:t>
            </w:r>
          </w:p>
        </w:tc>
        <w:tc>
          <w:tcPr>
            <w:tcW w:w="30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w:t>
            </w:r>
          </w:p>
        </w:tc>
        <w:tc>
          <w:tcPr>
            <w:tcW w:w="1500" w:type="dxa"/>
            <w:vAlign w:val="bottom"/>
            <w:tcBorders>
              <w:bottom w:val="single" w:sz="8" w:color="auto"/>
            </w:tcBorders>
          </w:tcPr>
          <w:p>
            <w:pPr>
              <w:jc w:val="right"/>
              <w:ind w:right="39"/>
              <w:spacing w:after="0" w:line="183" w:lineRule="exact"/>
              <w:rPr>
                <w:sz w:val="20"/>
                <w:szCs w:val="20"/>
                <w:color w:val="auto"/>
              </w:rPr>
            </w:pPr>
            <w:r>
              <w:rPr>
                <w:rFonts w:ascii="Arial" w:cs="Arial" w:eastAsia="Arial" w:hAnsi="Arial"/>
                <w:sz w:val="16"/>
                <w:szCs w:val="16"/>
                <w:color w:val="auto"/>
              </w:rPr>
              <w:t>22,657</w:t>
            </w:r>
          </w:p>
        </w:tc>
      </w:tr>
    </w:tbl>
    <w:p>
      <w:pPr>
        <w:spacing w:after="0" w:line="89" w:lineRule="exact"/>
        <w:rPr>
          <w:sz w:val="20"/>
          <w:szCs w:val="20"/>
          <w:color w:val="auto"/>
        </w:rPr>
      </w:pPr>
    </w:p>
    <w:p>
      <w:pPr>
        <w:ind w:right="120"/>
        <w:spacing w:after="0" w:line="253" w:lineRule="auto"/>
        <w:rPr>
          <w:sz w:val="20"/>
          <w:szCs w:val="20"/>
          <w:color w:val="auto"/>
        </w:rPr>
      </w:pPr>
      <w:r>
        <w:rPr>
          <w:rFonts w:ascii="Arial" w:cs="Arial" w:eastAsia="Arial" w:hAnsi="Arial"/>
          <w:sz w:val="18"/>
          <w:szCs w:val="18"/>
          <w:color w:val="auto"/>
        </w:rPr>
        <w:t>The Company expects that the remaining deferred revenue for the initial targets will be recognized within 18 months. The Company expects that deferred revenue related to replacement targets will be recognized within 30 months. Due to the uncertain nature of the research and development being performed by the Company, it may take longer than anticipated</w:t>
      </w:r>
    </w:p>
    <w:p>
      <w:pPr>
        <w:spacing w:after="0" w:line="2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20" w:right="339" w:bottom="1440" w:gutter="0" w:footer="0" w:header="0"/>
        </w:sectPr>
      </w:pPr>
    </w:p>
    <w:bookmarkStart w:id="14" w:name="page15"/>
    <w:bookmarkEnd w:id="14"/>
    <w:p>
      <w:pPr>
        <w:ind w:right="540"/>
        <w:spacing w:after="0" w:line="271" w:lineRule="auto"/>
        <w:rPr>
          <w:sz w:val="20"/>
          <w:szCs w:val="20"/>
          <w:color w:val="auto"/>
        </w:rPr>
      </w:pPr>
      <w:r>
        <w:rPr>
          <w:rFonts w:ascii="Arial" w:cs="Arial" w:eastAsia="Arial" w:hAnsi="Arial"/>
          <w:sz w:val="18"/>
          <w:szCs w:val="18"/>
          <w:color w:val="auto"/>
        </w:rPr>
        <w:t>to recognize revenue related to the performance obligations for the initial and replacement targets. Any amounts remaining in deferred revenue will be recognized at the conclusion of the Roche Agreement in October 2028.</w:t>
      </w:r>
    </w:p>
    <w:p>
      <w:pPr>
        <w:spacing w:after="0" w:line="46" w:lineRule="exact"/>
        <w:rPr>
          <w:sz w:val="20"/>
          <w:szCs w:val="20"/>
          <w:color w:val="auto"/>
        </w:rPr>
      </w:pPr>
    </w:p>
    <w:p>
      <w:pPr>
        <w:ind w:right="80"/>
        <w:spacing w:after="0"/>
        <w:rPr>
          <w:sz w:val="20"/>
          <w:szCs w:val="20"/>
          <w:color w:val="auto"/>
        </w:rPr>
      </w:pPr>
      <w:r>
        <w:rPr>
          <w:rFonts w:ascii="Arial" w:cs="Arial" w:eastAsia="Arial" w:hAnsi="Arial"/>
          <w:sz w:val="18"/>
          <w:szCs w:val="18"/>
          <w:color w:val="auto"/>
        </w:rPr>
        <w:t>As of March 31, 2026, potential research, development and regulatory milestone payments that the Company is eligible to receive were excluded from the transaction price as they were fully constrained by uncertain events. The Company will reevaluate the transaction price at the end of each reporting period and as uncertain events are resolved or other changes in circumstances occur, and if necessary, the Company will adjust its estimate of the transaction price. Any additions to the transaction price would be reflected in the period as a cumulative revenue catch-up based on the ratio of costs incurred to the total estimated costs expected applied to the revised transaction price. Sales-based royalties and milestone payments, which predominantly relate to the license, will be recognized if and when the related sales occur.</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2024 Novartis License Agreement</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Description</w:t>
      </w:r>
    </w:p>
    <w:p>
      <w:pPr>
        <w:spacing w:after="0" w:line="102" w:lineRule="exact"/>
        <w:rPr>
          <w:sz w:val="20"/>
          <w:szCs w:val="20"/>
          <w:color w:val="auto"/>
        </w:rPr>
      </w:pPr>
    </w:p>
    <w:p>
      <w:pPr>
        <w:jc w:val="both"/>
        <w:ind w:right="60"/>
        <w:spacing w:after="0" w:line="244" w:lineRule="auto"/>
        <w:rPr>
          <w:sz w:val="20"/>
          <w:szCs w:val="20"/>
          <w:color w:val="auto"/>
        </w:rPr>
      </w:pPr>
      <w:r>
        <w:rPr>
          <w:rFonts w:ascii="Arial" w:cs="Arial" w:eastAsia="Arial" w:hAnsi="Arial"/>
          <w:sz w:val="18"/>
          <w:szCs w:val="18"/>
          <w:color w:val="auto"/>
        </w:rPr>
        <w:t>In October 2024, Monte Rosa Therapeutics AG, a wholly-owned subsidiary of the Company, entered into a license agreement with Novartis, or the 2024 Novartis Agreement. Pursuant to the 2024 Novartis Agreement, the Company granted to Novartis an exclusive, royalty-bearing, sublicensable and transferable license to develop, manufacture, and commercialize VAV1 MGDs, including MRT-6160, which is currently in Phase 1 clinical development for immune-mediated conditions. The Company was responsible for completing the Phase 1 clinical study and Novartis is responsible for all subsequent development and commercial activities starting at Phase 2.</w:t>
      </w:r>
    </w:p>
    <w:p>
      <w:pPr>
        <w:spacing w:after="0" w:line="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Pricing</w:t>
      </w:r>
    </w:p>
    <w:p>
      <w:pPr>
        <w:spacing w:after="0" w:line="102" w:lineRule="exact"/>
        <w:rPr>
          <w:sz w:val="20"/>
          <w:szCs w:val="20"/>
          <w:color w:val="auto"/>
        </w:rPr>
      </w:pPr>
    </w:p>
    <w:p>
      <w:pPr>
        <w:spacing w:after="0" w:line="238" w:lineRule="auto"/>
        <w:rPr>
          <w:sz w:val="20"/>
          <w:szCs w:val="20"/>
          <w:color w:val="auto"/>
        </w:rPr>
      </w:pPr>
      <w:r>
        <w:rPr>
          <w:rFonts w:ascii="Arial" w:cs="Arial" w:eastAsia="Arial" w:hAnsi="Arial"/>
          <w:sz w:val="18"/>
          <w:szCs w:val="18"/>
          <w:color w:val="auto"/>
        </w:rPr>
        <w:t>In December 2024, the Company received a $150 million non-refundable upfront payment. Pursuant to the 2024 Novartis Agreement, the Company is entitled to receive from Novartis up to $2.1 billion in development, regulatory, and sales milestones, beginning upon initiation of Phase 2 studies including (a) potential development and regulatory milestone payments, exceeding $1.5 billion if multiple indications achieve regulatory approval in multiple territories, (b) potential sales milestone payments in connection with sales outside of the U.S., and tiered royalties on sales outside of the U.S. Novartis will be responsible for costs associated with Phase 2 clinical studies. The Company and Novartis also agreed to a net profit and loss sharing arrangement, pursuant to which the Company could co-fund any global clinical development from Phase 3 onwards and will share 30% of any profits and losses associated with the manufacturing and commercialization of the licensed products in the U.S. The Company has defined opportunities to opt out of the net profit and loss sharing arrangement prior to the initiation of Phase 3 clinical trials, in such case, sales in the U.S. would be entitled to the potential sales milestone payments and tiered royalties as sales outside of the U.S. Any costs for any co-funded development and commercialization activities are subject to budgets reviewed by the Company and Novartis.</w:t>
      </w:r>
    </w:p>
    <w:p>
      <w:pPr>
        <w:spacing w:after="0" w:line="8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Accounting</w:t>
      </w:r>
    </w:p>
    <w:p>
      <w:pPr>
        <w:spacing w:after="0" w:line="102" w:lineRule="exact"/>
        <w:rPr>
          <w:sz w:val="20"/>
          <w:szCs w:val="20"/>
          <w:color w:val="auto"/>
        </w:rPr>
      </w:pPr>
    </w:p>
    <w:p>
      <w:pPr>
        <w:ind w:right="80"/>
        <w:spacing w:after="0" w:line="271" w:lineRule="auto"/>
        <w:rPr>
          <w:sz w:val="20"/>
          <w:szCs w:val="20"/>
          <w:color w:val="auto"/>
        </w:rPr>
      </w:pPr>
      <w:r>
        <w:rPr>
          <w:rFonts w:ascii="Arial" w:cs="Arial" w:eastAsia="Arial" w:hAnsi="Arial"/>
          <w:sz w:val="18"/>
          <w:szCs w:val="18"/>
          <w:color w:val="auto"/>
        </w:rPr>
        <w:t>The goods and services that the Company was obligated to deliver and perform (the License and Licensor Clinical Trial) were accounted for under ASC 606 as they represented a transaction with a customer.</w:t>
      </w:r>
    </w:p>
    <w:p>
      <w:pPr>
        <w:spacing w:after="0" w:line="46" w:lineRule="exact"/>
        <w:rPr>
          <w:sz w:val="20"/>
          <w:szCs w:val="20"/>
          <w:color w:val="auto"/>
        </w:rPr>
      </w:pPr>
    </w:p>
    <w:p>
      <w:pPr>
        <w:ind w:right="80"/>
        <w:spacing w:after="0" w:line="242" w:lineRule="auto"/>
        <w:rPr>
          <w:sz w:val="20"/>
          <w:szCs w:val="20"/>
          <w:color w:val="auto"/>
        </w:rPr>
      </w:pPr>
      <w:r>
        <w:rPr>
          <w:rFonts w:ascii="Arial" w:cs="Arial" w:eastAsia="Arial" w:hAnsi="Arial"/>
          <w:sz w:val="18"/>
          <w:szCs w:val="18"/>
          <w:color w:val="auto"/>
        </w:rPr>
        <w:t>The Company has concluded that the License and the completion of the Licensor Clinical Trial promises are treated as a single, combined performance obligation. The Company has determined the total transaction price to be $150 million, which consists solely of the upfront payment. All milestone payments were constrained as the achievement of the milestones are contingent upon the success of the underlying research and development activities and are generally outside the control of the Company. The Company’s options to share in further development and commercialization efforts via its opt-in/opt-out rights will be assessed and accounted for as separate units of accounting under the relevant guidance if, and when, such options are exercised by the Company.</w:t>
      </w:r>
    </w:p>
    <w:p>
      <w:pPr>
        <w:spacing w:after="0" w:line="71" w:lineRule="exact"/>
        <w:rPr>
          <w:sz w:val="20"/>
          <w:szCs w:val="20"/>
          <w:color w:val="auto"/>
        </w:rPr>
      </w:pPr>
    </w:p>
    <w:p>
      <w:pPr>
        <w:jc w:val="both"/>
        <w:ind w:right="200"/>
        <w:spacing w:after="0" w:line="253" w:lineRule="auto"/>
        <w:rPr>
          <w:sz w:val="20"/>
          <w:szCs w:val="20"/>
          <w:color w:val="auto"/>
        </w:rPr>
      </w:pPr>
      <w:r>
        <w:rPr>
          <w:rFonts w:ascii="Arial" w:cs="Arial" w:eastAsia="Arial" w:hAnsi="Arial"/>
          <w:sz w:val="18"/>
          <w:szCs w:val="18"/>
          <w:color w:val="auto"/>
        </w:rPr>
        <w:t>The revenue the Company recognized associated with the combined performance obligation was recognized over time using a cost-based input methodology. The transfer of control occurred over the course of the Licensor Clinical Trial promise and, in management’s judgment, was the best measure of progress towards satisfying the combined performance obligation.</w:t>
      </w:r>
    </w:p>
    <w:p>
      <w:pPr>
        <w:spacing w:after="0" w:line="61" w:lineRule="exact"/>
        <w:rPr>
          <w:sz w:val="20"/>
          <w:szCs w:val="20"/>
          <w:color w:val="auto"/>
        </w:rPr>
      </w:pPr>
    </w:p>
    <w:p>
      <w:pPr>
        <w:ind w:right="440"/>
        <w:spacing w:after="0" w:line="253" w:lineRule="auto"/>
        <w:rPr>
          <w:sz w:val="20"/>
          <w:szCs w:val="20"/>
          <w:color w:val="auto"/>
        </w:rPr>
      </w:pPr>
      <w:r>
        <w:rPr>
          <w:rFonts w:ascii="Arial" w:cs="Arial" w:eastAsia="Arial" w:hAnsi="Arial"/>
          <w:sz w:val="18"/>
          <w:szCs w:val="18"/>
          <w:color w:val="auto"/>
        </w:rPr>
        <w:t>As of September 30, 2025, the total transaction price of $150 million plus $1.2 million of incremental cost reimbursements related to the Novartis Agreement has been recognized as collaboration revenue in the condensed consolidated statements of operations and comprehensive loss.</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2025 Novartis License Agreement</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Description</w:t>
      </w:r>
    </w:p>
    <w:p>
      <w:pPr>
        <w:spacing w:after="0" w:line="102" w:lineRule="exact"/>
        <w:rPr>
          <w:sz w:val="20"/>
          <w:szCs w:val="20"/>
          <w:color w:val="auto"/>
        </w:rPr>
      </w:pPr>
    </w:p>
    <w:p>
      <w:pPr>
        <w:ind w:right="400"/>
        <w:spacing w:after="0" w:line="271" w:lineRule="auto"/>
        <w:rPr>
          <w:sz w:val="20"/>
          <w:szCs w:val="20"/>
          <w:color w:val="auto"/>
        </w:rPr>
      </w:pPr>
      <w:r>
        <w:rPr>
          <w:rFonts w:ascii="Arial" w:cs="Arial" w:eastAsia="Arial" w:hAnsi="Arial"/>
          <w:sz w:val="18"/>
          <w:szCs w:val="18"/>
          <w:color w:val="auto"/>
        </w:rPr>
        <w:t>In September 2025, Monte Rosa Therapeutics AG, a wholly-owned subsidiary of the Company, entered into a collaboration, option, and license agreement with Novartis, or the 2025 Novartis Agreement. Pursuant to the 2025</w:t>
      </w:r>
    </w:p>
    <w:p>
      <w:pPr>
        <w:spacing w:after="0" w:line="26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120" w:right="379" w:bottom="1440" w:gutter="0" w:footer="0" w:header="0"/>
        </w:sectPr>
      </w:pPr>
    </w:p>
    <w:bookmarkStart w:id="15" w:name="page16"/>
    <w:bookmarkEnd w:id="15"/>
    <w:p>
      <w:pPr>
        <w:spacing w:after="0" w:line="238" w:lineRule="auto"/>
        <w:rPr>
          <w:sz w:val="20"/>
          <w:szCs w:val="20"/>
          <w:color w:val="auto"/>
        </w:rPr>
      </w:pPr>
      <w:r>
        <w:rPr>
          <w:rFonts w:ascii="Arial" w:cs="Arial" w:eastAsia="Arial" w:hAnsi="Arial"/>
          <w:sz w:val="18"/>
          <w:szCs w:val="18"/>
          <w:color w:val="auto"/>
        </w:rPr>
        <w:t>Novartis Agreement, the Company granted to Novartis an exclusive, royalty-bearing, sublicensable and transferable license to degraders for one immunology and inflammation, or I&amp;I program, or the First Licensed Program, and the option to obtain exclusive, royalty-bearing, sublicensable and transferable licenses with respect to two additional programs from the Company’s growing preclinical immunology portfolio, or the Options, and the programs, or the Optioned I&amp;I Programs. Such Options are individually exercisable at Novartis’ discretion until a program meets criteria for investigational new drug application-filing-readiness. On a program-by-program basis, if Novartis does not exercise an Option, all rights with respect to such program are retained by the Company; if Novartis does exercise its Option, such program becomes a Licensed Program, or together, with the First Licensed Program, the Licensed Programs. Under the 2025 Novartis Agreement, the Company will apply its proprietary AI/ML-enabled QuEEN™ engine for the discovery and development of degraders for the First Licensed Program and the Optioned I&amp;I Programs. The Licensed Programs will be further developed and commercialized by Novartis, unless otherwise agreed to by the parties in accordance with the 2025 Novartis Agreement. Research activities for the Licensed Programs governed by the Agreement will be overseen by a Joint Research Committee.</w:t>
      </w:r>
    </w:p>
    <w:p>
      <w:pPr>
        <w:spacing w:after="0" w:line="8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Pricing</w:t>
      </w:r>
    </w:p>
    <w:p>
      <w:pPr>
        <w:spacing w:after="0" w:line="102" w:lineRule="exact"/>
        <w:rPr>
          <w:sz w:val="20"/>
          <w:szCs w:val="20"/>
          <w:color w:val="auto"/>
        </w:rPr>
      </w:pPr>
    </w:p>
    <w:p>
      <w:pPr>
        <w:ind w:right="20"/>
        <w:spacing w:after="0" w:line="239" w:lineRule="auto"/>
        <w:rPr>
          <w:sz w:val="20"/>
          <w:szCs w:val="20"/>
          <w:color w:val="auto"/>
        </w:rPr>
      </w:pPr>
      <w:r>
        <w:rPr>
          <w:rFonts w:ascii="Arial" w:cs="Arial" w:eastAsia="Arial" w:hAnsi="Arial"/>
          <w:sz w:val="18"/>
          <w:szCs w:val="18"/>
          <w:color w:val="auto"/>
        </w:rPr>
        <w:t>In September 2025, the Company received a $120.0 million non-refundable upfront payment from Novartis. Pursuant to the 2025 Novartis Agreement, the Company is entitled to receive from Novartis payments to maintain the Options totaling up to $60.0 million, and is eligible to receive from Novartis (1) preclinical milestone payments relating to the First Licensed Program and option exercise payments related to the Options of up to $180.0 million, (2) up to $5.4 billion in clinical development, regulatory, and sales milestones relating to the First Licensed Program and the two Optioned I&amp;I Programs, beginning upon initiation of Phase 1 studies, including (a) potential development and regulatory milestone payments up to $2.2 billion if regulatory approval is achieved for multiple indications in multiple territories and (b) potential sales milestone payments up to $3.2 billion, allocated across licensed products, and (3) tiered royalties on global net sales in the high-single to low double-digit range for the First Licensed Program and in the low double-digit range for the two Optioned I&amp;I Programs. The Company will be responsible for costs related to research activities, while Novartis will be responsible for costs related to development and commercialization activities.</w:t>
      </w:r>
    </w:p>
    <w:p>
      <w:pPr>
        <w:spacing w:after="0" w:line="7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Accounting</w:t>
      </w:r>
    </w:p>
    <w:p>
      <w:pPr>
        <w:spacing w:after="0" w:line="102" w:lineRule="exact"/>
        <w:rPr>
          <w:sz w:val="20"/>
          <w:szCs w:val="20"/>
          <w:color w:val="auto"/>
        </w:rPr>
      </w:pPr>
    </w:p>
    <w:p>
      <w:pPr>
        <w:ind w:right="500"/>
        <w:spacing w:after="0" w:line="271" w:lineRule="auto"/>
        <w:rPr>
          <w:sz w:val="20"/>
          <w:szCs w:val="20"/>
          <w:color w:val="auto"/>
        </w:rPr>
      </w:pPr>
      <w:r>
        <w:rPr>
          <w:rFonts w:ascii="Arial" w:cs="Arial" w:eastAsia="Arial" w:hAnsi="Arial"/>
          <w:sz w:val="18"/>
          <w:szCs w:val="18"/>
          <w:color w:val="auto"/>
        </w:rPr>
        <w:t>The goods and services that the Company is obligated to deliver and perform under the 2025 Novartis Agreement will be accounted for under ASC 606 as they represent a transaction with a customer.</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The Company has concluded that the transaction price at inception is $180 million, which consists of the $120 million upfront payment and</w:t>
      </w:r>
    </w:p>
    <w:p>
      <w:pPr>
        <w:spacing w:after="0" w:line="14" w:lineRule="exact"/>
        <w:rPr>
          <w:sz w:val="20"/>
          <w:szCs w:val="20"/>
          <w:color w:val="auto"/>
        </w:rPr>
      </w:pPr>
    </w:p>
    <w:p>
      <w:pPr>
        <w:ind w:right="40"/>
        <w:spacing w:after="0" w:line="250" w:lineRule="auto"/>
        <w:rPr>
          <w:sz w:val="20"/>
          <w:szCs w:val="20"/>
          <w:color w:val="auto"/>
        </w:rPr>
      </w:pPr>
      <w:r>
        <w:rPr>
          <w:rFonts w:ascii="Arial" w:cs="Arial" w:eastAsia="Arial" w:hAnsi="Arial"/>
          <w:sz w:val="18"/>
          <w:szCs w:val="18"/>
          <w:color w:val="auto"/>
        </w:rPr>
        <w:t>$60 million of option maintenance payments due over the course of the contract term. The Company has identified the following performance obligations in the contract:</w:t>
      </w:r>
    </w:p>
    <w:p>
      <w:pPr>
        <w:spacing w:after="0" w:line="64" w:lineRule="exact"/>
        <w:rPr>
          <w:sz w:val="20"/>
          <w:szCs w:val="20"/>
          <w:color w:val="auto"/>
        </w:rPr>
      </w:pPr>
    </w:p>
    <w:p>
      <w:pPr>
        <w:ind w:left="1020" w:hanging="503"/>
        <w:spacing w:after="0"/>
        <w:tabs>
          <w:tab w:leader="none" w:pos="1020" w:val="left"/>
        </w:tabs>
        <w:numPr>
          <w:ilvl w:val="0"/>
          <w:numId w:val="7"/>
        </w:numPr>
        <w:rPr>
          <w:rFonts w:ascii="Times New Roman" w:cs="Times New Roman" w:eastAsia="Times New Roman" w:hAnsi="Times New Roman"/>
          <w:sz w:val="18"/>
          <w:szCs w:val="18"/>
          <w:color w:val="auto"/>
        </w:rPr>
      </w:pPr>
      <w:r>
        <w:rPr>
          <w:rFonts w:ascii="Arial" w:cs="Arial" w:eastAsia="Arial" w:hAnsi="Arial"/>
          <w:sz w:val="18"/>
          <w:szCs w:val="18"/>
          <w:color w:val="auto"/>
        </w:rPr>
        <w:t>License and research services for an immunology target</w:t>
      </w:r>
    </w:p>
    <w:p>
      <w:pPr>
        <w:spacing w:after="0" w:line="116"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7"/>
        </w:numPr>
        <w:rPr>
          <w:rFonts w:ascii="Times New Roman" w:cs="Times New Roman" w:eastAsia="Times New Roman" w:hAnsi="Times New Roman"/>
          <w:sz w:val="18"/>
          <w:szCs w:val="18"/>
          <w:color w:val="auto"/>
        </w:rPr>
      </w:pPr>
      <w:r>
        <w:rPr>
          <w:rFonts w:ascii="Arial" w:cs="Arial" w:eastAsia="Arial" w:hAnsi="Arial"/>
          <w:sz w:val="18"/>
          <w:szCs w:val="18"/>
          <w:color w:val="auto"/>
        </w:rPr>
        <w:t>Research services for certain immunology targets to support the Immunology License Options</w:t>
      </w:r>
    </w:p>
    <w:p>
      <w:pPr>
        <w:spacing w:after="0" w:line="116"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7"/>
        </w:numPr>
        <w:rPr>
          <w:rFonts w:ascii="Times New Roman" w:cs="Times New Roman" w:eastAsia="Times New Roman" w:hAnsi="Times New Roman"/>
          <w:sz w:val="18"/>
          <w:szCs w:val="18"/>
          <w:color w:val="auto"/>
        </w:rPr>
      </w:pPr>
      <w:r>
        <w:rPr>
          <w:rFonts w:ascii="Arial" w:cs="Arial" w:eastAsia="Arial" w:hAnsi="Arial"/>
          <w:sz w:val="18"/>
          <w:szCs w:val="18"/>
          <w:color w:val="auto"/>
        </w:rPr>
        <w:t>Material Right First Immunology License Option</w:t>
      </w:r>
    </w:p>
    <w:p>
      <w:pPr>
        <w:spacing w:after="0" w:line="116"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7"/>
        </w:numPr>
        <w:rPr>
          <w:rFonts w:ascii="Times New Roman" w:cs="Times New Roman" w:eastAsia="Times New Roman" w:hAnsi="Times New Roman"/>
          <w:sz w:val="18"/>
          <w:szCs w:val="18"/>
          <w:color w:val="auto"/>
        </w:rPr>
      </w:pPr>
      <w:r>
        <w:rPr>
          <w:rFonts w:ascii="Arial" w:cs="Arial" w:eastAsia="Arial" w:hAnsi="Arial"/>
          <w:sz w:val="18"/>
          <w:szCs w:val="18"/>
          <w:color w:val="auto"/>
        </w:rPr>
        <w:t>Material Right Second Immunology License Option</w:t>
      </w:r>
    </w:p>
    <w:p>
      <w:pPr>
        <w:spacing w:after="0" w:line="116" w:lineRule="exact"/>
        <w:rPr>
          <w:sz w:val="20"/>
          <w:szCs w:val="20"/>
          <w:color w:val="auto"/>
        </w:rPr>
      </w:pPr>
    </w:p>
    <w:p>
      <w:pPr>
        <w:spacing w:after="0" w:line="244" w:lineRule="auto"/>
        <w:rPr>
          <w:sz w:val="20"/>
          <w:szCs w:val="20"/>
          <w:color w:val="auto"/>
        </w:rPr>
      </w:pPr>
      <w:r>
        <w:rPr>
          <w:rFonts w:ascii="Arial" w:cs="Arial" w:eastAsia="Arial" w:hAnsi="Arial"/>
          <w:sz w:val="18"/>
          <w:szCs w:val="18"/>
          <w:color w:val="auto"/>
        </w:rPr>
        <w:t>The total transaction price of the 2025 Novartis Agreement is allocated to the performance obligations based on their relative standalone selling prices, or the price at which it would sell such an item if it were to be sold regularly on a standalone basis. The standalone selling price of performance obligations related to license and research services were determined using a cost-plus margin approach. The standalone selling price related to material rights for immunology license options were determined by benchmarking to comparable transactions, probability adjusted for the likelihood of exercise.</w:t>
      </w:r>
    </w:p>
    <w:p>
      <w:pPr>
        <w:spacing w:after="0" w:line="68" w:lineRule="exact"/>
        <w:rPr>
          <w:sz w:val="20"/>
          <w:szCs w:val="20"/>
          <w:color w:val="auto"/>
        </w:rPr>
      </w:pPr>
    </w:p>
    <w:p>
      <w:pPr>
        <w:spacing w:after="0"/>
        <w:rPr>
          <w:sz w:val="20"/>
          <w:szCs w:val="20"/>
          <w:color w:val="auto"/>
        </w:rPr>
      </w:pPr>
      <w:r>
        <w:rPr>
          <w:rFonts w:ascii="Arial" w:cs="Arial" w:eastAsia="Arial" w:hAnsi="Arial"/>
          <w:sz w:val="18"/>
          <w:szCs w:val="18"/>
          <w:color w:val="auto"/>
        </w:rPr>
        <w:t>The allocated transaction price is recognized as revenue from collaboration agreements in one of two ways:</w:t>
      </w:r>
    </w:p>
    <w:p>
      <w:pPr>
        <w:spacing w:after="0" w:line="104" w:lineRule="exact"/>
        <w:rPr>
          <w:sz w:val="20"/>
          <w:szCs w:val="20"/>
          <w:color w:val="auto"/>
        </w:rPr>
      </w:pPr>
    </w:p>
    <w:p>
      <w:pPr>
        <w:ind w:left="520" w:right="80" w:hanging="512"/>
        <w:spacing w:after="0" w:line="243" w:lineRule="auto"/>
        <w:tabs>
          <w:tab w:leader="none" w:pos="520" w:val="left"/>
        </w:tabs>
        <w:numPr>
          <w:ilvl w:val="0"/>
          <w:numId w:val="8"/>
        </w:numPr>
        <w:rPr>
          <w:rFonts w:ascii="Times New Roman" w:cs="Times New Roman" w:eastAsia="Times New Roman" w:hAnsi="Times New Roman"/>
          <w:sz w:val="18"/>
          <w:szCs w:val="18"/>
          <w:color w:val="auto"/>
        </w:rPr>
      </w:pPr>
      <w:r>
        <w:rPr>
          <w:rFonts w:ascii="Arial" w:cs="Arial" w:eastAsia="Arial" w:hAnsi="Arial"/>
          <w:sz w:val="18"/>
          <w:szCs w:val="18"/>
          <w:color w:val="auto"/>
        </w:rPr>
        <w:t>License and research services for immunology targets: The Company recognizes the portion of the transaction price allocated to each of the research performance obligations as the research services are provided, using an input method, in proportion to costs incurred to date for each research development target as compared to total costs incurred and expected to be incurred in the future to satisfy the underlying obligation related to said research services. The transfer of control occurs over this period and, in management’s judgment, is the best measure of progress towards satisfying the performance obligation.</w:t>
      </w:r>
    </w:p>
    <w:p>
      <w:pPr>
        <w:spacing w:after="0" w:line="71" w:lineRule="exact"/>
        <w:rPr>
          <w:rFonts w:ascii="Times New Roman" w:cs="Times New Roman" w:eastAsia="Times New Roman" w:hAnsi="Times New Roman"/>
          <w:sz w:val="18"/>
          <w:szCs w:val="18"/>
          <w:color w:val="auto"/>
        </w:rPr>
      </w:pPr>
    </w:p>
    <w:p>
      <w:pPr>
        <w:ind w:left="520" w:right="40" w:hanging="512"/>
        <w:spacing w:after="0" w:line="252" w:lineRule="auto"/>
        <w:tabs>
          <w:tab w:leader="none" w:pos="520" w:val="left"/>
        </w:tabs>
        <w:numPr>
          <w:ilvl w:val="0"/>
          <w:numId w:val="8"/>
        </w:numPr>
        <w:rPr>
          <w:rFonts w:ascii="Times New Roman" w:cs="Times New Roman" w:eastAsia="Times New Roman" w:hAnsi="Times New Roman"/>
          <w:sz w:val="18"/>
          <w:szCs w:val="18"/>
          <w:color w:val="auto"/>
        </w:rPr>
      </w:pPr>
      <w:r>
        <w:rPr>
          <w:rFonts w:ascii="Arial" w:cs="Arial" w:eastAsia="Arial" w:hAnsi="Arial"/>
          <w:sz w:val="18"/>
          <w:szCs w:val="18"/>
          <w:color w:val="auto"/>
        </w:rPr>
        <w:t>Material option rights: The transaction price allocated to the options rights, which are considered material rights, is deferred until the period that Novartis elects to exercise its option right to license and commercialize the underlying immunology program. The Company will recognize the portion of the transaction price allocated to the option rights</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20" w:right="339" w:bottom="1440" w:gutter="0" w:footer="0" w:header="0"/>
        </w:sectPr>
      </w:pPr>
    </w:p>
    <w:bookmarkStart w:id="16" w:name="page17"/>
    <w:bookmarkEnd w:id="16"/>
    <w:p>
      <w:pPr>
        <w:ind w:left="520"/>
        <w:spacing w:after="0"/>
        <w:rPr>
          <w:sz w:val="20"/>
          <w:szCs w:val="20"/>
          <w:color w:val="auto"/>
        </w:rPr>
      </w:pPr>
      <w:r>
        <w:rPr>
          <w:rFonts w:ascii="Arial" w:cs="Arial" w:eastAsia="Arial" w:hAnsi="Arial"/>
          <w:sz w:val="18"/>
          <w:szCs w:val="18"/>
          <w:color w:val="auto"/>
        </w:rPr>
        <w:t>upon exercise. The Company has no further obligations to perform research services subsequent to the option exercise.</w:t>
      </w:r>
    </w:p>
    <w:p>
      <w:pPr>
        <w:spacing w:after="0" w:line="104" w:lineRule="exact"/>
        <w:rPr>
          <w:sz w:val="20"/>
          <w:szCs w:val="20"/>
          <w:color w:val="auto"/>
        </w:rPr>
      </w:pPr>
    </w:p>
    <w:p>
      <w:pPr>
        <w:ind w:right="80"/>
        <w:spacing w:after="0"/>
        <w:rPr>
          <w:sz w:val="20"/>
          <w:szCs w:val="20"/>
          <w:color w:val="auto"/>
        </w:rPr>
      </w:pPr>
      <w:r>
        <w:rPr>
          <w:rFonts w:ascii="Arial" w:cs="Arial" w:eastAsia="Arial" w:hAnsi="Arial"/>
          <w:sz w:val="18"/>
          <w:szCs w:val="18"/>
          <w:color w:val="auto"/>
        </w:rPr>
        <w:t>To date through March 31, 2026, $4.3 million of revenue related to the 2025 Novartis Agreement has been recognized as collaboration revenue in the condensed consolidated statements of operations and comprehensive (loss) income. The remaining $115.7 million has been recorded as deferred revenue on the condensed consolidated balance sheets, with $22.5 million included in current liabilities related to performance obligations expected to be completed within 12 months from March 31, 2026 and $93.2 million included in non-current liabilities related to performance obligations expected to be completed later than 12 months from March 31, 2026. The total transaction price of $180 million includes $60 million of future option maintenance payments which are not included in deferred revenue on the condensed consolidated balance sheet.</w:t>
      </w:r>
    </w:p>
    <w:p>
      <w:pPr>
        <w:spacing w:after="0" w:line="77" w:lineRule="exact"/>
        <w:rPr>
          <w:sz w:val="20"/>
          <w:szCs w:val="20"/>
          <w:color w:val="auto"/>
        </w:rPr>
      </w:pPr>
    </w:p>
    <w:p>
      <w:pPr>
        <w:ind w:right="660"/>
        <w:spacing w:after="0" w:line="271" w:lineRule="auto"/>
        <w:rPr>
          <w:sz w:val="20"/>
          <w:szCs w:val="20"/>
          <w:color w:val="auto"/>
        </w:rPr>
      </w:pPr>
      <w:r>
        <w:rPr>
          <w:rFonts w:ascii="Arial" w:cs="Arial" w:eastAsia="Arial" w:hAnsi="Arial"/>
          <w:sz w:val="18"/>
          <w:szCs w:val="18"/>
          <w:color w:val="auto"/>
        </w:rPr>
        <w:t>The following table summarizes the unearned amount of the 2025 Novartis Agreement transaction price allocated to the performance obligations (in thousands):</w:t>
      </w:r>
    </w:p>
    <w:p>
      <w:pPr>
        <w:spacing w:after="0" w:line="44"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6040" w:type="dxa"/>
            <w:vAlign w:val="bottom"/>
            <w:tcBorders>
              <w:top w:val="single" w:sz="8" w:color="auto"/>
            </w:tcBorders>
          </w:tcPr>
          <w:p>
            <w:pPr>
              <w:spacing w:after="0"/>
              <w:rPr>
                <w:sz w:val="16"/>
                <w:szCs w:val="16"/>
                <w:color w:val="auto"/>
              </w:rPr>
            </w:pPr>
          </w:p>
        </w:tc>
        <w:tc>
          <w:tcPr>
            <w:tcW w:w="1700" w:type="dxa"/>
            <w:vAlign w:val="bottom"/>
            <w:tcBorders>
              <w:top w:val="single" w:sz="8" w:color="auto"/>
            </w:tcBorders>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1460" w:type="dxa"/>
            <w:vAlign w:val="bottom"/>
            <w:tcBorders>
              <w:top w:val="single" w:sz="8" w:color="auto"/>
            </w:tcBorders>
          </w:tcPr>
          <w:p>
            <w:pPr>
              <w:jc w:val="right"/>
              <w:ind w:right="479"/>
              <w:spacing w:after="0"/>
              <w:rPr>
                <w:sz w:val="20"/>
                <w:szCs w:val="20"/>
                <w:color w:val="auto"/>
              </w:rPr>
            </w:pPr>
            <w:r>
              <w:rPr>
                <w:rFonts w:ascii="Arial" w:cs="Arial" w:eastAsia="Arial" w:hAnsi="Arial"/>
                <w:sz w:val="16"/>
                <w:szCs w:val="16"/>
                <w:b w:val="1"/>
                <w:bCs w:val="1"/>
                <w:color w:val="auto"/>
              </w:rPr>
              <w:t>March 31,</w:t>
            </w:r>
          </w:p>
        </w:tc>
        <w:tc>
          <w:tcPr>
            <w:tcW w:w="300" w:type="dxa"/>
            <w:vAlign w:val="bottom"/>
            <w:tcBorders>
              <w:top w:val="single" w:sz="8" w:color="auto"/>
            </w:tcBorders>
          </w:tcPr>
          <w:p>
            <w:pPr>
              <w:spacing w:after="0"/>
              <w:rPr>
                <w:sz w:val="16"/>
                <w:szCs w:val="16"/>
                <w:color w:val="auto"/>
              </w:rPr>
            </w:pPr>
          </w:p>
        </w:tc>
        <w:tc>
          <w:tcPr>
            <w:tcW w:w="1500" w:type="dxa"/>
            <w:vAlign w:val="bottom"/>
            <w:tcBorders>
              <w:top w:val="single" w:sz="8" w:color="auto"/>
            </w:tcBorders>
          </w:tcPr>
          <w:p>
            <w:pPr>
              <w:jc w:val="right"/>
              <w:ind w:right="279"/>
              <w:spacing w:after="0"/>
              <w:rPr>
                <w:sz w:val="20"/>
                <w:szCs w:val="20"/>
                <w:color w:val="auto"/>
              </w:rPr>
            </w:pPr>
            <w:r>
              <w:rPr>
                <w:rFonts w:ascii="Arial" w:cs="Arial" w:eastAsia="Arial" w:hAnsi="Arial"/>
                <w:sz w:val="16"/>
                <w:szCs w:val="16"/>
                <w:b w:val="1"/>
                <w:bCs w:val="1"/>
                <w:color w:val="auto"/>
              </w:rPr>
              <w:t>December 31,</w:t>
            </w:r>
          </w:p>
        </w:tc>
      </w:tr>
      <w:tr>
        <w:trPr>
          <w:trHeight w:val="203"/>
        </w:trPr>
        <w:tc>
          <w:tcPr>
            <w:tcW w:w="6040" w:type="dxa"/>
            <w:vAlign w:val="bottom"/>
            <w:tcBorders>
              <w:bottom w:val="single" w:sz="8" w:color="auto"/>
            </w:tcBorders>
          </w:tcPr>
          <w:p>
            <w:pPr>
              <w:spacing w:after="0"/>
              <w:rPr>
                <w:sz w:val="17"/>
                <w:szCs w:val="17"/>
                <w:color w:val="auto"/>
              </w:rPr>
            </w:pPr>
          </w:p>
        </w:tc>
        <w:tc>
          <w:tcPr>
            <w:tcW w:w="1700" w:type="dxa"/>
            <w:vAlign w:val="bottom"/>
            <w:tcBorders>
              <w:bottom w:val="single" w:sz="8" w:color="auto"/>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460" w:type="dxa"/>
            <w:vAlign w:val="bottom"/>
            <w:tcBorders>
              <w:bottom w:val="single" w:sz="8" w:color="auto"/>
            </w:tcBorders>
          </w:tcPr>
          <w:p>
            <w:pPr>
              <w:jc w:val="right"/>
              <w:ind w:right="659"/>
              <w:spacing w:after="0"/>
              <w:rPr>
                <w:sz w:val="20"/>
                <w:szCs w:val="20"/>
                <w:color w:val="auto"/>
              </w:rPr>
            </w:pPr>
            <w:r>
              <w:rPr>
                <w:rFonts w:ascii="Arial" w:cs="Arial" w:eastAsia="Arial" w:hAnsi="Arial"/>
                <w:sz w:val="16"/>
                <w:szCs w:val="16"/>
                <w:b w:val="1"/>
                <w:bCs w:val="1"/>
                <w:color w:val="auto"/>
              </w:rPr>
              <w:t>2026</w:t>
            </w:r>
          </w:p>
        </w:tc>
        <w:tc>
          <w:tcPr>
            <w:tcW w:w="300" w:type="dxa"/>
            <w:vAlign w:val="bottom"/>
            <w:tcBorders>
              <w:bottom w:val="single" w:sz="8" w:color="auto"/>
            </w:tcBorders>
          </w:tcPr>
          <w:p>
            <w:pPr>
              <w:spacing w:after="0"/>
              <w:rPr>
                <w:sz w:val="17"/>
                <w:szCs w:val="17"/>
                <w:color w:val="auto"/>
              </w:rPr>
            </w:pPr>
          </w:p>
        </w:tc>
        <w:tc>
          <w:tcPr>
            <w:tcW w:w="1500" w:type="dxa"/>
            <w:vAlign w:val="bottom"/>
            <w:tcBorders>
              <w:bottom w:val="single" w:sz="8" w:color="auto"/>
            </w:tcBorders>
          </w:tcPr>
          <w:p>
            <w:pPr>
              <w:jc w:val="right"/>
              <w:ind w:right="639"/>
              <w:spacing w:after="0"/>
              <w:rPr>
                <w:sz w:val="20"/>
                <w:szCs w:val="20"/>
                <w:color w:val="auto"/>
              </w:rPr>
            </w:pPr>
            <w:r>
              <w:rPr>
                <w:rFonts w:ascii="Arial" w:cs="Arial" w:eastAsia="Arial" w:hAnsi="Arial"/>
                <w:sz w:val="16"/>
                <w:szCs w:val="16"/>
                <w:b w:val="1"/>
                <w:bCs w:val="1"/>
                <w:color w:val="auto"/>
              </w:rPr>
              <w:t>2025</w:t>
            </w:r>
          </w:p>
        </w:tc>
      </w:tr>
      <w:tr>
        <w:trPr>
          <w:trHeight w:val="183"/>
        </w:trPr>
        <w:tc>
          <w:tcPr>
            <w:tcW w:w="6040" w:type="dxa"/>
            <w:vAlign w:val="bottom"/>
            <w:shd w:val="clear" w:color="auto" w:fill="CFF0FC"/>
          </w:tcPr>
          <w:p>
            <w:pPr>
              <w:spacing w:after="0" w:line="183" w:lineRule="exact"/>
              <w:rPr>
                <w:sz w:val="20"/>
                <w:szCs w:val="20"/>
                <w:color w:val="auto"/>
              </w:rPr>
            </w:pPr>
            <w:r>
              <w:rPr>
                <w:rFonts w:ascii="Arial" w:cs="Arial" w:eastAsia="Arial" w:hAnsi="Arial"/>
                <w:sz w:val="16"/>
                <w:szCs w:val="16"/>
                <w:b w:val="1"/>
                <w:bCs w:val="1"/>
                <w:color w:val="auto"/>
              </w:rPr>
              <w:t>2025 Novartis Agreement performance obligations</w:t>
            </w:r>
          </w:p>
        </w:tc>
        <w:tc>
          <w:tcPr>
            <w:tcW w:w="170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1460" w:type="dxa"/>
            <w:vAlign w:val="bottom"/>
            <w:shd w:val="clear" w:color="auto" w:fill="CFF0FC"/>
          </w:tcPr>
          <w:p>
            <w:pPr>
              <w:spacing w:after="0"/>
              <w:rPr>
                <w:sz w:val="15"/>
                <w:szCs w:val="15"/>
                <w:color w:val="auto"/>
              </w:rPr>
            </w:pPr>
          </w:p>
        </w:tc>
        <w:tc>
          <w:tcPr>
            <w:tcW w:w="300" w:type="dxa"/>
            <w:vAlign w:val="bottom"/>
            <w:shd w:val="clear" w:color="auto" w:fill="CFF0FC"/>
          </w:tcPr>
          <w:p>
            <w:pPr>
              <w:spacing w:after="0"/>
              <w:rPr>
                <w:sz w:val="15"/>
                <w:szCs w:val="15"/>
                <w:color w:val="auto"/>
              </w:rPr>
            </w:pPr>
          </w:p>
        </w:tc>
        <w:tc>
          <w:tcPr>
            <w:tcW w:w="1500" w:type="dxa"/>
            <w:vAlign w:val="bottom"/>
            <w:shd w:val="clear" w:color="auto" w:fill="CFF0FC"/>
          </w:tcPr>
          <w:p>
            <w:pPr>
              <w:spacing w:after="0"/>
              <w:rPr>
                <w:sz w:val="15"/>
                <w:szCs w:val="15"/>
                <w:color w:val="auto"/>
              </w:rPr>
            </w:pPr>
          </w:p>
        </w:tc>
      </w:tr>
      <w:tr>
        <w:trPr>
          <w:trHeight w:val="189"/>
        </w:trPr>
        <w:tc>
          <w:tcPr>
            <w:tcW w:w="6040" w:type="dxa"/>
            <w:vAlign w:val="bottom"/>
          </w:tcPr>
          <w:p>
            <w:pPr>
              <w:spacing w:after="0"/>
              <w:rPr>
                <w:sz w:val="20"/>
                <w:szCs w:val="20"/>
                <w:color w:val="auto"/>
              </w:rPr>
            </w:pPr>
            <w:r>
              <w:rPr>
                <w:rFonts w:ascii="Arial" w:cs="Arial" w:eastAsia="Arial" w:hAnsi="Arial"/>
                <w:sz w:val="16"/>
                <w:szCs w:val="16"/>
                <w:color w:val="auto"/>
              </w:rPr>
              <w:t>License and research services for named immunology target</w:t>
            </w:r>
          </w:p>
        </w:tc>
        <w:tc>
          <w:tcPr>
            <w:tcW w:w="194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1460" w:type="dxa"/>
            <w:vAlign w:val="bottom"/>
          </w:tcPr>
          <w:p>
            <w:pPr>
              <w:jc w:val="right"/>
              <w:ind w:right="79"/>
              <w:spacing w:after="0"/>
              <w:rPr>
                <w:sz w:val="20"/>
                <w:szCs w:val="20"/>
                <w:color w:val="auto"/>
              </w:rPr>
            </w:pPr>
            <w:r>
              <w:rPr>
                <w:rFonts w:ascii="Arial" w:cs="Arial" w:eastAsia="Arial" w:hAnsi="Arial"/>
                <w:sz w:val="16"/>
                <w:szCs w:val="16"/>
                <w:color w:val="auto"/>
              </w:rPr>
              <w:t>6,814</w:t>
            </w:r>
          </w:p>
        </w:tc>
        <w:tc>
          <w:tcPr>
            <w:tcW w:w="300" w:type="dxa"/>
            <w:vAlign w:val="bottom"/>
          </w:tcPr>
          <w:p>
            <w:pPr>
              <w:jc w:val="right"/>
              <w:spacing w:after="0"/>
              <w:rPr>
                <w:sz w:val="20"/>
                <w:szCs w:val="20"/>
                <w:color w:val="auto"/>
              </w:rPr>
            </w:pPr>
            <w:r>
              <w:rPr>
                <w:rFonts w:ascii="Arial" w:cs="Arial" w:eastAsia="Arial" w:hAnsi="Arial"/>
                <w:sz w:val="16"/>
                <w:szCs w:val="16"/>
                <w:color w:val="auto"/>
              </w:rPr>
              <w:t>$</w:t>
            </w:r>
          </w:p>
        </w:tc>
        <w:tc>
          <w:tcPr>
            <w:tcW w:w="1500" w:type="dxa"/>
            <w:vAlign w:val="bottom"/>
          </w:tcPr>
          <w:p>
            <w:pPr>
              <w:jc w:val="right"/>
              <w:ind w:right="39"/>
              <w:spacing w:after="0"/>
              <w:rPr>
                <w:sz w:val="20"/>
                <w:szCs w:val="20"/>
                <w:color w:val="auto"/>
              </w:rPr>
            </w:pPr>
            <w:r>
              <w:rPr>
                <w:rFonts w:ascii="Arial" w:cs="Arial" w:eastAsia="Arial" w:hAnsi="Arial"/>
                <w:sz w:val="16"/>
                <w:szCs w:val="16"/>
                <w:color w:val="auto"/>
              </w:rPr>
              <w:t>7,019</w:t>
            </w:r>
          </w:p>
        </w:tc>
      </w:tr>
      <w:tr>
        <w:trPr>
          <w:trHeight w:val="189"/>
        </w:trPr>
        <w:tc>
          <w:tcPr>
            <w:tcW w:w="6040" w:type="dxa"/>
            <w:vAlign w:val="bottom"/>
            <w:shd w:val="clear" w:color="auto" w:fill="CFF0FC"/>
          </w:tcPr>
          <w:p>
            <w:pPr>
              <w:spacing w:after="0"/>
              <w:rPr>
                <w:sz w:val="20"/>
                <w:szCs w:val="20"/>
                <w:color w:val="auto"/>
              </w:rPr>
            </w:pPr>
            <w:r>
              <w:rPr>
                <w:rFonts w:ascii="Arial" w:cs="Arial" w:eastAsia="Arial" w:hAnsi="Arial"/>
                <w:sz w:val="16"/>
                <w:szCs w:val="16"/>
                <w:color w:val="auto"/>
              </w:rPr>
              <w:t>Research services to support immunology license options</w:t>
            </w:r>
          </w:p>
        </w:tc>
        <w:tc>
          <w:tcPr>
            <w:tcW w:w="170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1460" w:type="dxa"/>
            <w:vAlign w:val="bottom"/>
            <w:shd w:val="clear" w:color="auto" w:fill="CFF0FC"/>
          </w:tcPr>
          <w:p>
            <w:pPr>
              <w:jc w:val="right"/>
              <w:ind w:right="79"/>
              <w:spacing w:after="0"/>
              <w:rPr>
                <w:sz w:val="20"/>
                <w:szCs w:val="20"/>
                <w:color w:val="auto"/>
              </w:rPr>
            </w:pPr>
            <w:r>
              <w:rPr>
                <w:rFonts w:ascii="Arial" w:cs="Arial" w:eastAsia="Arial" w:hAnsi="Arial"/>
                <w:sz w:val="16"/>
                <w:szCs w:val="16"/>
                <w:color w:val="auto"/>
              </w:rPr>
              <w:t>83,357</w:t>
            </w:r>
          </w:p>
        </w:tc>
        <w:tc>
          <w:tcPr>
            <w:tcW w:w="300" w:type="dxa"/>
            <w:vAlign w:val="bottom"/>
            <w:shd w:val="clear" w:color="auto" w:fill="CFF0FC"/>
          </w:tcPr>
          <w:p>
            <w:pPr>
              <w:spacing w:after="0"/>
              <w:rPr>
                <w:sz w:val="16"/>
                <w:szCs w:val="16"/>
                <w:color w:val="auto"/>
              </w:rPr>
            </w:pPr>
          </w:p>
        </w:tc>
        <w:tc>
          <w:tcPr>
            <w:tcW w:w="150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85,698</w:t>
            </w:r>
          </w:p>
        </w:tc>
      </w:tr>
      <w:tr>
        <w:trPr>
          <w:trHeight w:val="189"/>
        </w:trPr>
        <w:tc>
          <w:tcPr>
            <w:tcW w:w="6040" w:type="dxa"/>
            <w:vAlign w:val="bottom"/>
          </w:tcPr>
          <w:p>
            <w:pPr>
              <w:spacing w:after="0"/>
              <w:rPr>
                <w:sz w:val="20"/>
                <w:szCs w:val="20"/>
                <w:color w:val="auto"/>
              </w:rPr>
            </w:pPr>
            <w:r>
              <w:rPr>
                <w:rFonts w:ascii="Arial" w:cs="Arial" w:eastAsia="Arial" w:hAnsi="Arial"/>
                <w:sz w:val="16"/>
                <w:szCs w:val="16"/>
                <w:color w:val="auto"/>
              </w:rPr>
              <w:t>Material right - first immunology license option</w:t>
            </w:r>
          </w:p>
        </w:tc>
        <w:tc>
          <w:tcPr>
            <w:tcW w:w="17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460" w:type="dxa"/>
            <w:vAlign w:val="bottom"/>
          </w:tcPr>
          <w:p>
            <w:pPr>
              <w:jc w:val="right"/>
              <w:ind w:right="79"/>
              <w:spacing w:after="0"/>
              <w:rPr>
                <w:sz w:val="20"/>
                <w:szCs w:val="20"/>
                <w:color w:val="auto"/>
              </w:rPr>
            </w:pPr>
            <w:r>
              <w:rPr>
                <w:rFonts w:ascii="Arial" w:cs="Arial" w:eastAsia="Arial" w:hAnsi="Arial"/>
                <w:sz w:val="16"/>
                <w:szCs w:val="16"/>
                <w:color w:val="auto"/>
              </w:rPr>
              <w:t>49,091</w:t>
            </w:r>
          </w:p>
        </w:tc>
        <w:tc>
          <w:tcPr>
            <w:tcW w:w="300" w:type="dxa"/>
            <w:vAlign w:val="bottom"/>
          </w:tcPr>
          <w:p>
            <w:pPr>
              <w:spacing w:after="0"/>
              <w:rPr>
                <w:sz w:val="16"/>
                <w:szCs w:val="16"/>
                <w:color w:val="auto"/>
              </w:rPr>
            </w:pPr>
          </w:p>
        </w:tc>
        <w:tc>
          <w:tcPr>
            <w:tcW w:w="1500" w:type="dxa"/>
            <w:vAlign w:val="bottom"/>
          </w:tcPr>
          <w:p>
            <w:pPr>
              <w:jc w:val="right"/>
              <w:ind w:right="39"/>
              <w:spacing w:after="0"/>
              <w:rPr>
                <w:sz w:val="20"/>
                <w:szCs w:val="20"/>
                <w:color w:val="auto"/>
              </w:rPr>
            </w:pPr>
            <w:r>
              <w:rPr>
                <w:rFonts w:ascii="Arial" w:cs="Arial" w:eastAsia="Arial" w:hAnsi="Arial"/>
                <w:sz w:val="16"/>
                <w:szCs w:val="16"/>
                <w:color w:val="auto"/>
              </w:rPr>
              <w:t>49,091</w:t>
            </w:r>
          </w:p>
        </w:tc>
      </w:tr>
      <w:tr>
        <w:trPr>
          <w:trHeight w:val="189"/>
        </w:trPr>
        <w:tc>
          <w:tcPr>
            <w:tcW w:w="604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6"/>
                <w:szCs w:val="16"/>
                <w:color w:val="auto"/>
              </w:rPr>
              <w:t>Material right - second immunology license option</w:t>
            </w:r>
          </w:p>
        </w:tc>
        <w:tc>
          <w:tcPr>
            <w:tcW w:w="1700" w:type="dxa"/>
            <w:vAlign w:val="bottom"/>
            <w:tcBorders>
              <w:bottom w:val="single" w:sz="8" w:color="CFF0FC"/>
            </w:tcBorders>
            <w:shd w:val="clear" w:color="auto" w:fill="CFF0FC"/>
          </w:tcPr>
          <w:p>
            <w:pPr>
              <w:spacing w:after="0"/>
              <w:rPr>
                <w:sz w:val="16"/>
                <w:szCs w:val="16"/>
                <w:color w:val="auto"/>
              </w:rPr>
            </w:pPr>
          </w:p>
        </w:tc>
        <w:tc>
          <w:tcPr>
            <w:tcW w:w="240" w:type="dxa"/>
            <w:vAlign w:val="bottom"/>
            <w:tcBorders>
              <w:bottom w:val="single" w:sz="8" w:color="auto"/>
            </w:tcBorders>
            <w:shd w:val="clear" w:color="auto" w:fill="CFF0FC"/>
          </w:tcPr>
          <w:p>
            <w:pPr>
              <w:spacing w:after="0"/>
              <w:rPr>
                <w:sz w:val="16"/>
                <w:szCs w:val="16"/>
                <w:color w:val="auto"/>
              </w:rPr>
            </w:pPr>
          </w:p>
        </w:tc>
        <w:tc>
          <w:tcPr>
            <w:tcW w:w="1460" w:type="dxa"/>
            <w:vAlign w:val="bottom"/>
            <w:tcBorders>
              <w:bottom w:val="single" w:sz="8" w:color="auto"/>
            </w:tcBorders>
            <w:shd w:val="clear" w:color="auto" w:fill="CFF0FC"/>
          </w:tcPr>
          <w:p>
            <w:pPr>
              <w:jc w:val="right"/>
              <w:ind w:right="79"/>
              <w:spacing w:after="0"/>
              <w:rPr>
                <w:sz w:val="20"/>
                <w:szCs w:val="20"/>
                <w:color w:val="auto"/>
              </w:rPr>
            </w:pPr>
            <w:r>
              <w:rPr>
                <w:rFonts w:ascii="Arial" w:cs="Arial" w:eastAsia="Arial" w:hAnsi="Arial"/>
                <w:sz w:val="16"/>
                <w:szCs w:val="16"/>
                <w:color w:val="auto"/>
              </w:rPr>
              <w:t>36,439</w:t>
            </w:r>
          </w:p>
        </w:tc>
        <w:tc>
          <w:tcPr>
            <w:tcW w:w="300" w:type="dxa"/>
            <w:vAlign w:val="bottom"/>
            <w:tcBorders>
              <w:bottom w:val="single" w:sz="8" w:color="auto"/>
            </w:tcBorders>
            <w:shd w:val="clear" w:color="auto" w:fill="CFF0FC"/>
          </w:tcPr>
          <w:p>
            <w:pPr>
              <w:spacing w:after="0"/>
              <w:rPr>
                <w:sz w:val="16"/>
                <w:szCs w:val="16"/>
                <w:color w:val="auto"/>
              </w:rPr>
            </w:pPr>
          </w:p>
        </w:tc>
        <w:tc>
          <w:tcPr>
            <w:tcW w:w="1500" w:type="dxa"/>
            <w:vAlign w:val="bottom"/>
            <w:tcBorders>
              <w:bottom w:val="single" w:sz="8" w:color="auto"/>
            </w:tcBorders>
            <w:shd w:val="clear" w:color="auto" w:fill="CFF0FC"/>
          </w:tcPr>
          <w:p>
            <w:pPr>
              <w:jc w:val="right"/>
              <w:ind w:right="39"/>
              <w:spacing w:after="0"/>
              <w:rPr>
                <w:sz w:val="20"/>
                <w:szCs w:val="20"/>
                <w:color w:val="auto"/>
              </w:rPr>
            </w:pPr>
            <w:r>
              <w:rPr>
                <w:rFonts w:ascii="Arial" w:cs="Arial" w:eastAsia="Arial" w:hAnsi="Arial"/>
                <w:sz w:val="16"/>
                <w:szCs w:val="16"/>
                <w:color w:val="auto"/>
              </w:rPr>
              <w:t>36,439</w:t>
            </w:r>
          </w:p>
        </w:tc>
      </w:tr>
      <w:tr>
        <w:trPr>
          <w:trHeight w:val="183"/>
        </w:trPr>
        <w:tc>
          <w:tcPr>
            <w:tcW w:w="6040" w:type="dxa"/>
            <w:vAlign w:val="bottom"/>
            <w:tcBorders>
              <w:bottom w:val="single" w:sz="8" w:color="auto"/>
            </w:tcBorders>
          </w:tcPr>
          <w:p>
            <w:pPr>
              <w:spacing w:after="0" w:line="183" w:lineRule="exact"/>
              <w:rPr>
                <w:sz w:val="20"/>
                <w:szCs w:val="20"/>
                <w:color w:val="auto"/>
              </w:rPr>
            </w:pPr>
            <w:r>
              <w:rPr>
                <w:rFonts w:ascii="Arial" w:cs="Arial" w:eastAsia="Arial" w:hAnsi="Arial"/>
                <w:sz w:val="16"/>
                <w:szCs w:val="16"/>
                <w:color w:val="auto"/>
              </w:rPr>
              <w:t>Total unearned amount of transaction price</w:t>
            </w:r>
          </w:p>
        </w:tc>
        <w:tc>
          <w:tcPr>
            <w:tcW w:w="1940" w:type="dxa"/>
            <w:vAlign w:val="bottom"/>
            <w:tcBorders>
              <w:bottom w:val="single" w:sz="8" w:color="auto"/>
            </w:tcBorders>
            <w:gridSpan w:val="2"/>
          </w:tcPr>
          <w:p>
            <w:pPr>
              <w:jc w:val="right"/>
              <w:ind w:right="140"/>
              <w:spacing w:after="0" w:line="183" w:lineRule="exact"/>
              <w:rPr>
                <w:sz w:val="20"/>
                <w:szCs w:val="20"/>
                <w:color w:val="auto"/>
              </w:rPr>
            </w:pPr>
            <w:r>
              <w:rPr>
                <w:rFonts w:ascii="Arial" w:cs="Arial" w:eastAsia="Arial" w:hAnsi="Arial"/>
                <w:sz w:val="16"/>
                <w:szCs w:val="16"/>
                <w:color w:val="auto"/>
              </w:rPr>
              <w:t>$</w:t>
            </w:r>
          </w:p>
        </w:tc>
        <w:tc>
          <w:tcPr>
            <w:tcW w:w="1460" w:type="dxa"/>
            <w:vAlign w:val="bottom"/>
            <w:tcBorders>
              <w:bottom w:val="single" w:sz="8" w:color="auto"/>
            </w:tcBorders>
          </w:tcPr>
          <w:p>
            <w:pPr>
              <w:jc w:val="right"/>
              <w:ind w:right="79"/>
              <w:spacing w:after="0" w:line="183" w:lineRule="exact"/>
              <w:rPr>
                <w:sz w:val="20"/>
                <w:szCs w:val="20"/>
                <w:color w:val="auto"/>
              </w:rPr>
            </w:pPr>
            <w:r>
              <w:rPr>
                <w:rFonts w:ascii="Arial" w:cs="Arial" w:eastAsia="Arial" w:hAnsi="Arial"/>
                <w:sz w:val="16"/>
                <w:szCs w:val="16"/>
                <w:color w:val="auto"/>
              </w:rPr>
              <w:t>175,701</w:t>
            </w:r>
          </w:p>
        </w:tc>
        <w:tc>
          <w:tcPr>
            <w:tcW w:w="30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w:t>
            </w:r>
          </w:p>
        </w:tc>
        <w:tc>
          <w:tcPr>
            <w:tcW w:w="1500" w:type="dxa"/>
            <w:vAlign w:val="bottom"/>
            <w:tcBorders>
              <w:bottom w:val="single" w:sz="8" w:color="auto"/>
            </w:tcBorders>
          </w:tcPr>
          <w:p>
            <w:pPr>
              <w:jc w:val="right"/>
              <w:ind w:right="39"/>
              <w:spacing w:after="0" w:line="183" w:lineRule="exact"/>
              <w:rPr>
                <w:sz w:val="20"/>
                <w:szCs w:val="20"/>
                <w:color w:val="auto"/>
              </w:rPr>
            </w:pPr>
            <w:r>
              <w:rPr>
                <w:rFonts w:ascii="Arial" w:cs="Arial" w:eastAsia="Arial" w:hAnsi="Arial"/>
                <w:sz w:val="16"/>
                <w:szCs w:val="16"/>
                <w:color w:val="auto"/>
              </w:rPr>
              <w:t>178,247</w:t>
            </w:r>
          </w:p>
        </w:tc>
      </w:tr>
    </w:tbl>
    <w:p>
      <w:pPr>
        <w:spacing w:after="0" w:line="89" w:lineRule="exact"/>
        <w:rPr>
          <w:sz w:val="20"/>
          <w:szCs w:val="20"/>
          <w:color w:val="auto"/>
        </w:rPr>
      </w:pPr>
    </w:p>
    <w:p>
      <w:pPr>
        <w:jc w:val="both"/>
        <w:ind w:right="140"/>
        <w:spacing w:after="0" w:line="244" w:lineRule="auto"/>
        <w:rPr>
          <w:sz w:val="20"/>
          <w:szCs w:val="20"/>
          <w:color w:val="auto"/>
        </w:rPr>
      </w:pPr>
      <w:r>
        <w:rPr>
          <w:rFonts w:ascii="Arial" w:cs="Arial" w:eastAsia="Arial" w:hAnsi="Arial"/>
          <w:sz w:val="18"/>
          <w:szCs w:val="18"/>
          <w:color w:val="auto"/>
        </w:rPr>
        <w:t>The Company expects that that the remaining deferred revenue for the license and research services for a named immunology target and research services for two additional immunology targets to be recognized within 54 months. The deferred revenue related to material right license options will be recognized when Novartis exercises such options rights or at the expiration of the option rights. Due to the uncertain nature of the research and development being performed by the Company, it may take longer than anticipated to recognize revenue related to the performance obligations related to research services.</w:t>
      </w:r>
    </w:p>
    <w:p>
      <w:pPr>
        <w:spacing w:after="0" w:line="5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10. Equity</w:t>
      </w:r>
    </w:p>
    <w:p>
      <w:pPr>
        <w:spacing w:after="0" w:line="1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Undesignated preferred stock</w:t>
      </w:r>
    </w:p>
    <w:p>
      <w:pPr>
        <w:spacing w:after="0" w:line="102" w:lineRule="exact"/>
        <w:rPr>
          <w:sz w:val="20"/>
          <w:szCs w:val="20"/>
          <w:color w:val="auto"/>
        </w:rPr>
      </w:pPr>
    </w:p>
    <w:p>
      <w:pPr>
        <w:ind w:right="40"/>
        <w:spacing w:after="0" w:line="271" w:lineRule="auto"/>
        <w:rPr>
          <w:sz w:val="20"/>
          <w:szCs w:val="20"/>
          <w:color w:val="auto"/>
        </w:rPr>
      </w:pPr>
      <w:r>
        <w:rPr>
          <w:rFonts w:ascii="Arial" w:cs="Arial" w:eastAsia="Arial" w:hAnsi="Arial"/>
          <w:sz w:val="18"/>
          <w:szCs w:val="18"/>
          <w:color w:val="auto"/>
        </w:rPr>
        <w:t>The Company had 10,000,000 shares authorized of undesignated preferred stock, par value of $0.0001, of which no shares were issued and outstanding as of March 31, 2026.</w:t>
      </w:r>
    </w:p>
    <w:p>
      <w:pPr>
        <w:spacing w:after="0" w:line="4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Common stock</w:t>
      </w:r>
    </w:p>
    <w:p>
      <w:pPr>
        <w:spacing w:after="0" w:line="102" w:lineRule="exact"/>
        <w:rPr>
          <w:sz w:val="20"/>
          <w:szCs w:val="20"/>
          <w:color w:val="auto"/>
        </w:rPr>
      </w:pPr>
    </w:p>
    <w:p>
      <w:pPr>
        <w:ind w:right="180"/>
        <w:spacing w:after="0" w:line="271" w:lineRule="auto"/>
        <w:rPr>
          <w:sz w:val="20"/>
          <w:szCs w:val="20"/>
          <w:color w:val="auto"/>
        </w:rPr>
      </w:pPr>
      <w:r>
        <w:rPr>
          <w:rFonts w:ascii="Arial" w:cs="Arial" w:eastAsia="Arial" w:hAnsi="Arial"/>
          <w:sz w:val="18"/>
          <w:szCs w:val="18"/>
          <w:color w:val="auto"/>
        </w:rPr>
        <w:t>The Company had 500,000,000 shares of common stock authorized, of which 84,321,705 shares were issued and outstanding as of March 31, 2026.</w:t>
      </w:r>
    </w:p>
    <w:p>
      <w:pPr>
        <w:spacing w:after="0" w:line="46" w:lineRule="exact"/>
        <w:rPr>
          <w:sz w:val="20"/>
          <w:szCs w:val="20"/>
          <w:color w:val="auto"/>
        </w:rPr>
      </w:pPr>
    </w:p>
    <w:p>
      <w:pPr>
        <w:ind w:right="20"/>
        <w:spacing w:after="0" w:line="244" w:lineRule="auto"/>
        <w:rPr>
          <w:sz w:val="20"/>
          <w:szCs w:val="20"/>
          <w:color w:val="auto"/>
        </w:rPr>
      </w:pPr>
      <w:r>
        <w:rPr>
          <w:rFonts w:ascii="Arial" w:cs="Arial" w:eastAsia="Arial" w:hAnsi="Arial"/>
          <w:sz w:val="18"/>
          <w:szCs w:val="18"/>
          <w:color w:val="auto"/>
        </w:rPr>
        <w:t>Additionally, as of March 31, 2026, the Company has 16,997,266 outstanding pre-funded warrants to purchase shares of the Company's common stock to accredited investors. The pre-funded warrants are immediately exercisable at an exercise price of $0.0001 per share at any time after the date of issuance. A holder of a pre-funded warrant may not exercise such pre-funded warrant if the holder, together with its affiliates, would beneficially own more than 4.99% (or, at the election of the holder, up to 19.99%) of the number of shares of the Company’s common stock outstanding immediately after giving effect to such exercise.</w:t>
      </w:r>
    </w:p>
    <w:p>
      <w:pPr>
        <w:spacing w:after="0" w:line="68" w:lineRule="exact"/>
        <w:rPr>
          <w:sz w:val="20"/>
          <w:szCs w:val="20"/>
          <w:color w:val="auto"/>
        </w:rPr>
      </w:pPr>
    </w:p>
    <w:p>
      <w:pPr>
        <w:ind w:right="60"/>
        <w:spacing w:after="0"/>
        <w:rPr>
          <w:sz w:val="20"/>
          <w:szCs w:val="20"/>
          <w:color w:val="auto"/>
        </w:rPr>
      </w:pPr>
      <w:r>
        <w:rPr>
          <w:rFonts w:ascii="Arial" w:cs="Arial" w:eastAsia="Arial" w:hAnsi="Arial"/>
          <w:sz w:val="18"/>
          <w:szCs w:val="18"/>
          <w:color w:val="auto"/>
        </w:rPr>
        <w:t xml:space="preserve">The Company has assessed the pre-funded warrants for appropriate equity or liability classification. During this assessment, the Company determined the pre-funded warrants are a freestanding instrument that does not meet the definition of a liability pursuant to ASC 480 and does not meet the definition of a derivative pursuant to ASC 815. The pre-funded warrants are indexed to the Company’s common stock and meet all other conditions for equity classification under ASC 480 and ASC 815. Based on the results of this assessment, the Company concluded that the pre-funded warrants are a freestanding equity-linked financial instrument that meets the criteria for equity classification under ASC 480 and ASC 815. Accordingly, the pre-funded warrants are classified as equity and are accounted for as a component of additional paid-in capital at the time of issuance. The Company also determined that the pre-funded warrants should be included in the determination of basic and diluted earnings per share in accordance with ASC 260, </w:t>
      </w:r>
      <w:r>
        <w:rPr>
          <w:rFonts w:ascii="Arial" w:cs="Arial" w:eastAsia="Arial" w:hAnsi="Arial"/>
          <w:sz w:val="18"/>
          <w:szCs w:val="18"/>
          <w:i w:val="1"/>
          <w:iCs w:val="1"/>
          <w:color w:val="auto"/>
        </w:rPr>
        <w:t>Earnings per Share</w:t>
      </w:r>
      <w:r>
        <w:rPr>
          <w:rFonts w:ascii="Arial" w:cs="Arial" w:eastAsia="Arial" w:hAnsi="Arial"/>
          <w:sz w:val="18"/>
          <w:szCs w:val="18"/>
          <w:color w:val="auto"/>
        </w:rPr>
        <w:t>.</w:t>
      </w:r>
    </w:p>
    <w:p>
      <w:pPr>
        <w:spacing w:after="0" w:line="72" w:lineRule="exact"/>
        <w:rPr>
          <w:sz w:val="20"/>
          <w:szCs w:val="20"/>
          <w:color w:val="auto"/>
        </w:rPr>
      </w:pPr>
    </w:p>
    <w:p>
      <w:pPr>
        <w:jc w:val="both"/>
        <w:ind w:right="60"/>
        <w:spacing w:after="0" w:line="253" w:lineRule="auto"/>
        <w:rPr>
          <w:sz w:val="20"/>
          <w:szCs w:val="20"/>
          <w:color w:val="auto"/>
        </w:rPr>
      </w:pPr>
      <w:r>
        <w:rPr>
          <w:rFonts w:ascii="Arial" w:cs="Arial" w:eastAsia="Arial" w:hAnsi="Arial"/>
          <w:sz w:val="18"/>
          <w:szCs w:val="18"/>
          <w:color w:val="auto"/>
        </w:rPr>
        <w:t>The holders of common stock are entitled to dividends when and if declared by the Company's board of directors, subject to the preferences applicable to any outstanding shares of preferred stock. The Company's board of directors has not declared any dividends and the Company has not paid any dividends.</w:t>
      </w:r>
    </w:p>
    <w:p>
      <w:pPr>
        <w:spacing w:after="0" w:line="61" w:lineRule="exact"/>
        <w:rPr>
          <w:sz w:val="20"/>
          <w:szCs w:val="20"/>
          <w:color w:val="auto"/>
        </w:rPr>
      </w:pPr>
    </w:p>
    <w:p>
      <w:pPr>
        <w:spacing w:after="0"/>
        <w:rPr>
          <w:sz w:val="20"/>
          <w:szCs w:val="20"/>
          <w:color w:val="auto"/>
        </w:rPr>
      </w:pPr>
      <w:r>
        <w:rPr>
          <w:rFonts w:ascii="Arial" w:cs="Arial" w:eastAsia="Arial" w:hAnsi="Arial"/>
          <w:sz w:val="18"/>
          <w:szCs w:val="18"/>
          <w:color w:val="auto"/>
        </w:rPr>
        <w:t>The holders of common stock are entitled to one vote per share on all matters to be voted upon by the stockholders.</w:t>
      </w:r>
    </w:p>
    <w:p>
      <w:pPr>
        <w:spacing w:after="0" w:line="3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20" w:right="339" w:bottom="1440" w:gutter="0" w:footer="0" w:header="0"/>
        </w:sectPr>
      </w:pPr>
    </w:p>
    <w:bookmarkStart w:id="17" w:name="page18"/>
    <w:bookmarkEnd w:id="17"/>
    <w:p>
      <w:pPr>
        <w:ind w:right="40"/>
        <w:spacing w:after="0" w:line="244" w:lineRule="auto"/>
        <w:rPr>
          <w:sz w:val="20"/>
          <w:szCs w:val="20"/>
          <w:color w:val="auto"/>
        </w:rPr>
      </w:pPr>
      <w:r>
        <w:rPr>
          <w:rFonts w:ascii="Arial" w:cs="Arial" w:eastAsia="Arial" w:hAnsi="Arial"/>
          <w:sz w:val="18"/>
          <w:szCs w:val="18"/>
          <w:color w:val="auto"/>
        </w:rPr>
        <w:t>During the three months ended March 31, 2026, 5,016,658 pre-funded warrants were exercised. These exercises included net-settlements pursuant to the terms of the applicable pre-funded warrant agreements, whereby the holders elected to have pre-funded warrants withheld in a cashless exercise in lieu of paying the $0.0001 per share exercise price. As a result, 30 pre-funded warrants were withheld to cover the aggregate exercise price, resulting in the issuance of a total of 5,016,628 shares of common stock from the exercise of pre-funded warrants during the three months ended March 31, 2026. During the three months ended March 31, 2025, no pre-funded warrants were exercised.</w:t>
      </w:r>
    </w:p>
    <w:p>
      <w:pPr>
        <w:spacing w:after="0" w:line="68" w:lineRule="exact"/>
        <w:rPr>
          <w:sz w:val="20"/>
          <w:szCs w:val="20"/>
          <w:color w:val="auto"/>
        </w:rPr>
      </w:pPr>
    </w:p>
    <w:p>
      <w:pPr>
        <w:ind w:right="280"/>
        <w:spacing w:after="0" w:line="271" w:lineRule="auto"/>
        <w:rPr>
          <w:sz w:val="20"/>
          <w:szCs w:val="20"/>
          <w:color w:val="auto"/>
        </w:rPr>
      </w:pPr>
      <w:r>
        <w:rPr>
          <w:rFonts w:ascii="Arial" w:cs="Arial" w:eastAsia="Arial" w:hAnsi="Arial"/>
          <w:sz w:val="18"/>
          <w:szCs w:val="18"/>
          <w:color w:val="auto"/>
        </w:rPr>
        <w:t>As of March 31, 2026 and December 31, 2025, the Company has reserved the following shares of common stock for the exercise of stock options, vesting of restricted stock and pre-funded warrants:</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7680" w:type="dxa"/>
            <w:vAlign w:val="bottom"/>
            <w:tcBorders>
              <w:top w:val="single" w:sz="8" w:color="auto"/>
            </w:tcBorders>
          </w:tcPr>
          <w:p>
            <w:pPr>
              <w:spacing w:after="0"/>
              <w:rPr>
                <w:sz w:val="16"/>
                <w:szCs w:val="16"/>
                <w:color w:val="auto"/>
              </w:rPr>
            </w:pPr>
          </w:p>
        </w:tc>
        <w:tc>
          <w:tcPr>
            <w:tcW w:w="1840" w:type="dxa"/>
            <w:vAlign w:val="bottom"/>
            <w:tcBorders>
              <w:top w:val="single" w:sz="8" w:color="auto"/>
            </w:tcBorders>
          </w:tcPr>
          <w:p>
            <w:pPr>
              <w:jc w:val="right"/>
              <w:ind w:right="599"/>
              <w:spacing w:after="0"/>
              <w:rPr>
                <w:sz w:val="20"/>
                <w:szCs w:val="20"/>
                <w:color w:val="auto"/>
              </w:rPr>
            </w:pPr>
            <w:r>
              <w:rPr>
                <w:rFonts w:ascii="Arial" w:cs="Arial" w:eastAsia="Arial" w:hAnsi="Arial"/>
                <w:sz w:val="16"/>
                <w:szCs w:val="16"/>
                <w:b w:val="1"/>
                <w:bCs w:val="1"/>
                <w:color w:val="auto"/>
              </w:rPr>
              <w:t>March 31,</w:t>
            </w:r>
          </w:p>
        </w:tc>
        <w:tc>
          <w:tcPr>
            <w:tcW w:w="1720" w:type="dxa"/>
            <w:vAlign w:val="bottom"/>
            <w:tcBorders>
              <w:top w:val="single" w:sz="8" w:color="auto"/>
            </w:tcBorders>
          </w:tcPr>
          <w:p>
            <w:pPr>
              <w:jc w:val="right"/>
              <w:ind w:right="339"/>
              <w:spacing w:after="0"/>
              <w:rPr>
                <w:sz w:val="20"/>
                <w:szCs w:val="20"/>
                <w:color w:val="auto"/>
              </w:rPr>
            </w:pPr>
            <w:r>
              <w:rPr>
                <w:rFonts w:ascii="Arial" w:cs="Arial" w:eastAsia="Arial" w:hAnsi="Arial"/>
                <w:sz w:val="16"/>
                <w:szCs w:val="16"/>
                <w:b w:val="1"/>
                <w:bCs w:val="1"/>
                <w:color w:val="auto"/>
              </w:rPr>
              <w:t>December 31,</w:t>
            </w:r>
          </w:p>
        </w:tc>
      </w:tr>
      <w:tr>
        <w:trPr>
          <w:trHeight w:val="203"/>
        </w:trPr>
        <w:tc>
          <w:tcPr>
            <w:tcW w:w="7680" w:type="dxa"/>
            <w:vAlign w:val="bottom"/>
            <w:tcBorders>
              <w:bottom w:val="single" w:sz="8" w:color="auto"/>
            </w:tcBorders>
          </w:tcPr>
          <w:p>
            <w:pPr>
              <w:spacing w:after="0"/>
              <w:rPr>
                <w:sz w:val="17"/>
                <w:szCs w:val="17"/>
                <w:color w:val="auto"/>
              </w:rPr>
            </w:pPr>
          </w:p>
        </w:tc>
        <w:tc>
          <w:tcPr>
            <w:tcW w:w="1840" w:type="dxa"/>
            <w:vAlign w:val="bottom"/>
            <w:tcBorders>
              <w:bottom w:val="single" w:sz="8" w:color="auto"/>
            </w:tcBorders>
          </w:tcPr>
          <w:p>
            <w:pPr>
              <w:jc w:val="right"/>
              <w:ind w:right="779"/>
              <w:spacing w:after="0"/>
              <w:rPr>
                <w:sz w:val="20"/>
                <w:szCs w:val="20"/>
                <w:color w:val="auto"/>
              </w:rPr>
            </w:pPr>
            <w:r>
              <w:rPr>
                <w:rFonts w:ascii="Arial" w:cs="Arial" w:eastAsia="Arial" w:hAnsi="Arial"/>
                <w:sz w:val="16"/>
                <w:szCs w:val="16"/>
                <w:b w:val="1"/>
                <w:bCs w:val="1"/>
                <w:color w:val="auto"/>
              </w:rPr>
              <w:t>2026</w:t>
            </w:r>
          </w:p>
        </w:tc>
        <w:tc>
          <w:tcPr>
            <w:tcW w:w="1720" w:type="dxa"/>
            <w:vAlign w:val="bottom"/>
            <w:tcBorders>
              <w:bottom w:val="single" w:sz="8" w:color="auto"/>
            </w:tcBorders>
          </w:tcPr>
          <w:p>
            <w:pPr>
              <w:jc w:val="right"/>
              <w:ind w:right="659"/>
              <w:spacing w:after="0"/>
              <w:rPr>
                <w:sz w:val="20"/>
                <w:szCs w:val="20"/>
                <w:color w:val="auto"/>
              </w:rPr>
            </w:pPr>
            <w:r>
              <w:rPr>
                <w:rFonts w:ascii="Arial" w:cs="Arial" w:eastAsia="Arial" w:hAnsi="Arial"/>
                <w:sz w:val="16"/>
                <w:szCs w:val="16"/>
                <w:b w:val="1"/>
                <w:bCs w:val="1"/>
                <w:color w:val="auto"/>
              </w:rPr>
              <w:t>2025</w:t>
            </w:r>
          </w:p>
        </w:tc>
      </w:tr>
      <w:tr>
        <w:trPr>
          <w:trHeight w:val="183"/>
        </w:trPr>
        <w:tc>
          <w:tcPr>
            <w:tcW w:w="7680" w:type="dxa"/>
            <w:vAlign w:val="bottom"/>
            <w:shd w:val="clear" w:color="auto" w:fill="CFF0FC"/>
          </w:tcPr>
          <w:p>
            <w:pPr>
              <w:spacing w:after="0" w:line="183" w:lineRule="exact"/>
              <w:rPr>
                <w:sz w:val="20"/>
                <w:szCs w:val="20"/>
                <w:color w:val="auto"/>
              </w:rPr>
            </w:pPr>
            <w:r>
              <w:rPr>
                <w:rFonts w:ascii="Arial" w:cs="Arial" w:eastAsia="Arial" w:hAnsi="Arial"/>
                <w:sz w:val="16"/>
                <w:szCs w:val="16"/>
                <w:color w:val="auto"/>
              </w:rPr>
              <w:t>Options to purchase common stock</w:t>
            </w:r>
          </w:p>
        </w:tc>
        <w:tc>
          <w:tcPr>
            <w:tcW w:w="1840" w:type="dxa"/>
            <w:vAlign w:val="bottom"/>
            <w:shd w:val="clear" w:color="auto" w:fill="CFF0FC"/>
          </w:tcPr>
          <w:p>
            <w:pPr>
              <w:jc w:val="right"/>
              <w:ind w:right="159"/>
              <w:spacing w:after="0" w:line="183" w:lineRule="exact"/>
              <w:rPr>
                <w:sz w:val="20"/>
                <w:szCs w:val="20"/>
                <w:color w:val="auto"/>
              </w:rPr>
            </w:pPr>
            <w:r>
              <w:rPr>
                <w:rFonts w:ascii="Arial" w:cs="Arial" w:eastAsia="Arial" w:hAnsi="Arial"/>
                <w:sz w:val="16"/>
                <w:szCs w:val="16"/>
                <w:color w:val="auto"/>
              </w:rPr>
              <w:t>15,989,324</w:t>
            </w:r>
          </w:p>
        </w:tc>
        <w:tc>
          <w:tcPr>
            <w:tcW w:w="1720" w:type="dxa"/>
            <w:vAlign w:val="bottom"/>
            <w:shd w:val="clear" w:color="auto" w:fill="CFF0FC"/>
          </w:tcPr>
          <w:p>
            <w:pPr>
              <w:jc w:val="right"/>
              <w:ind w:right="39"/>
              <w:spacing w:after="0" w:line="183" w:lineRule="exact"/>
              <w:rPr>
                <w:sz w:val="20"/>
                <w:szCs w:val="20"/>
                <w:color w:val="auto"/>
              </w:rPr>
            </w:pPr>
            <w:r>
              <w:rPr>
                <w:rFonts w:ascii="Arial" w:cs="Arial" w:eastAsia="Arial" w:hAnsi="Arial"/>
                <w:sz w:val="16"/>
                <w:szCs w:val="16"/>
                <w:color w:val="auto"/>
              </w:rPr>
              <w:t>14,064,599</w:t>
            </w:r>
          </w:p>
        </w:tc>
      </w:tr>
      <w:tr>
        <w:trPr>
          <w:trHeight w:val="189"/>
        </w:trPr>
        <w:tc>
          <w:tcPr>
            <w:tcW w:w="7680" w:type="dxa"/>
            <w:vAlign w:val="bottom"/>
          </w:tcPr>
          <w:p>
            <w:pPr>
              <w:spacing w:after="0"/>
              <w:rPr>
                <w:sz w:val="20"/>
                <w:szCs w:val="20"/>
                <w:color w:val="auto"/>
              </w:rPr>
            </w:pPr>
            <w:r>
              <w:rPr>
                <w:rFonts w:ascii="Arial" w:cs="Arial" w:eastAsia="Arial" w:hAnsi="Arial"/>
                <w:sz w:val="16"/>
                <w:szCs w:val="16"/>
                <w:color w:val="auto"/>
              </w:rPr>
              <w:t>Unvested restricted common stock units</w:t>
            </w:r>
          </w:p>
        </w:tc>
        <w:tc>
          <w:tcPr>
            <w:tcW w:w="1840" w:type="dxa"/>
            <w:vAlign w:val="bottom"/>
          </w:tcPr>
          <w:p>
            <w:pPr>
              <w:jc w:val="right"/>
              <w:ind w:right="159"/>
              <w:spacing w:after="0"/>
              <w:rPr>
                <w:sz w:val="20"/>
                <w:szCs w:val="20"/>
                <w:color w:val="auto"/>
              </w:rPr>
            </w:pPr>
            <w:r>
              <w:rPr>
                <w:rFonts w:ascii="Arial" w:cs="Arial" w:eastAsia="Arial" w:hAnsi="Arial"/>
                <w:sz w:val="16"/>
                <w:szCs w:val="16"/>
                <w:color w:val="auto"/>
              </w:rPr>
              <w:t>1,149,012</w:t>
            </w:r>
          </w:p>
        </w:tc>
        <w:tc>
          <w:tcPr>
            <w:tcW w:w="1720" w:type="dxa"/>
            <w:vAlign w:val="bottom"/>
          </w:tcPr>
          <w:p>
            <w:pPr>
              <w:jc w:val="right"/>
              <w:ind w:right="39"/>
              <w:spacing w:after="0"/>
              <w:rPr>
                <w:sz w:val="20"/>
                <w:szCs w:val="20"/>
                <w:color w:val="auto"/>
              </w:rPr>
            </w:pPr>
            <w:r>
              <w:rPr>
                <w:rFonts w:ascii="Arial" w:cs="Arial" w:eastAsia="Arial" w:hAnsi="Arial"/>
                <w:sz w:val="16"/>
                <w:szCs w:val="16"/>
                <w:color w:val="auto"/>
              </w:rPr>
              <w:t>775,765</w:t>
            </w:r>
          </w:p>
        </w:tc>
      </w:tr>
      <w:tr>
        <w:trPr>
          <w:trHeight w:val="189"/>
        </w:trPr>
        <w:tc>
          <w:tcPr>
            <w:tcW w:w="768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6"/>
                <w:szCs w:val="16"/>
                <w:color w:val="auto"/>
              </w:rPr>
              <w:t>Pre-funded warrants</w:t>
            </w:r>
          </w:p>
        </w:tc>
        <w:tc>
          <w:tcPr>
            <w:tcW w:w="1840" w:type="dxa"/>
            <w:vAlign w:val="bottom"/>
            <w:tcBorders>
              <w:bottom w:val="single" w:sz="8" w:color="auto"/>
            </w:tcBorders>
            <w:shd w:val="clear" w:color="auto" w:fill="CFF0FC"/>
          </w:tcPr>
          <w:p>
            <w:pPr>
              <w:jc w:val="right"/>
              <w:ind w:right="159"/>
              <w:spacing w:after="0"/>
              <w:rPr>
                <w:sz w:val="20"/>
                <w:szCs w:val="20"/>
                <w:color w:val="auto"/>
              </w:rPr>
            </w:pPr>
            <w:r>
              <w:rPr>
                <w:rFonts w:ascii="Arial" w:cs="Arial" w:eastAsia="Arial" w:hAnsi="Arial"/>
                <w:sz w:val="16"/>
                <w:szCs w:val="16"/>
                <w:color w:val="auto"/>
              </w:rPr>
              <w:t>16,997,296</w:t>
            </w:r>
          </w:p>
        </w:tc>
        <w:tc>
          <w:tcPr>
            <w:tcW w:w="1720" w:type="dxa"/>
            <w:vAlign w:val="bottom"/>
            <w:tcBorders>
              <w:bottom w:val="single" w:sz="8" w:color="auto"/>
            </w:tcBorders>
            <w:shd w:val="clear" w:color="auto" w:fill="CFF0FC"/>
          </w:tcPr>
          <w:p>
            <w:pPr>
              <w:jc w:val="right"/>
              <w:ind w:right="39"/>
              <w:spacing w:after="0"/>
              <w:rPr>
                <w:sz w:val="20"/>
                <w:szCs w:val="20"/>
                <w:color w:val="auto"/>
              </w:rPr>
            </w:pPr>
            <w:r>
              <w:rPr>
                <w:rFonts w:ascii="Arial" w:cs="Arial" w:eastAsia="Arial" w:hAnsi="Arial"/>
                <w:sz w:val="16"/>
                <w:szCs w:val="16"/>
                <w:color w:val="auto"/>
              </w:rPr>
              <w:t>20,638,924</w:t>
            </w:r>
          </w:p>
        </w:tc>
      </w:tr>
      <w:tr>
        <w:trPr>
          <w:trHeight w:val="183"/>
        </w:trPr>
        <w:tc>
          <w:tcPr>
            <w:tcW w:w="7680" w:type="dxa"/>
            <w:vAlign w:val="bottom"/>
            <w:tcBorders>
              <w:bottom w:val="single" w:sz="8" w:color="auto"/>
            </w:tcBorders>
          </w:tcPr>
          <w:p>
            <w:pPr>
              <w:spacing w:after="0"/>
              <w:rPr>
                <w:sz w:val="15"/>
                <w:szCs w:val="15"/>
                <w:color w:val="auto"/>
              </w:rPr>
            </w:pPr>
          </w:p>
        </w:tc>
        <w:tc>
          <w:tcPr>
            <w:tcW w:w="1840" w:type="dxa"/>
            <w:vAlign w:val="bottom"/>
            <w:tcBorders>
              <w:bottom w:val="single" w:sz="8" w:color="auto"/>
            </w:tcBorders>
          </w:tcPr>
          <w:p>
            <w:pPr>
              <w:jc w:val="right"/>
              <w:ind w:right="159"/>
              <w:spacing w:after="0" w:line="183" w:lineRule="exact"/>
              <w:rPr>
                <w:sz w:val="20"/>
                <w:szCs w:val="20"/>
                <w:color w:val="auto"/>
              </w:rPr>
            </w:pPr>
            <w:r>
              <w:rPr>
                <w:rFonts w:ascii="Arial" w:cs="Arial" w:eastAsia="Arial" w:hAnsi="Arial"/>
                <w:sz w:val="16"/>
                <w:szCs w:val="16"/>
                <w:color w:val="auto"/>
              </w:rPr>
              <w:t>34,135,632</w:t>
            </w:r>
          </w:p>
        </w:tc>
        <w:tc>
          <w:tcPr>
            <w:tcW w:w="1720" w:type="dxa"/>
            <w:vAlign w:val="bottom"/>
            <w:tcBorders>
              <w:bottom w:val="single" w:sz="8" w:color="auto"/>
            </w:tcBorders>
          </w:tcPr>
          <w:p>
            <w:pPr>
              <w:jc w:val="right"/>
              <w:ind w:right="39"/>
              <w:spacing w:after="0" w:line="183" w:lineRule="exact"/>
              <w:rPr>
                <w:sz w:val="20"/>
                <w:szCs w:val="20"/>
                <w:color w:val="auto"/>
              </w:rPr>
            </w:pPr>
            <w:r>
              <w:rPr>
                <w:rFonts w:ascii="Arial" w:cs="Arial" w:eastAsia="Arial" w:hAnsi="Arial"/>
                <w:sz w:val="16"/>
                <w:szCs w:val="16"/>
                <w:color w:val="auto"/>
              </w:rPr>
              <w:t>35,479,288</w:t>
            </w:r>
          </w:p>
        </w:tc>
      </w:tr>
    </w:tbl>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At-the-market offerings</w:t>
      </w:r>
    </w:p>
    <w:p>
      <w:pPr>
        <w:spacing w:after="0" w:line="102" w:lineRule="exact"/>
        <w:rPr>
          <w:sz w:val="20"/>
          <w:szCs w:val="20"/>
          <w:color w:val="auto"/>
        </w:rPr>
      </w:pPr>
    </w:p>
    <w:p>
      <w:pPr>
        <w:ind w:right="60"/>
        <w:spacing w:after="0" w:line="244" w:lineRule="auto"/>
        <w:rPr>
          <w:sz w:val="20"/>
          <w:szCs w:val="20"/>
          <w:color w:val="auto"/>
        </w:rPr>
      </w:pPr>
      <w:r>
        <w:rPr>
          <w:rFonts w:ascii="Arial" w:cs="Arial" w:eastAsia="Arial" w:hAnsi="Arial"/>
          <w:sz w:val="18"/>
          <w:szCs w:val="18"/>
          <w:color w:val="auto"/>
        </w:rPr>
        <w:t>In July 2022, the Company entered into a sales agreement, or the 2022 Sales Agreement, with Jefferies LLC, or Jefferies, as amended on March 20, 2025, pursuant to which the Company could offer and sell shares of its common stock pursuant to the then-effective prospectus from time to time in “at-the-market” offerings through Jefferies, as the Company’s sales agent. Effective January 7, 2026, the Company terminated the prospectus pursuant to which it had been able to sell shares from time to time in at-the-market offerings under the 2022 Sales Agreement.</w:t>
      </w:r>
    </w:p>
    <w:p>
      <w:pPr>
        <w:spacing w:after="0" w:line="68" w:lineRule="exact"/>
        <w:rPr>
          <w:sz w:val="20"/>
          <w:szCs w:val="20"/>
          <w:color w:val="auto"/>
        </w:rPr>
      </w:pPr>
    </w:p>
    <w:p>
      <w:pPr>
        <w:ind w:right="20"/>
        <w:spacing w:after="0" w:line="242" w:lineRule="auto"/>
        <w:rPr>
          <w:sz w:val="20"/>
          <w:szCs w:val="20"/>
          <w:color w:val="auto"/>
        </w:rPr>
      </w:pPr>
      <w:r>
        <w:rPr>
          <w:rFonts w:ascii="Arial" w:cs="Arial" w:eastAsia="Arial" w:hAnsi="Arial"/>
          <w:sz w:val="18"/>
          <w:szCs w:val="18"/>
          <w:color w:val="auto"/>
        </w:rPr>
        <w:t>On February 11, 2026, the Company filed a registration statement on Form S-3ASR (File No. 333-293389) with the SEC, or the 2026 Automatic Shelf Registration Statement, in relation to the registration of common stock, preferred stock, debt securities, warrants and/or units of any combination thereof for the purposes of selling, from time to time, our common stock, debt securities or other equity securities in one or more offerings. In connection with the ATM Program and pursuant to the 2026 Automatic Shelf Registration Statement, the Company filed a new prospectus supplement with the SEC on February 11, 2026, for the offer and sale of up to $100.0 million of shares of common stock from time to time through Jefferies.</w:t>
      </w:r>
    </w:p>
    <w:p>
      <w:pPr>
        <w:spacing w:after="0" w:line="71" w:lineRule="exact"/>
        <w:rPr>
          <w:sz w:val="20"/>
          <w:szCs w:val="20"/>
          <w:color w:val="auto"/>
        </w:rPr>
      </w:pPr>
    </w:p>
    <w:p>
      <w:pPr>
        <w:ind w:right="280"/>
        <w:spacing w:after="0" w:line="253" w:lineRule="auto"/>
        <w:rPr>
          <w:sz w:val="20"/>
          <w:szCs w:val="20"/>
          <w:color w:val="auto"/>
        </w:rPr>
      </w:pPr>
      <w:r>
        <w:rPr>
          <w:rFonts w:ascii="Arial" w:cs="Arial" w:eastAsia="Arial" w:hAnsi="Arial"/>
          <w:sz w:val="18"/>
          <w:szCs w:val="18"/>
          <w:color w:val="auto"/>
        </w:rPr>
        <w:t>The Company agreed to pay Jefferies a commission of up to 3.0% of the gross proceeds of any shares sold by Jefferies under the Sales Agreement. During the three months ended March 31, 2026 and 2025, the Company did not sell shares of common stock under the Sales Agreement.</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Underwritten public offerings</w:t>
      </w:r>
    </w:p>
    <w:p>
      <w:pPr>
        <w:spacing w:after="0" w:line="102" w:lineRule="exact"/>
        <w:rPr>
          <w:sz w:val="20"/>
          <w:szCs w:val="20"/>
          <w:color w:val="auto"/>
        </w:rPr>
      </w:pPr>
    </w:p>
    <w:p>
      <w:pPr>
        <w:ind w:right="200"/>
        <w:spacing w:after="0"/>
        <w:rPr>
          <w:sz w:val="20"/>
          <w:szCs w:val="20"/>
          <w:color w:val="auto"/>
        </w:rPr>
      </w:pPr>
      <w:r>
        <w:rPr>
          <w:rFonts w:ascii="Arial" w:cs="Arial" w:eastAsia="Arial" w:hAnsi="Arial"/>
          <w:sz w:val="18"/>
          <w:szCs w:val="18"/>
          <w:color w:val="auto"/>
        </w:rPr>
        <w:t>In May 2024, the Company entered into an underwriting agreement with TD Securities (USA) LLC, as representative of the several underwriters, related to an underwritten public offering, or the 2024 Offering, of 10,638,476 shares of common stock at a price of $4.70 per share, and, in lieu of common stock to certain investors, pre-funded warrants to purchase 10,638,524 shares of common stock at a price of $4.6999 per pre-funded warrant, which represents the price per share at which shares of common stock were sold in this 2024 Offering, minus $0.0001, which is the exercise price of each pre-funded warrant. The pre-funded warrants are immediately exercisable and may be exercised at any time until the pre-funded warrants are exercised in full. Aggregate gross proceeds from the 2024 Offering were $100 million, or aggregate net proceeds of $96.4 million after deducting the underwriter discounts, commissions, and other offering costs.</w:t>
      </w:r>
    </w:p>
    <w:p>
      <w:pPr>
        <w:spacing w:after="0" w:line="77" w:lineRule="exact"/>
        <w:rPr>
          <w:sz w:val="20"/>
          <w:szCs w:val="20"/>
          <w:color w:val="auto"/>
        </w:rPr>
      </w:pPr>
    </w:p>
    <w:p>
      <w:pPr>
        <w:ind w:right="20"/>
        <w:spacing w:after="0"/>
        <w:rPr>
          <w:sz w:val="20"/>
          <w:szCs w:val="20"/>
          <w:color w:val="auto"/>
        </w:rPr>
      </w:pPr>
      <w:r>
        <w:rPr>
          <w:rFonts w:ascii="Arial" w:cs="Arial" w:eastAsia="Arial" w:hAnsi="Arial"/>
          <w:sz w:val="18"/>
          <w:szCs w:val="18"/>
          <w:color w:val="auto"/>
        </w:rPr>
        <w:t>In January 2026, the Company entered into an underwriting agreement with Jefferies LLC, TD Securities (USA) LLC, and Piper Sandler &amp; Co. as representatives of the several underwriters, related to an underwritten public offering, or the 2026 Offering, of 13,000,000 shares of common stock at a price of $24.00 per share, and, in lieu of common stock to certain investors, pre-funded warrants to purchase 1,375,000 shares of common stock at a price of $23.9999 per pre-funded warrant, which represents the price per share at which shares of common stock were sold in the 2026 Offering, minus $0.0001, which is the exercise price of each pre-funded warrant. The pre-funded warrants are immediately exercisable and may be exercised at any time until the pre-funded warrants are exercised in full. Aggregate gross proceeds from the 2026 Offering were $345.0 million, or aggregate net proceeds of $323.8 million after deducting the underwriter discounts, commissions, and other offering costs.</w:t>
      </w:r>
    </w:p>
    <w:p>
      <w:pPr>
        <w:spacing w:after="0" w:line="2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20" w:right="339" w:bottom="1440" w:gutter="0" w:footer="0" w:header="0"/>
        </w:sectPr>
      </w:pPr>
    </w:p>
    <w:bookmarkStart w:id="18" w:name="page19"/>
    <w:bookmarkEnd w:id="18"/>
    <w:p>
      <w:pPr>
        <w:spacing w:after="0"/>
        <w:rPr>
          <w:sz w:val="20"/>
          <w:szCs w:val="20"/>
          <w:color w:val="auto"/>
        </w:rPr>
      </w:pPr>
      <w:r>
        <w:rPr>
          <w:rFonts w:ascii="Arial" w:cs="Arial" w:eastAsia="Arial" w:hAnsi="Arial"/>
          <w:sz w:val="22"/>
          <w:szCs w:val="22"/>
          <w:b w:val="1"/>
          <w:bCs w:val="1"/>
          <w:color w:val="auto"/>
        </w:rPr>
        <w:t>11. Stock-based compensation</w:t>
      </w:r>
    </w:p>
    <w:p>
      <w:pPr>
        <w:spacing w:after="0" w:line="1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2020 Stock incentive plan</w:t>
      </w:r>
    </w:p>
    <w:p>
      <w:pPr>
        <w:spacing w:after="0" w:line="102" w:lineRule="exact"/>
        <w:rPr>
          <w:sz w:val="20"/>
          <w:szCs w:val="20"/>
          <w:color w:val="auto"/>
        </w:rPr>
      </w:pPr>
    </w:p>
    <w:p>
      <w:pPr>
        <w:jc w:val="both"/>
        <w:ind w:right="100"/>
        <w:spacing w:after="0" w:line="253" w:lineRule="auto"/>
        <w:rPr>
          <w:sz w:val="20"/>
          <w:szCs w:val="20"/>
          <w:color w:val="auto"/>
        </w:rPr>
      </w:pPr>
      <w:r>
        <w:rPr>
          <w:rFonts w:ascii="Arial" w:cs="Arial" w:eastAsia="Arial" w:hAnsi="Arial"/>
          <w:sz w:val="18"/>
          <w:szCs w:val="18"/>
          <w:color w:val="auto"/>
        </w:rPr>
        <w:t>The Company’s 2020 Stock Option and Grant Plan, or the 2020 Plan, provided for the Company to grant stock options, restricted stock and other stock awards, to employees, non-employee directors, and consultants. Upon the effectiveness of the 2021 Plan (as defined below), no further issuances were made under the 2020 Plan.</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2021 Stock Option and Incentive Plan</w:t>
      </w:r>
    </w:p>
    <w:p>
      <w:pPr>
        <w:spacing w:after="0" w:line="102" w:lineRule="exact"/>
        <w:rPr>
          <w:sz w:val="20"/>
          <w:szCs w:val="20"/>
          <w:color w:val="auto"/>
        </w:rPr>
      </w:pPr>
    </w:p>
    <w:p>
      <w:pPr>
        <w:spacing w:after="0" w:line="238" w:lineRule="auto"/>
        <w:rPr>
          <w:sz w:val="20"/>
          <w:szCs w:val="20"/>
          <w:color w:val="auto"/>
        </w:rPr>
      </w:pPr>
      <w:r>
        <w:rPr>
          <w:rFonts w:ascii="Arial" w:cs="Arial" w:eastAsia="Arial" w:hAnsi="Arial"/>
          <w:sz w:val="18"/>
          <w:szCs w:val="18"/>
          <w:color w:val="auto"/>
        </w:rPr>
        <w:t>The Company’s 2021 Stock Option and Incentive Plan, or the 2021 Plan, was approved by the Company’s board of directors on May 28, 2021 and the Company’s stockholders on June 17, 2021 and became effective on the date immediately prior to the date on which the registration statement for the Company’s initial public offering, or IPO, was declared effective. The 2021 Plan provides for the grant of incentive stock options; non-qualified stock options; stock appreciation rights; restricted stock units, or RSUs; restricted stock awards; unrestricted stock awards; cash-based awards and dividend equivalent rights to the Company’s officers, employees, directors and consultants. The number of shares initially reserved for issuance under the 2021 Plan was 4,903,145. Under the evergreen provision of the 2021 Plan, the shares available for issuance under the 2021 Plan will be automatically increased each January 1st by 5% of the outstanding number of shares of the Company’s common stock on the immediately preceding December 31st or such lesser number of shares as may be determined by the Company’s compensation, nomination and corporate governance committee. Effective January 1, 2026 the number of shares available under the 2021 Plan automatically increased by 3,277,186 shares pursuant to the evergreen provision of the 2021 Plan. As of March 31, 2026, 2,489,188 shares were available for issuance under the 2021 Plan.</w:t>
      </w:r>
    </w:p>
    <w:p>
      <w:pPr>
        <w:spacing w:after="0" w:line="8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2021 Employee Stock Purchase Plan</w:t>
      </w:r>
    </w:p>
    <w:p>
      <w:pPr>
        <w:spacing w:after="0" w:line="102" w:lineRule="exact"/>
        <w:rPr>
          <w:sz w:val="20"/>
          <w:szCs w:val="20"/>
          <w:color w:val="auto"/>
        </w:rPr>
      </w:pPr>
    </w:p>
    <w:p>
      <w:pPr>
        <w:ind w:right="20"/>
        <w:spacing w:after="0" w:line="239" w:lineRule="auto"/>
        <w:rPr>
          <w:sz w:val="20"/>
          <w:szCs w:val="20"/>
          <w:color w:val="auto"/>
        </w:rPr>
      </w:pPr>
      <w:r>
        <w:rPr>
          <w:rFonts w:ascii="Arial" w:cs="Arial" w:eastAsia="Arial" w:hAnsi="Arial"/>
          <w:sz w:val="18"/>
          <w:szCs w:val="18"/>
          <w:color w:val="auto"/>
        </w:rPr>
        <w:t>The Company’s 2021 Employee Stock Purchase Plan, or the 2021 ESPP, was approved by the Company’s board of directors on May 28, 2021 and the Company’s stockholders on June 17, 2021 and became effective on the date immediately prior to the date on which the registration statement for the Company’s IPO was declared effective. A total of 439,849 shares of the Company’s common stock were initially reserved for issuance under the 2021 ESPP. The shares available for issuance under the 2021 ESPP will be automatically increased on each January 1st, through January 1, 2031, by the least of (i) 439,849 shares of the Company’s common stock, (ii) 1% of the outstanding number of shares of the Company’s common stock on the immediately preceding December 31st or (iii) such lesser number of shares of the Company’s common stock as determined by the plan administrator of the 2021 ESPP. Effective January 1, 2026 the number of shares available under the 2021 ESPP automatically increased by 439,849 shares pursuant to the evergreen provision of the 2021 ESPP. As of March 31, 2026, 2,125,604 shares were available for issuance under the 2021 ESPP.</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2026 Inducement Plan</w:t>
      </w:r>
    </w:p>
    <w:p>
      <w:pPr>
        <w:spacing w:after="0" w:line="102" w:lineRule="exact"/>
        <w:rPr>
          <w:sz w:val="20"/>
          <w:szCs w:val="20"/>
          <w:color w:val="auto"/>
        </w:rPr>
      </w:pPr>
    </w:p>
    <w:p>
      <w:pPr>
        <w:ind w:right="380"/>
        <w:spacing w:after="0" w:line="242" w:lineRule="auto"/>
        <w:rPr>
          <w:sz w:val="20"/>
          <w:szCs w:val="20"/>
          <w:color w:val="auto"/>
        </w:rPr>
      </w:pPr>
      <w:r>
        <w:rPr>
          <w:rFonts w:ascii="Arial" w:cs="Arial" w:eastAsia="Arial" w:hAnsi="Arial"/>
          <w:sz w:val="18"/>
          <w:szCs w:val="18"/>
          <w:color w:val="auto"/>
        </w:rPr>
        <w:t>The Company’s 2026 Inducement Plan, or the 2026 Plan, was approved by the Company’s board of directors on March 16, 2026 and became effective on the same date. The 2026 Plan provides for the grant of non-qualified stock options, stock appreciation rights, RSUs, restricted stock awards, unrestricted stock awards, and dividend equivalent rights exclusively to individuals who were not previously employees or directors of the Company, as an inducement material to the individuals' entry into employment with the Company and in accordance with the requirements of Nasdaq Stock Market Rule 5635(c)(4). The number of shares reserved for issuance under the 2026 Plan was 1,500,000. As of March 31, 2026, 1,500,000 shares were available for issuance under the 2026 Plan.</w:t>
      </w:r>
    </w:p>
    <w:p>
      <w:pPr>
        <w:spacing w:after="0" w:line="3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8" w:right="339" w:bottom="1440" w:gutter="0" w:footer="0" w:header="0"/>
        </w:sectPr>
      </w:pPr>
    </w:p>
    <w:bookmarkStart w:id="19" w:name="page20"/>
    <w:bookmarkEnd w:id="19"/>
    <w:p>
      <w:pPr>
        <w:spacing w:after="0"/>
        <w:rPr>
          <w:sz w:val="20"/>
          <w:szCs w:val="20"/>
          <w:color w:val="auto"/>
        </w:rPr>
      </w:pPr>
      <w:r>
        <w:rPr>
          <w:rFonts w:ascii="Arial" w:cs="Arial" w:eastAsia="Arial" w:hAnsi="Arial"/>
          <w:sz w:val="18"/>
          <w:szCs w:val="18"/>
          <w:b w:val="1"/>
          <w:bCs w:val="1"/>
          <w:i w:val="1"/>
          <w:iCs w:val="1"/>
          <w:color w:val="auto"/>
        </w:rPr>
        <w:t>Stock option activity</w:t>
      </w:r>
    </w:p>
    <w:p>
      <w:pPr>
        <w:spacing w:after="0" w:line="102" w:lineRule="exact"/>
        <w:rPr>
          <w:sz w:val="20"/>
          <w:szCs w:val="20"/>
          <w:color w:val="auto"/>
        </w:rPr>
      </w:pPr>
    </w:p>
    <w:p>
      <w:pPr>
        <w:spacing w:after="0"/>
        <w:rPr>
          <w:sz w:val="20"/>
          <w:szCs w:val="20"/>
          <w:color w:val="auto"/>
        </w:rPr>
      </w:pPr>
      <w:r>
        <w:rPr>
          <w:rFonts w:ascii="Arial" w:cs="Arial" w:eastAsia="Arial" w:hAnsi="Arial"/>
          <w:sz w:val="18"/>
          <w:szCs w:val="18"/>
          <w:color w:val="auto"/>
        </w:rPr>
        <w:t>The Company has granted stock options to employees, non-employee directors, and others under the 2021 Plan.</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color w:val="auto"/>
        </w:rPr>
        <w:t>The following summarizes stock option activity:</w:t>
      </w:r>
    </w:p>
    <w:p>
      <w:pPr>
        <w:spacing w:after="0" w:line="116" w:lineRule="exact"/>
        <w:rPr>
          <w:sz w:val="20"/>
          <w:szCs w:val="20"/>
          <w:color w:val="auto"/>
        </w:rPr>
      </w:pPr>
    </w:p>
    <w:tbl>
      <w:tblPr>
        <w:tblLayout w:type="fixed"/>
        <w:tblInd w:w="0" w:type="dxa"/>
        <w:tblCellMar>
          <w:top w:w="0" w:type="dxa"/>
          <w:left w:w="0" w:type="dxa"/>
          <w:bottom w:w="0" w:type="dxa"/>
          <w:right w:w="0" w:type="dxa"/>
        </w:tblCellMar>
      </w:tblPr>
      <w:tr>
        <w:trPr>
          <w:trHeight w:val="166"/>
        </w:trPr>
        <w:tc>
          <w:tcPr>
            <w:tcW w:w="4900" w:type="dxa"/>
            <w:vAlign w:val="bottom"/>
            <w:tcBorders>
              <w:top w:val="single" w:sz="8" w:color="auto"/>
            </w:tcBorders>
          </w:tcPr>
          <w:p>
            <w:pPr>
              <w:spacing w:after="0"/>
              <w:rPr>
                <w:sz w:val="14"/>
                <w:szCs w:val="14"/>
                <w:color w:val="auto"/>
              </w:rPr>
            </w:pPr>
          </w:p>
        </w:tc>
        <w:tc>
          <w:tcPr>
            <w:tcW w:w="1500" w:type="dxa"/>
            <w:vAlign w:val="bottom"/>
            <w:tcBorders>
              <w:top w:val="single" w:sz="8" w:color="auto"/>
            </w:tcBorders>
          </w:tcPr>
          <w:p>
            <w:pPr>
              <w:spacing w:after="0"/>
              <w:rPr>
                <w:sz w:val="14"/>
                <w:szCs w:val="14"/>
                <w:color w:val="auto"/>
              </w:rPr>
            </w:pPr>
          </w:p>
        </w:tc>
        <w:tc>
          <w:tcPr>
            <w:tcW w:w="1160" w:type="dxa"/>
            <w:vAlign w:val="bottom"/>
            <w:tcBorders>
              <w:top w:val="single" w:sz="8" w:color="auto"/>
            </w:tcBorders>
          </w:tcPr>
          <w:p>
            <w:pPr>
              <w:spacing w:after="0"/>
              <w:rPr>
                <w:sz w:val="14"/>
                <w:szCs w:val="14"/>
                <w:color w:val="auto"/>
              </w:rPr>
            </w:pPr>
          </w:p>
        </w:tc>
        <w:tc>
          <w:tcPr>
            <w:tcW w:w="1680" w:type="dxa"/>
            <w:vAlign w:val="bottom"/>
            <w:tcBorders>
              <w:top w:val="single" w:sz="8" w:color="auto"/>
            </w:tcBorders>
          </w:tcPr>
          <w:p>
            <w:pPr>
              <w:jc w:val="center"/>
              <w:ind w:left="764"/>
              <w:spacing w:after="0"/>
              <w:rPr>
                <w:sz w:val="20"/>
                <w:szCs w:val="20"/>
                <w:color w:val="auto"/>
              </w:rPr>
            </w:pPr>
            <w:r>
              <w:rPr>
                <w:rFonts w:ascii="Arial" w:cs="Arial" w:eastAsia="Arial" w:hAnsi="Arial"/>
                <w:sz w:val="14"/>
                <w:szCs w:val="14"/>
                <w:b w:val="1"/>
                <w:bCs w:val="1"/>
                <w:color w:val="auto"/>
              </w:rPr>
              <w:t>Weighted</w:t>
            </w:r>
          </w:p>
        </w:tc>
        <w:tc>
          <w:tcPr>
            <w:tcW w:w="400" w:type="dxa"/>
            <w:vAlign w:val="bottom"/>
            <w:tcBorders>
              <w:top w:val="single" w:sz="8" w:color="auto"/>
            </w:tcBorders>
          </w:tcPr>
          <w:p>
            <w:pPr>
              <w:spacing w:after="0"/>
              <w:rPr>
                <w:sz w:val="14"/>
                <w:szCs w:val="14"/>
                <w:color w:val="auto"/>
              </w:rPr>
            </w:pPr>
          </w:p>
        </w:tc>
        <w:tc>
          <w:tcPr>
            <w:tcW w:w="280" w:type="dxa"/>
            <w:vAlign w:val="bottom"/>
            <w:tcBorders>
              <w:top w:val="single" w:sz="8" w:color="auto"/>
            </w:tcBorders>
          </w:tcPr>
          <w:p>
            <w:pPr>
              <w:spacing w:after="0"/>
              <w:rPr>
                <w:sz w:val="14"/>
                <w:szCs w:val="14"/>
                <w:color w:val="auto"/>
              </w:rPr>
            </w:pPr>
          </w:p>
        </w:tc>
        <w:tc>
          <w:tcPr>
            <w:tcW w:w="1320" w:type="dxa"/>
            <w:vAlign w:val="bottom"/>
            <w:tcBorders>
              <w:top w:val="single" w:sz="8" w:color="auto"/>
            </w:tcBorders>
          </w:tcPr>
          <w:p>
            <w:pPr>
              <w:spacing w:after="0"/>
              <w:rPr>
                <w:sz w:val="14"/>
                <w:szCs w:val="14"/>
                <w:color w:val="auto"/>
              </w:rPr>
            </w:pPr>
          </w:p>
        </w:tc>
      </w:tr>
      <w:tr>
        <w:trPr>
          <w:trHeight w:val="162"/>
        </w:trPr>
        <w:tc>
          <w:tcPr>
            <w:tcW w:w="490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680" w:type="dxa"/>
            <w:vAlign w:val="bottom"/>
          </w:tcPr>
          <w:p>
            <w:pPr>
              <w:jc w:val="center"/>
              <w:ind w:left="744"/>
              <w:spacing w:after="0"/>
              <w:rPr>
                <w:sz w:val="20"/>
                <w:szCs w:val="20"/>
                <w:color w:val="auto"/>
              </w:rPr>
            </w:pPr>
            <w:r>
              <w:rPr>
                <w:rFonts w:ascii="Arial" w:cs="Arial" w:eastAsia="Arial" w:hAnsi="Arial"/>
                <w:sz w:val="14"/>
                <w:szCs w:val="14"/>
                <w:b w:val="1"/>
                <w:bCs w:val="1"/>
                <w:color w:val="auto"/>
              </w:rPr>
              <w:t>average</w:t>
            </w:r>
          </w:p>
        </w:tc>
        <w:tc>
          <w:tcPr>
            <w:tcW w:w="4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320" w:type="dxa"/>
            <w:vAlign w:val="bottom"/>
          </w:tcPr>
          <w:p>
            <w:pPr>
              <w:spacing w:after="0"/>
              <w:rPr>
                <w:sz w:val="14"/>
                <w:szCs w:val="14"/>
                <w:color w:val="auto"/>
              </w:rPr>
            </w:pPr>
          </w:p>
        </w:tc>
      </w:tr>
      <w:tr>
        <w:trPr>
          <w:trHeight w:val="162"/>
        </w:trPr>
        <w:tc>
          <w:tcPr>
            <w:tcW w:w="490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160" w:type="dxa"/>
            <w:vAlign w:val="bottom"/>
          </w:tcPr>
          <w:p>
            <w:pPr>
              <w:jc w:val="center"/>
              <w:ind w:left="403"/>
              <w:spacing w:after="0"/>
              <w:rPr>
                <w:sz w:val="20"/>
                <w:szCs w:val="20"/>
                <w:color w:val="auto"/>
              </w:rPr>
            </w:pPr>
            <w:r>
              <w:rPr>
                <w:rFonts w:ascii="Arial" w:cs="Arial" w:eastAsia="Arial" w:hAnsi="Arial"/>
                <w:sz w:val="14"/>
                <w:szCs w:val="14"/>
                <w:b w:val="1"/>
                <w:bCs w:val="1"/>
                <w:color w:val="auto"/>
              </w:rPr>
              <w:t>Weighted</w:t>
            </w:r>
          </w:p>
        </w:tc>
        <w:tc>
          <w:tcPr>
            <w:tcW w:w="1680" w:type="dxa"/>
            <w:vAlign w:val="bottom"/>
          </w:tcPr>
          <w:p>
            <w:pPr>
              <w:jc w:val="center"/>
              <w:ind w:left="764"/>
              <w:spacing w:after="0"/>
              <w:rPr>
                <w:sz w:val="20"/>
                <w:szCs w:val="20"/>
                <w:color w:val="auto"/>
              </w:rPr>
            </w:pPr>
            <w:r>
              <w:rPr>
                <w:rFonts w:ascii="Arial" w:cs="Arial" w:eastAsia="Arial" w:hAnsi="Arial"/>
                <w:sz w:val="14"/>
                <w:szCs w:val="14"/>
                <w:b w:val="1"/>
                <w:bCs w:val="1"/>
                <w:color w:val="auto"/>
              </w:rPr>
              <w:t>remaining</w:t>
            </w:r>
          </w:p>
        </w:tc>
        <w:tc>
          <w:tcPr>
            <w:tcW w:w="4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320" w:type="dxa"/>
            <w:vAlign w:val="bottom"/>
          </w:tcPr>
          <w:p>
            <w:pPr>
              <w:jc w:val="center"/>
              <w:ind w:right="184"/>
              <w:spacing w:after="0"/>
              <w:rPr>
                <w:sz w:val="20"/>
                <w:szCs w:val="20"/>
                <w:color w:val="auto"/>
              </w:rPr>
            </w:pPr>
            <w:r>
              <w:rPr>
                <w:rFonts w:ascii="Arial" w:cs="Arial" w:eastAsia="Arial" w:hAnsi="Arial"/>
                <w:sz w:val="14"/>
                <w:szCs w:val="14"/>
                <w:b w:val="1"/>
                <w:bCs w:val="1"/>
                <w:color w:val="auto"/>
              </w:rPr>
              <w:t>Aggregate</w:t>
            </w:r>
          </w:p>
        </w:tc>
      </w:tr>
      <w:tr>
        <w:trPr>
          <w:trHeight w:val="162"/>
        </w:trPr>
        <w:tc>
          <w:tcPr>
            <w:tcW w:w="490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160" w:type="dxa"/>
            <w:vAlign w:val="bottom"/>
          </w:tcPr>
          <w:p>
            <w:pPr>
              <w:jc w:val="center"/>
              <w:ind w:left="423"/>
              <w:spacing w:after="0"/>
              <w:rPr>
                <w:sz w:val="20"/>
                <w:szCs w:val="20"/>
                <w:color w:val="auto"/>
              </w:rPr>
            </w:pPr>
            <w:r>
              <w:rPr>
                <w:rFonts w:ascii="Arial" w:cs="Arial" w:eastAsia="Arial" w:hAnsi="Arial"/>
                <w:sz w:val="14"/>
                <w:szCs w:val="14"/>
                <w:b w:val="1"/>
                <w:bCs w:val="1"/>
                <w:color w:val="auto"/>
              </w:rPr>
              <w:t>average</w:t>
            </w:r>
          </w:p>
        </w:tc>
        <w:tc>
          <w:tcPr>
            <w:tcW w:w="1680" w:type="dxa"/>
            <w:vAlign w:val="bottom"/>
          </w:tcPr>
          <w:p>
            <w:pPr>
              <w:jc w:val="center"/>
              <w:ind w:left="744"/>
              <w:spacing w:after="0"/>
              <w:rPr>
                <w:sz w:val="20"/>
                <w:szCs w:val="20"/>
                <w:color w:val="auto"/>
              </w:rPr>
            </w:pPr>
            <w:r>
              <w:rPr>
                <w:rFonts w:ascii="Arial" w:cs="Arial" w:eastAsia="Arial" w:hAnsi="Arial"/>
                <w:sz w:val="14"/>
                <w:szCs w:val="14"/>
                <w:b w:val="1"/>
                <w:bCs w:val="1"/>
                <w:color w:val="auto"/>
              </w:rPr>
              <w:t>contractual</w:t>
            </w:r>
          </w:p>
        </w:tc>
        <w:tc>
          <w:tcPr>
            <w:tcW w:w="4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320" w:type="dxa"/>
            <w:vAlign w:val="bottom"/>
          </w:tcPr>
          <w:p>
            <w:pPr>
              <w:jc w:val="center"/>
              <w:ind w:right="164"/>
              <w:spacing w:after="0"/>
              <w:rPr>
                <w:sz w:val="20"/>
                <w:szCs w:val="20"/>
                <w:color w:val="auto"/>
              </w:rPr>
            </w:pPr>
            <w:r>
              <w:rPr>
                <w:rFonts w:ascii="Arial" w:cs="Arial" w:eastAsia="Arial" w:hAnsi="Arial"/>
                <w:sz w:val="14"/>
                <w:szCs w:val="14"/>
                <w:b w:val="1"/>
                <w:bCs w:val="1"/>
                <w:color w:val="auto"/>
              </w:rPr>
              <w:t>intrinsic</w:t>
            </w:r>
          </w:p>
        </w:tc>
      </w:tr>
      <w:tr>
        <w:trPr>
          <w:trHeight w:val="162"/>
        </w:trPr>
        <w:tc>
          <w:tcPr>
            <w:tcW w:w="4900" w:type="dxa"/>
            <w:vAlign w:val="bottom"/>
          </w:tcPr>
          <w:p>
            <w:pPr>
              <w:spacing w:after="0"/>
              <w:rPr>
                <w:sz w:val="14"/>
                <w:szCs w:val="14"/>
                <w:color w:val="auto"/>
              </w:rPr>
            </w:pPr>
          </w:p>
        </w:tc>
        <w:tc>
          <w:tcPr>
            <w:tcW w:w="1500" w:type="dxa"/>
            <w:vAlign w:val="bottom"/>
          </w:tcPr>
          <w:p>
            <w:pPr>
              <w:jc w:val="right"/>
              <w:ind w:right="361"/>
              <w:spacing w:after="0"/>
              <w:rPr>
                <w:sz w:val="20"/>
                <w:szCs w:val="20"/>
                <w:color w:val="auto"/>
              </w:rPr>
            </w:pPr>
            <w:r>
              <w:rPr>
                <w:rFonts w:ascii="Arial" w:cs="Arial" w:eastAsia="Arial" w:hAnsi="Arial"/>
                <w:sz w:val="14"/>
                <w:szCs w:val="14"/>
                <w:b w:val="1"/>
                <w:bCs w:val="1"/>
                <w:color w:val="auto"/>
              </w:rPr>
              <w:t>Number of</w:t>
            </w:r>
          </w:p>
        </w:tc>
        <w:tc>
          <w:tcPr>
            <w:tcW w:w="1160" w:type="dxa"/>
            <w:vAlign w:val="bottom"/>
          </w:tcPr>
          <w:p>
            <w:pPr>
              <w:jc w:val="center"/>
              <w:ind w:left="423"/>
              <w:spacing w:after="0"/>
              <w:rPr>
                <w:sz w:val="20"/>
                <w:szCs w:val="20"/>
                <w:color w:val="auto"/>
              </w:rPr>
            </w:pPr>
            <w:r>
              <w:rPr>
                <w:rFonts w:ascii="Arial" w:cs="Arial" w:eastAsia="Arial" w:hAnsi="Arial"/>
                <w:sz w:val="14"/>
                <w:szCs w:val="14"/>
                <w:b w:val="1"/>
                <w:bCs w:val="1"/>
                <w:color w:val="auto"/>
              </w:rPr>
              <w:t>exercise</w:t>
            </w:r>
          </w:p>
        </w:tc>
        <w:tc>
          <w:tcPr>
            <w:tcW w:w="1680" w:type="dxa"/>
            <w:vAlign w:val="bottom"/>
          </w:tcPr>
          <w:p>
            <w:pPr>
              <w:jc w:val="center"/>
              <w:ind w:left="764"/>
              <w:spacing w:after="0"/>
              <w:rPr>
                <w:sz w:val="20"/>
                <w:szCs w:val="20"/>
                <w:color w:val="auto"/>
              </w:rPr>
            </w:pPr>
            <w:r>
              <w:rPr>
                <w:rFonts w:ascii="Arial" w:cs="Arial" w:eastAsia="Arial" w:hAnsi="Arial"/>
                <w:sz w:val="14"/>
                <w:szCs w:val="14"/>
                <w:b w:val="1"/>
                <w:bCs w:val="1"/>
                <w:color w:val="auto"/>
              </w:rPr>
              <w:t>term</w:t>
            </w:r>
          </w:p>
        </w:tc>
        <w:tc>
          <w:tcPr>
            <w:tcW w:w="4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320" w:type="dxa"/>
            <w:vAlign w:val="bottom"/>
          </w:tcPr>
          <w:p>
            <w:pPr>
              <w:jc w:val="center"/>
              <w:ind w:right="184"/>
              <w:spacing w:after="0"/>
              <w:rPr>
                <w:sz w:val="20"/>
                <w:szCs w:val="20"/>
                <w:color w:val="auto"/>
              </w:rPr>
            </w:pPr>
            <w:r>
              <w:rPr>
                <w:rFonts w:ascii="Arial" w:cs="Arial" w:eastAsia="Arial" w:hAnsi="Arial"/>
                <w:sz w:val="14"/>
                <w:szCs w:val="14"/>
                <w:b w:val="1"/>
                <w:bCs w:val="1"/>
                <w:color w:val="auto"/>
              </w:rPr>
              <w:t>value</w:t>
            </w:r>
          </w:p>
        </w:tc>
      </w:tr>
      <w:tr>
        <w:trPr>
          <w:trHeight w:val="171"/>
        </w:trPr>
        <w:tc>
          <w:tcPr>
            <w:tcW w:w="4900" w:type="dxa"/>
            <w:vAlign w:val="bottom"/>
            <w:tcBorders>
              <w:bottom w:val="single" w:sz="8" w:color="auto"/>
            </w:tcBorders>
          </w:tcPr>
          <w:p>
            <w:pPr>
              <w:spacing w:after="0"/>
              <w:rPr>
                <w:sz w:val="14"/>
                <w:szCs w:val="14"/>
                <w:color w:val="auto"/>
              </w:rPr>
            </w:pPr>
          </w:p>
        </w:tc>
        <w:tc>
          <w:tcPr>
            <w:tcW w:w="1500" w:type="dxa"/>
            <w:vAlign w:val="bottom"/>
            <w:tcBorders>
              <w:bottom w:val="single" w:sz="8" w:color="auto"/>
            </w:tcBorders>
          </w:tcPr>
          <w:p>
            <w:pPr>
              <w:jc w:val="right"/>
              <w:ind w:right="461"/>
              <w:spacing w:after="0"/>
              <w:rPr>
                <w:sz w:val="20"/>
                <w:szCs w:val="20"/>
                <w:color w:val="auto"/>
              </w:rPr>
            </w:pPr>
            <w:r>
              <w:rPr>
                <w:rFonts w:ascii="Arial" w:cs="Arial" w:eastAsia="Arial" w:hAnsi="Arial"/>
                <w:sz w:val="14"/>
                <w:szCs w:val="14"/>
                <w:b w:val="1"/>
                <w:bCs w:val="1"/>
                <w:color w:val="auto"/>
              </w:rPr>
              <w:t>options</w:t>
            </w:r>
          </w:p>
        </w:tc>
        <w:tc>
          <w:tcPr>
            <w:tcW w:w="1160" w:type="dxa"/>
            <w:vAlign w:val="bottom"/>
            <w:tcBorders>
              <w:bottom w:val="single" w:sz="8" w:color="auto"/>
            </w:tcBorders>
          </w:tcPr>
          <w:p>
            <w:pPr>
              <w:jc w:val="center"/>
              <w:ind w:left="423"/>
              <w:spacing w:after="0"/>
              <w:rPr>
                <w:sz w:val="20"/>
                <w:szCs w:val="20"/>
                <w:color w:val="auto"/>
              </w:rPr>
            </w:pPr>
            <w:r>
              <w:rPr>
                <w:rFonts w:ascii="Arial" w:cs="Arial" w:eastAsia="Arial" w:hAnsi="Arial"/>
                <w:sz w:val="14"/>
                <w:szCs w:val="14"/>
                <w:b w:val="1"/>
                <w:bCs w:val="1"/>
                <w:color w:val="auto"/>
              </w:rPr>
              <w:t>price</w:t>
            </w:r>
          </w:p>
        </w:tc>
        <w:tc>
          <w:tcPr>
            <w:tcW w:w="1680" w:type="dxa"/>
            <w:vAlign w:val="bottom"/>
            <w:tcBorders>
              <w:bottom w:val="single" w:sz="8" w:color="auto"/>
            </w:tcBorders>
          </w:tcPr>
          <w:p>
            <w:pPr>
              <w:jc w:val="center"/>
              <w:ind w:left="764"/>
              <w:spacing w:after="0"/>
              <w:rPr>
                <w:sz w:val="20"/>
                <w:szCs w:val="20"/>
                <w:color w:val="auto"/>
              </w:rPr>
            </w:pPr>
            <w:r>
              <w:rPr>
                <w:rFonts w:ascii="Arial" w:cs="Arial" w:eastAsia="Arial" w:hAnsi="Arial"/>
                <w:sz w:val="14"/>
                <w:szCs w:val="14"/>
                <w:b w:val="1"/>
                <w:bCs w:val="1"/>
                <w:color w:val="auto"/>
              </w:rPr>
              <w:t>(years)</w:t>
            </w:r>
          </w:p>
        </w:tc>
        <w:tc>
          <w:tcPr>
            <w:tcW w:w="40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320" w:type="dxa"/>
            <w:vAlign w:val="bottom"/>
            <w:tcBorders>
              <w:bottom w:val="single" w:sz="8" w:color="auto"/>
            </w:tcBorders>
          </w:tcPr>
          <w:p>
            <w:pPr>
              <w:jc w:val="center"/>
              <w:ind w:right="184"/>
              <w:spacing w:after="0"/>
              <w:rPr>
                <w:sz w:val="20"/>
                <w:szCs w:val="20"/>
                <w:color w:val="auto"/>
              </w:rPr>
            </w:pPr>
            <w:r>
              <w:rPr>
                <w:rFonts w:ascii="Arial" w:cs="Arial" w:eastAsia="Arial" w:hAnsi="Arial"/>
                <w:sz w:val="14"/>
                <w:szCs w:val="14"/>
                <w:b w:val="1"/>
                <w:bCs w:val="1"/>
                <w:color w:val="auto"/>
              </w:rPr>
              <w:t>(in thousands)</w:t>
            </w:r>
          </w:p>
        </w:tc>
      </w:tr>
      <w:tr>
        <w:trPr>
          <w:trHeight w:val="183"/>
        </w:trPr>
        <w:tc>
          <w:tcPr>
            <w:tcW w:w="4900" w:type="dxa"/>
            <w:vAlign w:val="bottom"/>
            <w:shd w:val="clear" w:color="auto" w:fill="CFF0FC"/>
          </w:tcPr>
          <w:p>
            <w:pPr>
              <w:spacing w:after="0" w:line="183" w:lineRule="exact"/>
              <w:rPr>
                <w:sz w:val="20"/>
                <w:szCs w:val="20"/>
                <w:color w:val="auto"/>
              </w:rPr>
            </w:pPr>
            <w:r>
              <w:rPr>
                <w:rFonts w:ascii="Arial" w:cs="Arial" w:eastAsia="Arial" w:hAnsi="Arial"/>
                <w:sz w:val="16"/>
                <w:szCs w:val="16"/>
                <w:color w:val="auto"/>
              </w:rPr>
              <w:t>Outstanding—December 31, 2025</w:t>
            </w:r>
          </w:p>
        </w:tc>
        <w:tc>
          <w:tcPr>
            <w:tcW w:w="1500" w:type="dxa"/>
            <w:vAlign w:val="bottom"/>
            <w:shd w:val="clear" w:color="auto" w:fill="CFF0FC"/>
          </w:tcPr>
          <w:p>
            <w:pPr>
              <w:jc w:val="right"/>
              <w:ind w:right="41"/>
              <w:spacing w:after="0" w:line="183" w:lineRule="exact"/>
              <w:rPr>
                <w:sz w:val="20"/>
                <w:szCs w:val="20"/>
                <w:color w:val="auto"/>
              </w:rPr>
            </w:pPr>
            <w:r>
              <w:rPr>
                <w:rFonts w:ascii="Arial" w:cs="Arial" w:eastAsia="Arial" w:hAnsi="Arial"/>
                <w:sz w:val="16"/>
                <w:szCs w:val="16"/>
                <w:color w:val="auto"/>
              </w:rPr>
              <w:t>14,064,599</w:t>
            </w:r>
          </w:p>
        </w:tc>
        <w:tc>
          <w:tcPr>
            <w:tcW w:w="1160" w:type="dxa"/>
            <w:vAlign w:val="bottom"/>
            <w:shd w:val="clear" w:color="auto" w:fill="CFF0FC"/>
          </w:tcPr>
          <w:p>
            <w:pPr>
              <w:jc w:val="right"/>
              <w:ind w:right="843"/>
              <w:spacing w:after="0" w:line="183" w:lineRule="exact"/>
              <w:rPr>
                <w:sz w:val="20"/>
                <w:szCs w:val="20"/>
                <w:color w:val="auto"/>
              </w:rPr>
            </w:pPr>
            <w:r>
              <w:rPr>
                <w:rFonts w:ascii="Arial" w:cs="Arial" w:eastAsia="Arial" w:hAnsi="Arial"/>
                <w:sz w:val="16"/>
                <w:szCs w:val="16"/>
                <w:color w:val="auto"/>
              </w:rPr>
              <w:t>$</w:t>
            </w:r>
          </w:p>
        </w:tc>
        <w:tc>
          <w:tcPr>
            <w:tcW w:w="1680" w:type="dxa"/>
            <w:vAlign w:val="bottom"/>
            <w:shd w:val="clear" w:color="auto" w:fill="CFF0FC"/>
          </w:tcPr>
          <w:p>
            <w:pPr>
              <w:jc w:val="right"/>
              <w:ind w:right="1264"/>
              <w:spacing w:after="0" w:line="183" w:lineRule="exact"/>
              <w:rPr>
                <w:sz w:val="20"/>
                <w:szCs w:val="20"/>
                <w:color w:val="auto"/>
              </w:rPr>
            </w:pPr>
            <w:r>
              <w:rPr>
                <w:rFonts w:ascii="Arial" w:cs="Arial" w:eastAsia="Arial" w:hAnsi="Arial"/>
                <w:sz w:val="16"/>
                <w:szCs w:val="16"/>
                <w:color w:val="auto"/>
              </w:rPr>
              <w:t>7.74</w:t>
            </w:r>
          </w:p>
        </w:tc>
        <w:tc>
          <w:tcPr>
            <w:tcW w:w="400" w:type="dxa"/>
            <w:vAlign w:val="bottom"/>
            <w:shd w:val="clear" w:color="auto" w:fill="CFF0FC"/>
          </w:tcPr>
          <w:p>
            <w:pPr>
              <w:jc w:val="right"/>
              <w:ind w:right="39"/>
              <w:spacing w:after="0" w:line="183" w:lineRule="exact"/>
              <w:rPr>
                <w:sz w:val="20"/>
                <w:szCs w:val="20"/>
                <w:color w:val="auto"/>
              </w:rPr>
            </w:pPr>
            <w:r>
              <w:rPr>
                <w:rFonts w:ascii="Arial" w:cs="Arial" w:eastAsia="Arial" w:hAnsi="Arial"/>
                <w:sz w:val="16"/>
                <w:szCs w:val="16"/>
                <w:color w:val="auto"/>
              </w:rPr>
              <w:t>7.2</w:t>
            </w:r>
          </w:p>
        </w:tc>
        <w:tc>
          <w:tcPr>
            <w:tcW w:w="280" w:type="dxa"/>
            <w:vAlign w:val="bottom"/>
            <w:shd w:val="clear" w:color="auto" w:fill="CFF0FC"/>
          </w:tcPr>
          <w:p>
            <w:pPr>
              <w:jc w:val="right"/>
              <w:spacing w:after="0" w:line="183" w:lineRule="exact"/>
              <w:rPr>
                <w:sz w:val="20"/>
                <w:szCs w:val="20"/>
                <w:color w:val="auto"/>
              </w:rPr>
            </w:pPr>
            <w:r>
              <w:rPr>
                <w:rFonts w:ascii="Arial" w:cs="Arial" w:eastAsia="Arial" w:hAnsi="Arial"/>
                <w:sz w:val="16"/>
                <w:szCs w:val="16"/>
                <w:color w:val="auto"/>
              </w:rPr>
              <w:t>$</w:t>
            </w:r>
          </w:p>
        </w:tc>
        <w:tc>
          <w:tcPr>
            <w:tcW w:w="1320" w:type="dxa"/>
            <w:vAlign w:val="bottom"/>
            <w:shd w:val="clear" w:color="auto" w:fill="CFF0FC"/>
          </w:tcPr>
          <w:p>
            <w:pPr>
              <w:jc w:val="right"/>
              <w:ind w:right="44"/>
              <w:spacing w:after="0" w:line="183" w:lineRule="exact"/>
              <w:rPr>
                <w:sz w:val="20"/>
                <w:szCs w:val="20"/>
                <w:color w:val="auto"/>
              </w:rPr>
            </w:pPr>
            <w:r>
              <w:rPr>
                <w:rFonts w:ascii="Arial" w:cs="Arial" w:eastAsia="Arial" w:hAnsi="Arial"/>
                <w:sz w:val="16"/>
                <w:szCs w:val="16"/>
                <w:color w:val="auto"/>
              </w:rPr>
              <w:t>115,245</w:t>
            </w:r>
          </w:p>
        </w:tc>
      </w:tr>
      <w:tr>
        <w:trPr>
          <w:trHeight w:val="189"/>
        </w:trPr>
        <w:tc>
          <w:tcPr>
            <w:tcW w:w="4900" w:type="dxa"/>
            <w:vAlign w:val="bottom"/>
          </w:tcPr>
          <w:p>
            <w:pPr>
              <w:ind w:left="100"/>
              <w:spacing w:after="0"/>
              <w:rPr>
                <w:sz w:val="20"/>
                <w:szCs w:val="20"/>
                <w:color w:val="auto"/>
              </w:rPr>
            </w:pPr>
            <w:r>
              <w:rPr>
                <w:rFonts w:ascii="Arial" w:cs="Arial" w:eastAsia="Arial" w:hAnsi="Arial"/>
                <w:sz w:val="16"/>
                <w:szCs w:val="16"/>
                <w:color w:val="auto"/>
              </w:rPr>
              <w:t>Granted</w:t>
            </w:r>
          </w:p>
        </w:tc>
        <w:tc>
          <w:tcPr>
            <w:tcW w:w="1500" w:type="dxa"/>
            <w:vAlign w:val="bottom"/>
          </w:tcPr>
          <w:p>
            <w:pPr>
              <w:jc w:val="right"/>
              <w:ind w:right="41"/>
              <w:spacing w:after="0"/>
              <w:rPr>
                <w:sz w:val="20"/>
                <w:szCs w:val="20"/>
                <w:color w:val="auto"/>
              </w:rPr>
            </w:pPr>
            <w:r>
              <w:rPr>
                <w:rFonts w:ascii="Arial" w:cs="Arial" w:eastAsia="Arial" w:hAnsi="Arial"/>
                <w:sz w:val="16"/>
                <w:szCs w:val="16"/>
                <w:color w:val="auto"/>
              </w:rPr>
              <w:t>2,569,325</w:t>
            </w:r>
          </w:p>
        </w:tc>
        <w:tc>
          <w:tcPr>
            <w:tcW w:w="2840" w:type="dxa"/>
            <w:vAlign w:val="bottom"/>
            <w:gridSpan w:val="2"/>
          </w:tcPr>
          <w:p>
            <w:pPr>
              <w:jc w:val="right"/>
              <w:ind w:right="1264"/>
              <w:spacing w:after="0"/>
              <w:rPr>
                <w:sz w:val="20"/>
                <w:szCs w:val="20"/>
                <w:color w:val="auto"/>
              </w:rPr>
            </w:pPr>
            <w:r>
              <w:rPr>
                <w:rFonts w:ascii="Arial" w:cs="Arial" w:eastAsia="Arial" w:hAnsi="Arial"/>
                <w:sz w:val="16"/>
                <w:szCs w:val="16"/>
                <w:color w:val="auto"/>
              </w:rPr>
              <w:t>15.46</w:t>
            </w:r>
          </w:p>
        </w:tc>
        <w:tc>
          <w:tcPr>
            <w:tcW w:w="4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320" w:type="dxa"/>
            <w:vAlign w:val="bottom"/>
          </w:tcPr>
          <w:p>
            <w:pPr>
              <w:spacing w:after="0"/>
              <w:rPr>
                <w:sz w:val="16"/>
                <w:szCs w:val="16"/>
                <w:color w:val="auto"/>
              </w:rPr>
            </w:pPr>
          </w:p>
        </w:tc>
      </w:tr>
      <w:tr>
        <w:trPr>
          <w:trHeight w:val="189"/>
        </w:trPr>
        <w:tc>
          <w:tcPr>
            <w:tcW w:w="4900" w:type="dxa"/>
            <w:vAlign w:val="bottom"/>
            <w:shd w:val="clear" w:color="auto" w:fill="CFF0FC"/>
          </w:tcPr>
          <w:p>
            <w:pPr>
              <w:ind w:left="100"/>
              <w:spacing w:after="0"/>
              <w:rPr>
                <w:sz w:val="20"/>
                <w:szCs w:val="20"/>
                <w:color w:val="auto"/>
              </w:rPr>
            </w:pPr>
            <w:r>
              <w:rPr>
                <w:rFonts w:ascii="Arial" w:cs="Arial" w:eastAsia="Arial" w:hAnsi="Arial"/>
                <w:sz w:val="16"/>
                <w:szCs w:val="16"/>
                <w:color w:val="auto"/>
              </w:rPr>
              <w:t>Exercised</w:t>
            </w:r>
          </w:p>
        </w:tc>
        <w:tc>
          <w:tcPr>
            <w:tcW w:w="15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(574,839)</w:t>
            </w:r>
          </w:p>
        </w:tc>
        <w:tc>
          <w:tcPr>
            <w:tcW w:w="1160" w:type="dxa"/>
            <w:vAlign w:val="bottom"/>
            <w:shd w:val="clear" w:color="auto" w:fill="CFF0FC"/>
          </w:tcPr>
          <w:p>
            <w:pPr>
              <w:spacing w:after="0"/>
              <w:rPr>
                <w:sz w:val="16"/>
                <w:szCs w:val="16"/>
                <w:color w:val="auto"/>
              </w:rPr>
            </w:pPr>
          </w:p>
        </w:tc>
        <w:tc>
          <w:tcPr>
            <w:tcW w:w="1680" w:type="dxa"/>
            <w:vAlign w:val="bottom"/>
            <w:shd w:val="clear" w:color="auto" w:fill="CFF0FC"/>
          </w:tcPr>
          <w:p>
            <w:pPr>
              <w:jc w:val="right"/>
              <w:ind w:right="1264"/>
              <w:spacing w:after="0"/>
              <w:rPr>
                <w:sz w:val="20"/>
                <w:szCs w:val="20"/>
                <w:color w:val="auto"/>
              </w:rPr>
            </w:pPr>
            <w:r>
              <w:rPr>
                <w:rFonts w:ascii="Arial" w:cs="Arial" w:eastAsia="Arial" w:hAnsi="Arial"/>
                <w:sz w:val="16"/>
                <w:szCs w:val="16"/>
                <w:color w:val="auto"/>
              </w:rPr>
              <w:t>7.87</w:t>
            </w:r>
          </w:p>
        </w:tc>
        <w:tc>
          <w:tcPr>
            <w:tcW w:w="400" w:type="dxa"/>
            <w:vAlign w:val="bottom"/>
            <w:shd w:val="clear" w:color="auto" w:fill="CFF0FC"/>
          </w:tcPr>
          <w:p>
            <w:pPr>
              <w:spacing w:after="0"/>
              <w:rPr>
                <w:sz w:val="16"/>
                <w:szCs w:val="16"/>
                <w:color w:val="auto"/>
              </w:rPr>
            </w:pPr>
          </w:p>
        </w:tc>
        <w:tc>
          <w:tcPr>
            <w:tcW w:w="280" w:type="dxa"/>
            <w:vAlign w:val="bottom"/>
            <w:shd w:val="clear" w:color="auto" w:fill="CFF0FC"/>
          </w:tcPr>
          <w:p>
            <w:pPr>
              <w:spacing w:after="0"/>
              <w:rPr>
                <w:sz w:val="16"/>
                <w:szCs w:val="16"/>
                <w:color w:val="auto"/>
              </w:rPr>
            </w:pPr>
          </w:p>
        </w:tc>
        <w:tc>
          <w:tcPr>
            <w:tcW w:w="1320" w:type="dxa"/>
            <w:vAlign w:val="bottom"/>
            <w:shd w:val="clear" w:color="auto" w:fill="CFF0FC"/>
          </w:tcPr>
          <w:p>
            <w:pPr>
              <w:spacing w:after="0"/>
              <w:rPr>
                <w:sz w:val="16"/>
                <w:szCs w:val="16"/>
                <w:color w:val="auto"/>
              </w:rPr>
            </w:pPr>
          </w:p>
        </w:tc>
      </w:tr>
      <w:tr>
        <w:trPr>
          <w:trHeight w:val="189"/>
        </w:trPr>
        <w:tc>
          <w:tcPr>
            <w:tcW w:w="4900" w:type="dxa"/>
            <w:vAlign w:val="bottom"/>
          </w:tcPr>
          <w:p>
            <w:pPr>
              <w:ind w:left="100"/>
              <w:spacing w:after="0"/>
              <w:rPr>
                <w:sz w:val="20"/>
                <w:szCs w:val="20"/>
                <w:color w:val="auto"/>
              </w:rPr>
            </w:pPr>
            <w:r>
              <w:rPr>
                <w:rFonts w:ascii="Arial" w:cs="Arial" w:eastAsia="Arial" w:hAnsi="Arial"/>
                <w:sz w:val="16"/>
                <w:szCs w:val="16"/>
                <w:color w:val="auto"/>
              </w:rPr>
              <w:t>Forfeited</w:t>
            </w: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(69,761)</w:t>
            </w:r>
          </w:p>
        </w:tc>
        <w:tc>
          <w:tcPr>
            <w:tcW w:w="1160" w:type="dxa"/>
            <w:vAlign w:val="bottom"/>
          </w:tcPr>
          <w:p>
            <w:pPr>
              <w:spacing w:after="0"/>
              <w:rPr>
                <w:sz w:val="16"/>
                <w:szCs w:val="16"/>
                <w:color w:val="auto"/>
              </w:rPr>
            </w:pPr>
          </w:p>
        </w:tc>
        <w:tc>
          <w:tcPr>
            <w:tcW w:w="1680" w:type="dxa"/>
            <w:vAlign w:val="bottom"/>
          </w:tcPr>
          <w:p>
            <w:pPr>
              <w:jc w:val="right"/>
              <w:ind w:right="1264"/>
              <w:spacing w:after="0"/>
              <w:rPr>
                <w:sz w:val="20"/>
                <w:szCs w:val="20"/>
                <w:color w:val="auto"/>
              </w:rPr>
            </w:pPr>
            <w:r>
              <w:rPr>
                <w:rFonts w:ascii="Arial" w:cs="Arial" w:eastAsia="Arial" w:hAnsi="Arial"/>
                <w:sz w:val="16"/>
                <w:szCs w:val="16"/>
                <w:color w:val="auto"/>
              </w:rPr>
              <w:t>8.10</w:t>
            </w:r>
          </w:p>
        </w:tc>
        <w:tc>
          <w:tcPr>
            <w:tcW w:w="4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320" w:type="dxa"/>
            <w:vAlign w:val="bottom"/>
          </w:tcPr>
          <w:p>
            <w:pPr>
              <w:spacing w:after="0"/>
              <w:rPr>
                <w:sz w:val="16"/>
                <w:szCs w:val="16"/>
                <w:color w:val="auto"/>
              </w:rPr>
            </w:pPr>
          </w:p>
        </w:tc>
      </w:tr>
      <w:tr>
        <w:trPr>
          <w:trHeight w:val="223"/>
        </w:trPr>
        <w:tc>
          <w:tcPr>
            <w:tcW w:w="4900" w:type="dxa"/>
            <w:vAlign w:val="bottom"/>
            <w:tcBorders>
              <w:bottom w:val="single" w:sz="8" w:color="CFF0FC"/>
            </w:tcBorders>
            <w:shd w:val="clear" w:color="auto" w:fill="CFF0FC"/>
          </w:tcPr>
          <w:p>
            <w:pPr>
              <w:spacing w:after="0" w:line="169" w:lineRule="exact"/>
              <w:rPr>
                <w:sz w:val="20"/>
                <w:szCs w:val="20"/>
                <w:color w:val="auto"/>
              </w:rPr>
            </w:pPr>
            <w:r>
              <w:rPr>
                <w:rFonts w:ascii="Arial" w:cs="Arial" w:eastAsia="Arial" w:hAnsi="Arial"/>
                <w:sz w:val="16"/>
                <w:szCs w:val="16"/>
                <w:color w:val="auto"/>
              </w:rPr>
              <w:t>Outstanding—March 31, 2026</w:t>
            </w:r>
          </w:p>
        </w:tc>
        <w:tc>
          <w:tcPr>
            <w:tcW w:w="1500" w:type="dxa"/>
            <w:vAlign w:val="bottom"/>
            <w:tcBorders>
              <w:bottom w:val="single" w:sz="8" w:color="auto"/>
            </w:tcBorders>
            <w:shd w:val="clear" w:color="auto" w:fill="CFF0FC"/>
          </w:tcPr>
          <w:p>
            <w:pPr>
              <w:jc w:val="right"/>
              <w:ind w:right="41"/>
              <w:spacing w:after="0" w:line="169" w:lineRule="exact"/>
              <w:rPr>
                <w:sz w:val="20"/>
                <w:szCs w:val="20"/>
                <w:color w:val="auto"/>
              </w:rPr>
            </w:pPr>
            <w:r>
              <w:rPr>
                <w:rFonts w:ascii="Arial" w:cs="Arial" w:eastAsia="Arial" w:hAnsi="Arial"/>
                <w:sz w:val="16"/>
                <w:szCs w:val="16"/>
                <w:color w:val="auto"/>
              </w:rPr>
              <w:t>15,989,324</w:t>
            </w:r>
          </w:p>
        </w:tc>
        <w:tc>
          <w:tcPr>
            <w:tcW w:w="1160" w:type="dxa"/>
            <w:vAlign w:val="bottom"/>
            <w:tcBorders>
              <w:bottom w:val="single" w:sz="8" w:color="CFF0FC"/>
            </w:tcBorders>
            <w:shd w:val="clear" w:color="auto" w:fill="CFF0FC"/>
          </w:tcPr>
          <w:p>
            <w:pPr>
              <w:jc w:val="right"/>
              <w:ind w:right="843"/>
              <w:spacing w:after="0" w:line="169" w:lineRule="exact"/>
              <w:rPr>
                <w:sz w:val="20"/>
                <w:szCs w:val="20"/>
                <w:color w:val="auto"/>
              </w:rPr>
            </w:pPr>
            <w:r>
              <w:rPr>
                <w:rFonts w:ascii="Arial" w:cs="Arial" w:eastAsia="Arial" w:hAnsi="Arial"/>
                <w:sz w:val="16"/>
                <w:szCs w:val="16"/>
                <w:color w:val="auto"/>
              </w:rPr>
              <w:t>$</w:t>
            </w:r>
          </w:p>
        </w:tc>
        <w:tc>
          <w:tcPr>
            <w:tcW w:w="1680" w:type="dxa"/>
            <w:vAlign w:val="bottom"/>
            <w:tcBorders>
              <w:bottom w:val="single" w:sz="8" w:color="CFF0FC"/>
            </w:tcBorders>
            <w:shd w:val="clear" w:color="auto" w:fill="CFF0FC"/>
          </w:tcPr>
          <w:p>
            <w:pPr>
              <w:jc w:val="right"/>
              <w:ind w:right="1264"/>
              <w:spacing w:after="0" w:line="169" w:lineRule="exact"/>
              <w:rPr>
                <w:sz w:val="20"/>
                <w:szCs w:val="20"/>
                <w:color w:val="auto"/>
              </w:rPr>
            </w:pPr>
            <w:r>
              <w:rPr>
                <w:rFonts w:ascii="Arial" w:cs="Arial" w:eastAsia="Arial" w:hAnsi="Arial"/>
                <w:sz w:val="16"/>
                <w:szCs w:val="16"/>
                <w:color w:val="auto"/>
              </w:rPr>
              <w:t>8.98</w:t>
            </w:r>
          </w:p>
        </w:tc>
        <w:tc>
          <w:tcPr>
            <w:tcW w:w="400" w:type="dxa"/>
            <w:vAlign w:val="bottom"/>
            <w:tcBorders>
              <w:bottom w:val="single" w:sz="8" w:color="CFF0FC"/>
            </w:tcBorders>
            <w:shd w:val="clear" w:color="auto" w:fill="CFF0FC"/>
          </w:tcPr>
          <w:p>
            <w:pPr>
              <w:jc w:val="right"/>
              <w:ind w:right="39"/>
              <w:spacing w:after="0" w:line="169" w:lineRule="exact"/>
              <w:rPr>
                <w:sz w:val="20"/>
                <w:szCs w:val="20"/>
                <w:color w:val="auto"/>
              </w:rPr>
            </w:pPr>
            <w:r>
              <w:rPr>
                <w:rFonts w:ascii="Arial" w:cs="Arial" w:eastAsia="Arial" w:hAnsi="Arial"/>
                <w:sz w:val="16"/>
                <w:szCs w:val="16"/>
                <w:color w:val="auto"/>
              </w:rPr>
              <w:t>7.5</w:t>
            </w:r>
          </w:p>
        </w:tc>
        <w:tc>
          <w:tcPr>
            <w:tcW w:w="280" w:type="dxa"/>
            <w:vAlign w:val="bottom"/>
            <w:tcBorders>
              <w:bottom w:val="single" w:sz="8" w:color="CFF0FC"/>
            </w:tcBorders>
            <w:shd w:val="clear" w:color="auto" w:fill="CFF0FC"/>
          </w:tcPr>
          <w:p>
            <w:pPr>
              <w:jc w:val="right"/>
              <w:spacing w:after="0" w:line="169" w:lineRule="exact"/>
              <w:rPr>
                <w:sz w:val="20"/>
                <w:szCs w:val="20"/>
                <w:color w:val="auto"/>
              </w:rPr>
            </w:pPr>
            <w:r>
              <w:rPr>
                <w:rFonts w:ascii="Arial" w:cs="Arial" w:eastAsia="Arial" w:hAnsi="Arial"/>
                <w:sz w:val="16"/>
                <w:szCs w:val="16"/>
                <w:color w:val="auto"/>
              </w:rPr>
              <w:t>$</w:t>
            </w:r>
          </w:p>
        </w:tc>
        <w:tc>
          <w:tcPr>
            <w:tcW w:w="1320" w:type="dxa"/>
            <w:vAlign w:val="bottom"/>
            <w:tcBorders>
              <w:bottom w:val="single" w:sz="8" w:color="CFF0FC"/>
            </w:tcBorders>
            <w:shd w:val="clear" w:color="auto" w:fill="CFF0FC"/>
          </w:tcPr>
          <w:p>
            <w:pPr>
              <w:jc w:val="right"/>
              <w:ind w:right="44"/>
              <w:spacing w:after="0" w:line="169" w:lineRule="exact"/>
              <w:rPr>
                <w:sz w:val="20"/>
                <w:szCs w:val="20"/>
                <w:color w:val="auto"/>
              </w:rPr>
            </w:pPr>
            <w:r>
              <w:rPr>
                <w:rFonts w:ascii="Arial" w:cs="Arial" w:eastAsia="Arial" w:hAnsi="Arial"/>
                <w:sz w:val="16"/>
                <w:szCs w:val="16"/>
                <w:color w:val="auto"/>
              </w:rPr>
              <w:t>122,640</w:t>
            </w:r>
          </w:p>
        </w:tc>
      </w:tr>
      <w:tr>
        <w:trPr>
          <w:trHeight w:val="169"/>
        </w:trPr>
        <w:tc>
          <w:tcPr>
            <w:tcW w:w="4900" w:type="dxa"/>
            <w:vAlign w:val="bottom"/>
          </w:tcPr>
          <w:p>
            <w:pPr>
              <w:spacing w:after="0" w:line="169" w:lineRule="exact"/>
              <w:rPr>
                <w:sz w:val="20"/>
                <w:szCs w:val="20"/>
                <w:color w:val="auto"/>
              </w:rPr>
            </w:pPr>
            <w:r>
              <w:rPr>
                <w:rFonts w:ascii="Arial" w:cs="Arial" w:eastAsia="Arial" w:hAnsi="Arial"/>
                <w:sz w:val="16"/>
                <w:szCs w:val="16"/>
                <w:color w:val="auto"/>
              </w:rPr>
              <w:t>Vested or expected to vest—March 31, 2026</w:t>
            </w:r>
          </w:p>
        </w:tc>
        <w:tc>
          <w:tcPr>
            <w:tcW w:w="1500" w:type="dxa"/>
            <w:vAlign w:val="bottom"/>
            <w:tcBorders>
              <w:bottom w:val="single" w:sz="8" w:color="auto"/>
            </w:tcBorders>
          </w:tcPr>
          <w:p>
            <w:pPr>
              <w:jc w:val="right"/>
              <w:ind w:right="41"/>
              <w:spacing w:after="0" w:line="169" w:lineRule="exact"/>
              <w:rPr>
                <w:sz w:val="20"/>
                <w:szCs w:val="20"/>
                <w:color w:val="auto"/>
              </w:rPr>
            </w:pPr>
            <w:r>
              <w:rPr>
                <w:rFonts w:ascii="Arial" w:cs="Arial" w:eastAsia="Arial" w:hAnsi="Arial"/>
                <w:sz w:val="16"/>
                <w:szCs w:val="16"/>
                <w:color w:val="auto"/>
              </w:rPr>
              <w:t>15,989,324</w:t>
            </w:r>
          </w:p>
        </w:tc>
        <w:tc>
          <w:tcPr>
            <w:tcW w:w="1160" w:type="dxa"/>
            <w:vAlign w:val="bottom"/>
          </w:tcPr>
          <w:p>
            <w:pPr>
              <w:jc w:val="right"/>
              <w:ind w:right="843"/>
              <w:spacing w:after="0" w:line="169" w:lineRule="exact"/>
              <w:rPr>
                <w:sz w:val="20"/>
                <w:szCs w:val="20"/>
                <w:color w:val="auto"/>
              </w:rPr>
            </w:pPr>
            <w:r>
              <w:rPr>
                <w:rFonts w:ascii="Arial" w:cs="Arial" w:eastAsia="Arial" w:hAnsi="Arial"/>
                <w:sz w:val="16"/>
                <w:szCs w:val="16"/>
                <w:color w:val="auto"/>
              </w:rPr>
              <w:t>$</w:t>
            </w:r>
          </w:p>
        </w:tc>
        <w:tc>
          <w:tcPr>
            <w:tcW w:w="1680" w:type="dxa"/>
            <w:vAlign w:val="bottom"/>
          </w:tcPr>
          <w:p>
            <w:pPr>
              <w:jc w:val="right"/>
              <w:ind w:right="1264"/>
              <w:spacing w:after="0" w:line="169" w:lineRule="exact"/>
              <w:rPr>
                <w:sz w:val="20"/>
                <w:szCs w:val="20"/>
                <w:color w:val="auto"/>
              </w:rPr>
            </w:pPr>
            <w:r>
              <w:rPr>
                <w:rFonts w:ascii="Arial" w:cs="Arial" w:eastAsia="Arial" w:hAnsi="Arial"/>
                <w:sz w:val="16"/>
                <w:szCs w:val="16"/>
                <w:color w:val="auto"/>
              </w:rPr>
              <w:t>8.98</w:t>
            </w:r>
          </w:p>
        </w:tc>
        <w:tc>
          <w:tcPr>
            <w:tcW w:w="400" w:type="dxa"/>
            <w:vAlign w:val="bottom"/>
          </w:tcPr>
          <w:p>
            <w:pPr>
              <w:jc w:val="right"/>
              <w:ind w:right="39"/>
              <w:spacing w:after="0" w:line="169" w:lineRule="exact"/>
              <w:rPr>
                <w:sz w:val="20"/>
                <w:szCs w:val="20"/>
                <w:color w:val="auto"/>
              </w:rPr>
            </w:pPr>
            <w:r>
              <w:rPr>
                <w:rFonts w:ascii="Arial" w:cs="Arial" w:eastAsia="Arial" w:hAnsi="Arial"/>
                <w:sz w:val="16"/>
                <w:szCs w:val="16"/>
                <w:color w:val="auto"/>
              </w:rPr>
              <w:t>7.5</w:t>
            </w:r>
          </w:p>
        </w:tc>
        <w:tc>
          <w:tcPr>
            <w:tcW w:w="280" w:type="dxa"/>
            <w:vAlign w:val="bottom"/>
          </w:tcPr>
          <w:p>
            <w:pPr>
              <w:jc w:val="right"/>
              <w:spacing w:after="0" w:line="169" w:lineRule="exact"/>
              <w:rPr>
                <w:sz w:val="20"/>
                <w:szCs w:val="20"/>
                <w:color w:val="auto"/>
              </w:rPr>
            </w:pPr>
            <w:r>
              <w:rPr>
                <w:rFonts w:ascii="Arial" w:cs="Arial" w:eastAsia="Arial" w:hAnsi="Arial"/>
                <w:sz w:val="16"/>
                <w:szCs w:val="16"/>
                <w:color w:val="auto"/>
              </w:rPr>
              <w:t>$</w:t>
            </w:r>
          </w:p>
        </w:tc>
        <w:tc>
          <w:tcPr>
            <w:tcW w:w="1320" w:type="dxa"/>
            <w:vAlign w:val="bottom"/>
          </w:tcPr>
          <w:p>
            <w:pPr>
              <w:jc w:val="right"/>
              <w:ind w:right="44"/>
              <w:spacing w:after="0" w:line="169" w:lineRule="exact"/>
              <w:rPr>
                <w:sz w:val="20"/>
                <w:szCs w:val="20"/>
                <w:color w:val="auto"/>
              </w:rPr>
            </w:pPr>
            <w:r>
              <w:rPr>
                <w:rFonts w:ascii="Arial" w:cs="Arial" w:eastAsia="Arial" w:hAnsi="Arial"/>
                <w:sz w:val="16"/>
                <w:szCs w:val="16"/>
                <w:color w:val="auto"/>
              </w:rPr>
              <w:t>122,640</w:t>
            </w:r>
          </w:p>
        </w:tc>
      </w:tr>
      <w:tr>
        <w:trPr>
          <w:trHeight w:val="20"/>
        </w:trPr>
        <w:tc>
          <w:tcPr>
            <w:tcW w:w="4900" w:type="dxa"/>
            <w:vAlign w:val="bottom"/>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r>
      <w:tr>
        <w:trPr>
          <w:trHeight w:val="169"/>
        </w:trPr>
        <w:tc>
          <w:tcPr>
            <w:tcW w:w="4900" w:type="dxa"/>
            <w:vAlign w:val="bottom"/>
            <w:tcBorders>
              <w:bottom w:val="single" w:sz="8" w:color="auto"/>
            </w:tcBorders>
            <w:shd w:val="clear" w:color="auto" w:fill="CFF0FC"/>
          </w:tcPr>
          <w:p>
            <w:pPr>
              <w:spacing w:after="0" w:line="170" w:lineRule="exact"/>
              <w:rPr>
                <w:sz w:val="20"/>
                <w:szCs w:val="20"/>
                <w:color w:val="auto"/>
              </w:rPr>
            </w:pPr>
            <w:r>
              <w:rPr>
                <w:rFonts w:ascii="Arial" w:cs="Arial" w:eastAsia="Arial" w:hAnsi="Arial"/>
                <w:sz w:val="16"/>
                <w:szCs w:val="16"/>
                <w:color w:val="auto"/>
              </w:rPr>
              <w:t>Exercisable—March 31, 2026</w:t>
            </w:r>
          </w:p>
        </w:tc>
        <w:tc>
          <w:tcPr>
            <w:tcW w:w="1500" w:type="dxa"/>
            <w:vAlign w:val="bottom"/>
            <w:tcBorders>
              <w:bottom w:val="single" w:sz="8" w:color="auto"/>
            </w:tcBorders>
            <w:shd w:val="clear" w:color="auto" w:fill="CFF0FC"/>
          </w:tcPr>
          <w:p>
            <w:pPr>
              <w:jc w:val="right"/>
              <w:ind w:right="41"/>
              <w:spacing w:after="0" w:line="170" w:lineRule="exact"/>
              <w:rPr>
                <w:sz w:val="20"/>
                <w:szCs w:val="20"/>
                <w:color w:val="auto"/>
              </w:rPr>
            </w:pPr>
            <w:r>
              <w:rPr>
                <w:rFonts w:ascii="Arial" w:cs="Arial" w:eastAsia="Arial" w:hAnsi="Arial"/>
                <w:sz w:val="16"/>
                <w:szCs w:val="16"/>
                <w:color w:val="auto"/>
              </w:rPr>
              <w:t>8,921,922</w:t>
            </w:r>
          </w:p>
        </w:tc>
        <w:tc>
          <w:tcPr>
            <w:tcW w:w="1160" w:type="dxa"/>
            <w:vAlign w:val="bottom"/>
            <w:tcBorders>
              <w:bottom w:val="single" w:sz="8" w:color="auto"/>
            </w:tcBorders>
            <w:shd w:val="clear" w:color="auto" w:fill="CFF0FC"/>
          </w:tcPr>
          <w:p>
            <w:pPr>
              <w:jc w:val="right"/>
              <w:ind w:right="843"/>
              <w:spacing w:after="0" w:line="170" w:lineRule="exact"/>
              <w:rPr>
                <w:sz w:val="20"/>
                <w:szCs w:val="20"/>
                <w:color w:val="auto"/>
              </w:rPr>
            </w:pPr>
            <w:r>
              <w:rPr>
                <w:rFonts w:ascii="Arial" w:cs="Arial" w:eastAsia="Arial" w:hAnsi="Arial"/>
                <w:sz w:val="16"/>
                <w:szCs w:val="16"/>
                <w:color w:val="auto"/>
              </w:rPr>
              <w:t>$</w:t>
            </w:r>
          </w:p>
        </w:tc>
        <w:tc>
          <w:tcPr>
            <w:tcW w:w="1680" w:type="dxa"/>
            <w:vAlign w:val="bottom"/>
            <w:tcBorders>
              <w:bottom w:val="single" w:sz="8" w:color="auto"/>
            </w:tcBorders>
            <w:shd w:val="clear" w:color="auto" w:fill="CFF0FC"/>
          </w:tcPr>
          <w:p>
            <w:pPr>
              <w:jc w:val="right"/>
              <w:ind w:right="1264"/>
              <w:spacing w:after="0" w:line="170" w:lineRule="exact"/>
              <w:rPr>
                <w:sz w:val="20"/>
                <w:szCs w:val="20"/>
                <w:color w:val="auto"/>
              </w:rPr>
            </w:pPr>
            <w:r>
              <w:rPr>
                <w:rFonts w:ascii="Arial" w:cs="Arial" w:eastAsia="Arial" w:hAnsi="Arial"/>
                <w:sz w:val="16"/>
                <w:szCs w:val="16"/>
                <w:color w:val="auto"/>
              </w:rPr>
              <w:t>8.32</w:t>
            </w:r>
          </w:p>
        </w:tc>
        <w:tc>
          <w:tcPr>
            <w:tcW w:w="400" w:type="dxa"/>
            <w:vAlign w:val="bottom"/>
            <w:tcBorders>
              <w:bottom w:val="single" w:sz="8" w:color="auto"/>
            </w:tcBorders>
            <w:shd w:val="clear" w:color="auto" w:fill="CFF0FC"/>
          </w:tcPr>
          <w:p>
            <w:pPr>
              <w:jc w:val="right"/>
              <w:ind w:right="39"/>
              <w:spacing w:after="0" w:line="170" w:lineRule="exact"/>
              <w:rPr>
                <w:sz w:val="20"/>
                <w:szCs w:val="20"/>
                <w:color w:val="auto"/>
              </w:rPr>
            </w:pPr>
            <w:r>
              <w:rPr>
                <w:rFonts w:ascii="Arial" w:cs="Arial" w:eastAsia="Arial" w:hAnsi="Arial"/>
                <w:sz w:val="16"/>
                <w:szCs w:val="16"/>
                <w:color w:val="auto"/>
              </w:rPr>
              <w:t>6.4</w:t>
            </w:r>
          </w:p>
        </w:tc>
        <w:tc>
          <w:tcPr>
            <w:tcW w:w="280" w:type="dxa"/>
            <w:vAlign w:val="bottom"/>
            <w:tcBorders>
              <w:bottom w:val="single" w:sz="8" w:color="auto"/>
            </w:tcBorders>
            <w:shd w:val="clear" w:color="auto" w:fill="CFF0FC"/>
          </w:tcPr>
          <w:p>
            <w:pPr>
              <w:jc w:val="right"/>
              <w:spacing w:after="0" w:line="170" w:lineRule="exact"/>
              <w:rPr>
                <w:sz w:val="20"/>
                <w:szCs w:val="20"/>
                <w:color w:val="auto"/>
              </w:rPr>
            </w:pPr>
            <w:r>
              <w:rPr>
                <w:rFonts w:ascii="Arial" w:cs="Arial" w:eastAsia="Arial" w:hAnsi="Arial"/>
                <w:sz w:val="16"/>
                <w:szCs w:val="16"/>
                <w:color w:val="auto"/>
              </w:rPr>
              <w:t>$</w:t>
            </w:r>
          </w:p>
        </w:tc>
        <w:tc>
          <w:tcPr>
            <w:tcW w:w="1320" w:type="dxa"/>
            <w:vAlign w:val="bottom"/>
            <w:tcBorders>
              <w:bottom w:val="single" w:sz="8" w:color="auto"/>
            </w:tcBorders>
            <w:shd w:val="clear" w:color="auto" w:fill="CFF0FC"/>
          </w:tcPr>
          <w:p>
            <w:pPr>
              <w:jc w:val="right"/>
              <w:ind w:right="44"/>
              <w:spacing w:after="0" w:line="170" w:lineRule="exact"/>
              <w:rPr>
                <w:sz w:val="20"/>
                <w:szCs w:val="20"/>
                <w:color w:val="auto"/>
              </w:rPr>
            </w:pPr>
            <w:r>
              <w:rPr>
                <w:rFonts w:ascii="Arial" w:cs="Arial" w:eastAsia="Arial" w:hAnsi="Arial"/>
                <w:sz w:val="16"/>
                <w:szCs w:val="16"/>
                <w:color w:val="auto"/>
              </w:rPr>
              <w:t>75,433</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4068445</wp:posOffset>
            </wp:positionH>
            <wp:positionV relativeFrom="paragraph">
              <wp:posOffset>-299085</wp:posOffset>
            </wp:positionV>
            <wp:extent cx="93980" cy="82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93980" cy="8255"/>
                    </a:xfrm>
                    <a:prstGeom prst="rect">
                      <a:avLst/>
                    </a:prstGeom>
                    <a:noFill/>
                  </pic:spPr>
                </pic:pic>
              </a:graphicData>
            </a:graphic>
          </wp:anchor>
        </w:drawing>
        <w:drawing>
          <wp:anchor simplePos="0" relativeHeight="251657728" behindDoc="1" locked="0" layoutInCell="0" allowOverlap="1">
            <wp:simplePos x="0" y="0"/>
            <wp:positionH relativeFrom="column">
              <wp:posOffset>4068445</wp:posOffset>
            </wp:positionH>
            <wp:positionV relativeFrom="paragraph">
              <wp:posOffset>-281940</wp:posOffset>
            </wp:positionV>
            <wp:extent cx="93980" cy="82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93980" cy="8255"/>
                    </a:xfrm>
                    <a:prstGeom prst="rect">
                      <a:avLst/>
                    </a:prstGeom>
                    <a:noFill/>
                  </pic:spPr>
                </pic:pic>
              </a:graphicData>
            </a:graphic>
          </wp:anchor>
        </w:drawing>
      </w:r>
    </w:p>
    <w:p>
      <w:pPr>
        <w:spacing w:after="0" w:line="83" w:lineRule="exact"/>
        <w:rPr>
          <w:sz w:val="20"/>
          <w:szCs w:val="20"/>
          <w:color w:val="auto"/>
        </w:rPr>
      </w:pPr>
    </w:p>
    <w:p>
      <w:pPr>
        <w:ind w:right="200"/>
        <w:spacing w:after="0" w:line="271" w:lineRule="auto"/>
        <w:rPr>
          <w:sz w:val="20"/>
          <w:szCs w:val="20"/>
          <w:color w:val="auto"/>
        </w:rPr>
      </w:pPr>
      <w:r>
        <w:rPr>
          <w:rFonts w:ascii="Arial" w:cs="Arial" w:eastAsia="Arial" w:hAnsi="Arial"/>
          <w:sz w:val="18"/>
          <w:szCs w:val="18"/>
          <w:color w:val="auto"/>
        </w:rPr>
        <w:t>The aggregate intrinsic value of options granted is calculated as the difference between the exercise price of the options and the estimated fair value of the Company’s common stock.</w:t>
      </w:r>
    </w:p>
    <w:p>
      <w:pPr>
        <w:spacing w:after="0" w:line="4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Restricted stock unit activity</w:t>
      </w:r>
    </w:p>
    <w:p>
      <w:pPr>
        <w:spacing w:after="0" w:line="102" w:lineRule="exact"/>
        <w:rPr>
          <w:sz w:val="20"/>
          <w:szCs w:val="20"/>
          <w:color w:val="auto"/>
        </w:rPr>
      </w:pPr>
    </w:p>
    <w:p>
      <w:pPr>
        <w:ind w:right="320"/>
        <w:spacing w:after="0" w:line="247" w:lineRule="auto"/>
        <w:rPr>
          <w:sz w:val="20"/>
          <w:szCs w:val="20"/>
          <w:color w:val="auto"/>
        </w:rPr>
      </w:pPr>
      <w:r>
        <w:rPr>
          <w:rFonts w:ascii="Arial" w:cs="Arial" w:eastAsia="Arial" w:hAnsi="Arial"/>
          <w:sz w:val="18"/>
          <w:szCs w:val="18"/>
          <w:color w:val="auto"/>
        </w:rPr>
        <w:t>The Company has granted RSUs to employees under the 2021 Plan. Each of the RSUs represents the right to receive one share of the Company’s common stock upon vesting. The RSUs will typically vest over two or four years provided the individual remains in continuous service of the Company. Accordingly, stock-based compensation expense for each RSU is recognized on a straight-line basis over the vesting term. The fair value of each RSU is based on the closing price of the Company’s common stock on the date of grant.</w:t>
      </w:r>
    </w:p>
    <w:p>
      <w:pPr>
        <w:spacing w:after="0" w:line="66" w:lineRule="exact"/>
        <w:rPr>
          <w:sz w:val="20"/>
          <w:szCs w:val="20"/>
          <w:color w:val="auto"/>
        </w:rPr>
      </w:pPr>
    </w:p>
    <w:p>
      <w:pPr>
        <w:spacing w:after="0"/>
        <w:rPr>
          <w:sz w:val="20"/>
          <w:szCs w:val="20"/>
          <w:color w:val="auto"/>
        </w:rPr>
      </w:pPr>
      <w:r>
        <w:rPr>
          <w:rFonts w:ascii="Arial" w:cs="Arial" w:eastAsia="Arial" w:hAnsi="Arial"/>
          <w:sz w:val="18"/>
          <w:szCs w:val="18"/>
          <w:color w:val="auto"/>
        </w:rPr>
        <w:t>The following summarizes RSU activity:</w:t>
      </w:r>
    </w:p>
    <w:p>
      <w:pPr>
        <w:spacing w:after="0" w:line="102"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7680" w:type="dxa"/>
            <w:vAlign w:val="bottom"/>
            <w:tcBorders>
              <w:top w:val="single" w:sz="8" w:color="auto"/>
            </w:tcBorders>
          </w:tcPr>
          <w:p>
            <w:pPr>
              <w:spacing w:after="0"/>
              <w:rPr>
                <w:sz w:val="16"/>
                <w:szCs w:val="16"/>
                <w:color w:val="auto"/>
              </w:rPr>
            </w:pPr>
          </w:p>
        </w:tc>
        <w:tc>
          <w:tcPr>
            <w:tcW w:w="1720" w:type="dxa"/>
            <w:vAlign w:val="bottom"/>
            <w:tcBorders>
              <w:top w:val="single" w:sz="8" w:color="auto"/>
            </w:tcBorders>
          </w:tcPr>
          <w:p>
            <w:pPr>
              <w:spacing w:after="0"/>
              <w:rPr>
                <w:sz w:val="16"/>
                <w:szCs w:val="16"/>
                <w:color w:val="auto"/>
              </w:rPr>
            </w:pPr>
          </w:p>
        </w:tc>
        <w:tc>
          <w:tcPr>
            <w:tcW w:w="420" w:type="dxa"/>
            <w:vAlign w:val="bottom"/>
            <w:tcBorders>
              <w:top w:val="single" w:sz="8" w:color="auto"/>
            </w:tcBorders>
          </w:tcPr>
          <w:p>
            <w:pPr>
              <w:spacing w:after="0"/>
              <w:rPr>
                <w:sz w:val="16"/>
                <w:szCs w:val="16"/>
                <w:color w:val="auto"/>
              </w:rPr>
            </w:pPr>
          </w:p>
        </w:tc>
        <w:tc>
          <w:tcPr>
            <w:tcW w:w="1420" w:type="dxa"/>
            <w:vAlign w:val="bottom"/>
            <w:tcBorders>
              <w:top w:val="single" w:sz="8" w:color="auto"/>
            </w:tcBorders>
          </w:tcPr>
          <w:p>
            <w:pPr>
              <w:jc w:val="center"/>
              <w:ind w:right="279"/>
              <w:spacing w:after="0"/>
              <w:rPr>
                <w:sz w:val="20"/>
                <w:szCs w:val="20"/>
                <w:color w:val="auto"/>
              </w:rPr>
            </w:pPr>
            <w:r>
              <w:rPr>
                <w:rFonts w:ascii="Arial" w:cs="Arial" w:eastAsia="Arial" w:hAnsi="Arial"/>
                <w:sz w:val="16"/>
                <w:szCs w:val="16"/>
                <w:b w:val="1"/>
                <w:bCs w:val="1"/>
                <w:color w:val="auto"/>
              </w:rPr>
              <w:t>Weighted</w:t>
            </w:r>
          </w:p>
        </w:tc>
      </w:tr>
      <w:tr>
        <w:trPr>
          <w:trHeight w:val="189"/>
        </w:trPr>
        <w:tc>
          <w:tcPr>
            <w:tcW w:w="7680" w:type="dxa"/>
            <w:vAlign w:val="bottom"/>
          </w:tcPr>
          <w:p>
            <w:pPr>
              <w:spacing w:after="0"/>
              <w:rPr>
                <w:sz w:val="16"/>
                <w:szCs w:val="16"/>
                <w:color w:val="auto"/>
              </w:rPr>
            </w:pPr>
          </w:p>
        </w:tc>
        <w:tc>
          <w:tcPr>
            <w:tcW w:w="1720" w:type="dxa"/>
            <w:vAlign w:val="bottom"/>
          </w:tcPr>
          <w:p>
            <w:pPr>
              <w:jc w:val="center"/>
              <w:ind w:right="39"/>
              <w:spacing w:after="0"/>
              <w:rPr>
                <w:sz w:val="20"/>
                <w:szCs w:val="20"/>
                <w:color w:val="auto"/>
              </w:rPr>
            </w:pPr>
            <w:r>
              <w:rPr>
                <w:rFonts w:ascii="Arial" w:cs="Arial" w:eastAsia="Arial" w:hAnsi="Arial"/>
                <w:sz w:val="16"/>
                <w:szCs w:val="16"/>
                <w:b w:val="1"/>
                <w:bCs w:val="1"/>
                <w:color w:val="auto"/>
                <w:w w:val="99"/>
              </w:rPr>
              <w:t>Number</w:t>
            </w:r>
          </w:p>
        </w:tc>
        <w:tc>
          <w:tcPr>
            <w:tcW w:w="420" w:type="dxa"/>
            <w:vAlign w:val="bottom"/>
          </w:tcPr>
          <w:p>
            <w:pPr>
              <w:spacing w:after="0"/>
              <w:rPr>
                <w:sz w:val="16"/>
                <w:szCs w:val="16"/>
                <w:color w:val="auto"/>
              </w:rPr>
            </w:pPr>
          </w:p>
        </w:tc>
        <w:tc>
          <w:tcPr>
            <w:tcW w:w="1420" w:type="dxa"/>
            <w:vAlign w:val="bottom"/>
          </w:tcPr>
          <w:p>
            <w:pPr>
              <w:jc w:val="center"/>
              <w:ind w:right="279"/>
              <w:spacing w:after="0"/>
              <w:rPr>
                <w:sz w:val="20"/>
                <w:szCs w:val="20"/>
                <w:color w:val="auto"/>
              </w:rPr>
            </w:pPr>
            <w:r>
              <w:rPr>
                <w:rFonts w:ascii="Arial" w:cs="Arial" w:eastAsia="Arial" w:hAnsi="Arial"/>
                <w:sz w:val="16"/>
                <w:szCs w:val="16"/>
                <w:b w:val="1"/>
                <w:bCs w:val="1"/>
                <w:color w:val="auto"/>
              </w:rPr>
              <w:t>average</w:t>
            </w:r>
          </w:p>
        </w:tc>
      </w:tr>
      <w:tr>
        <w:trPr>
          <w:trHeight w:val="189"/>
        </w:trPr>
        <w:tc>
          <w:tcPr>
            <w:tcW w:w="7680" w:type="dxa"/>
            <w:vAlign w:val="bottom"/>
          </w:tcPr>
          <w:p>
            <w:pPr>
              <w:spacing w:after="0"/>
              <w:rPr>
                <w:sz w:val="16"/>
                <w:szCs w:val="16"/>
                <w:color w:val="auto"/>
              </w:rPr>
            </w:pPr>
          </w:p>
        </w:tc>
        <w:tc>
          <w:tcPr>
            <w:tcW w:w="1720" w:type="dxa"/>
            <w:vAlign w:val="bottom"/>
          </w:tcPr>
          <w:p>
            <w:pPr>
              <w:jc w:val="center"/>
              <w:ind w:right="39"/>
              <w:spacing w:after="0"/>
              <w:rPr>
                <w:sz w:val="20"/>
                <w:szCs w:val="20"/>
                <w:color w:val="auto"/>
              </w:rPr>
            </w:pPr>
            <w:r>
              <w:rPr>
                <w:rFonts w:ascii="Arial" w:cs="Arial" w:eastAsia="Arial" w:hAnsi="Arial"/>
                <w:sz w:val="16"/>
                <w:szCs w:val="16"/>
                <w:b w:val="1"/>
                <w:bCs w:val="1"/>
                <w:color w:val="auto"/>
              </w:rPr>
              <w:t>of</w:t>
            </w:r>
          </w:p>
        </w:tc>
        <w:tc>
          <w:tcPr>
            <w:tcW w:w="420" w:type="dxa"/>
            <w:vAlign w:val="bottom"/>
          </w:tcPr>
          <w:p>
            <w:pPr>
              <w:spacing w:after="0"/>
              <w:rPr>
                <w:sz w:val="16"/>
                <w:szCs w:val="16"/>
                <w:color w:val="auto"/>
              </w:rPr>
            </w:pPr>
          </w:p>
        </w:tc>
        <w:tc>
          <w:tcPr>
            <w:tcW w:w="1420" w:type="dxa"/>
            <w:vAlign w:val="bottom"/>
          </w:tcPr>
          <w:p>
            <w:pPr>
              <w:jc w:val="center"/>
              <w:ind w:right="279"/>
              <w:spacing w:after="0"/>
              <w:rPr>
                <w:sz w:val="20"/>
                <w:szCs w:val="20"/>
                <w:color w:val="auto"/>
              </w:rPr>
            </w:pPr>
            <w:r>
              <w:rPr>
                <w:rFonts w:ascii="Arial" w:cs="Arial" w:eastAsia="Arial" w:hAnsi="Arial"/>
                <w:sz w:val="16"/>
                <w:szCs w:val="16"/>
                <w:b w:val="1"/>
                <w:bCs w:val="1"/>
                <w:color w:val="auto"/>
              </w:rPr>
              <w:t>grant date</w:t>
            </w:r>
          </w:p>
        </w:tc>
      </w:tr>
      <w:tr>
        <w:trPr>
          <w:trHeight w:val="203"/>
        </w:trPr>
        <w:tc>
          <w:tcPr>
            <w:tcW w:w="7680" w:type="dxa"/>
            <w:vAlign w:val="bottom"/>
            <w:tcBorders>
              <w:bottom w:val="single" w:sz="8" w:color="auto"/>
            </w:tcBorders>
          </w:tcPr>
          <w:p>
            <w:pPr>
              <w:spacing w:after="0"/>
              <w:rPr>
                <w:sz w:val="17"/>
                <w:szCs w:val="17"/>
                <w:color w:val="auto"/>
              </w:rPr>
            </w:pPr>
          </w:p>
        </w:tc>
        <w:tc>
          <w:tcPr>
            <w:tcW w:w="1720" w:type="dxa"/>
            <w:vAlign w:val="bottom"/>
            <w:tcBorders>
              <w:bottom w:val="single" w:sz="8" w:color="auto"/>
            </w:tcBorders>
          </w:tcPr>
          <w:p>
            <w:pPr>
              <w:jc w:val="center"/>
              <w:ind w:right="39"/>
              <w:spacing w:after="0"/>
              <w:rPr>
                <w:sz w:val="20"/>
                <w:szCs w:val="20"/>
                <w:color w:val="auto"/>
              </w:rPr>
            </w:pPr>
            <w:r>
              <w:rPr>
                <w:rFonts w:ascii="Arial" w:cs="Arial" w:eastAsia="Arial" w:hAnsi="Arial"/>
                <w:sz w:val="16"/>
                <w:szCs w:val="16"/>
                <w:b w:val="1"/>
                <w:bCs w:val="1"/>
                <w:color w:val="auto"/>
              </w:rPr>
              <w:t>shares</w:t>
            </w:r>
          </w:p>
        </w:tc>
        <w:tc>
          <w:tcPr>
            <w:tcW w:w="420" w:type="dxa"/>
            <w:vAlign w:val="bottom"/>
            <w:tcBorders>
              <w:bottom w:val="single" w:sz="8" w:color="auto"/>
            </w:tcBorders>
          </w:tcPr>
          <w:p>
            <w:pPr>
              <w:spacing w:after="0"/>
              <w:rPr>
                <w:sz w:val="17"/>
                <w:szCs w:val="17"/>
                <w:color w:val="auto"/>
              </w:rPr>
            </w:pPr>
          </w:p>
        </w:tc>
        <w:tc>
          <w:tcPr>
            <w:tcW w:w="1420" w:type="dxa"/>
            <w:vAlign w:val="bottom"/>
            <w:tcBorders>
              <w:bottom w:val="single" w:sz="8" w:color="auto"/>
            </w:tcBorders>
          </w:tcPr>
          <w:p>
            <w:pPr>
              <w:jc w:val="center"/>
              <w:ind w:right="279"/>
              <w:spacing w:after="0"/>
              <w:rPr>
                <w:sz w:val="20"/>
                <w:szCs w:val="20"/>
                <w:color w:val="auto"/>
              </w:rPr>
            </w:pPr>
            <w:r>
              <w:rPr>
                <w:rFonts w:ascii="Arial" w:cs="Arial" w:eastAsia="Arial" w:hAnsi="Arial"/>
                <w:sz w:val="16"/>
                <w:szCs w:val="16"/>
                <w:b w:val="1"/>
                <w:bCs w:val="1"/>
                <w:color w:val="auto"/>
                <w:w w:val="99"/>
              </w:rPr>
              <w:t>fair value</w:t>
            </w:r>
          </w:p>
        </w:tc>
      </w:tr>
      <w:tr>
        <w:trPr>
          <w:trHeight w:val="183"/>
        </w:trPr>
        <w:tc>
          <w:tcPr>
            <w:tcW w:w="7680" w:type="dxa"/>
            <w:vAlign w:val="bottom"/>
          </w:tcPr>
          <w:p>
            <w:pPr>
              <w:spacing w:after="0" w:line="183" w:lineRule="exact"/>
              <w:rPr>
                <w:sz w:val="20"/>
                <w:szCs w:val="20"/>
                <w:color w:val="auto"/>
              </w:rPr>
            </w:pPr>
            <w:r>
              <w:rPr>
                <w:rFonts w:ascii="Arial" w:cs="Arial" w:eastAsia="Arial" w:hAnsi="Arial"/>
                <w:sz w:val="16"/>
                <w:szCs w:val="16"/>
                <w:color w:val="auto"/>
              </w:rPr>
              <w:t>Unvested restricted stock units as of December 31, 2025</w:t>
            </w:r>
          </w:p>
        </w:tc>
        <w:tc>
          <w:tcPr>
            <w:tcW w:w="1720" w:type="dxa"/>
            <w:vAlign w:val="bottom"/>
          </w:tcPr>
          <w:p>
            <w:pPr>
              <w:jc w:val="right"/>
              <w:ind w:right="39"/>
              <w:spacing w:after="0" w:line="183" w:lineRule="exact"/>
              <w:rPr>
                <w:sz w:val="20"/>
                <w:szCs w:val="20"/>
                <w:color w:val="auto"/>
              </w:rPr>
            </w:pPr>
            <w:r>
              <w:rPr>
                <w:rFonts w:ascii="Arial" w:cs="Arial" w:eastAsia="Arial" w:hAnsi="Arial"/>
                <w:sz w:val="16"/>
                <w:szCs w:val="16"/>
                <w:color w:val="auto"/>
              </w:rPr>
              <w:t>775,765</w:t>
            </w:r>
          </w:p>
        </w:tc>
        <w:tc>
          <w:tcPr>
            <w:tcW w:w="420" w:type="dxa"/>
            <w:vAlign w:val="bottom"/>
          </w:tcPr>
          <w:p>
            <w:pPr>
              <w:jc w:val="right"/>
              <w:ind w:right="79"/>
              <w:spacing w:after="0" w:line="183" w:lineRule="exact"/>
              <w:rPr>
                <w:sz w:val="20"/>
                <w:szCs w:val="20"/>
                <w:color w:val="auto"/>
              </w:rPr>
            </w:pPr>
            <w:r>
              <w:rPr>
                <w:rFonts w:ascii="Arial" w:cs="Arial" w:eastAsia="Arial" w:hAnsi="Arial"/>
                <w:sz w:val="16"/>
                <w:szCs w:val="16"/>
                <w:color w:val="auto"/>
              </w:rPr>
              <w:t>$</w:t>
            </w:r>
          </w:p>
        </w:tc>
        <w:tc>
          <w:tcPr>
            <w:tcW w:w="1420" w:type="dxa"/>
            <w:vAlign w:val="bottom"/>
          </w:tcPr>
          <w:p>
            <w:pPr>
              <w:jc w:val="right"/>
              <w:ind w:right="39"/>
              <w:spacing w:after="0" w:line="183" w:lineRule="exact"/>
              <w:rPr>
                <w:sz w:val="20"/>
                <w:szCs w:val="20"/>
                <w:color w:val="auto"/>
              </w:rPr>
            </w:pPr>
            <w:r>
              <w:rPr>
                <w:rFonts w:ascii="Arial" w:cs="Arial" w:eastAsia="Arial" w:hAnsi="Arial"/>
                <w:sz w:val="16"/>
                <w:szCs w:val="16"/>
                <w:color w:val="auto"/>
              </w:rPr>
              <w:t>7.05</w:t>
            </w:r>
          </w:p>
        </w:tc>
      </w:tr>
      <w:tr>
        <w:trPr>
          <w:trHeight w:val="189"/>
        </w:trPr>
        <w:tc>
          <w:tcPr>
            <w:tcW w:w="7680" w:type="dxa"/>
            <w:vAlign w:val="bottom"/>
            <w:shd w:val="clear" w:color="auto" w:fill="CFF0FC"/>
          </w:tcPr>
          <w:p>
            <w:pPr>
              <w:ind w:left="140"/>
              <w:spacing w:after="0"/>
              <w:rPr>
                <w:sz w:val="20"/>
                <w:szCs w:val="20"/>
                <w:color w:val="auto"/>
              </w:rPr>
            </w:pPr>
            <w:r>
              <w:rPr>
                <w:rFonts w:ascii="Arial" w:cs="Arial" w:eastAsia="Arial" w:hAnsi="Arial"/>
                <w:sz w:val="16"/>
                <w:szCs w:val="16"/>
                <w:color w:val="auto"/>
              </w:rPr>
              <w:t>Granted</w:t>
            </w:r>
          </w:p>
        </w:tc>
        <w:tc>
          <w:tcPr>
            <w:tcW w:w="172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568,550</w:t>
            </w:r>
          </w:p>
        </w:tc>
        <w:tc>
          <w:tcPr>
            <w:tcW w:w="420" w:type="dxa"/>
            <w:vAlign w:val="bottom"/>
            <w:shd w:val="clear" w:color="auto" w:fill="CFF0FC"/>
          </w:tcPr>
          <w:p>
            <w:pPr>
              <w:jc w:val="right"/>
              <w:ind w:right="79"/>
              <w:spacing w:after="0"/>
              <w:rPr>
                <w:sz w:val="20"/>
                <w:szCs w:val="20"/>
                <w:color w:val="auto"/>
              </w:rPr>
            </w:pPr>
            <w:r>
              <w:rPr>
                <w:rFonts w:ascii="Arial" w:cs="Arial" w:eastAsia="Arial" w:hAnsi="Arial"/>
                <w:sz w:val="16"/>
                <w:szCs w:val="16"/>
                <w:color w:val="auto"/>
              </w:rPr>
              <w:t>$</w:t>
            </w:r>
          </w:p>
        </w:tc>
        <w:tc>
          <w:tcPr>
            <w:tcW w:w="142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15.46</w:t>
            </w:r>
          </w:p>
        </w:tc>
      </w:tr>
      <w:tr>
        <w:trPr>
          <w:trHeight w:val="189"/>
        </w:trPr>
        <w:tc>
          <w:tcPr>
            <w:tcW w:w="7680" w:type="dxa"/>
            <w:vAlign w:val="bottom"/>
          </w:tcPr>
          <w:p>
            <w:pPr>
              <w:ind w:left="140"/>
              <w:spacing w:after="0"/>
              <w:rPr>
                <w:sz w:val="20"/>
                <w:szCs w:val="20"/>
                <w:color w:val="auto"/>
              </w:rPr>
            </w:pPr>
            <w:r>
              <w:rPr>
                <w:rFonts w:ascii="Arial" w:cs="Arial" w:eastAsia="Arial" w:hAnsi="Arial"/>
                <w:sz w:val="16"/>
                <w:szCs w:val="16"/>
                <w:color w:val="auto"/>
              </w:rPr>
              <w:t>Vested</w:t>
            </w:r>
          </w:p>
        </w:tc>
        <w:tc>
          <w:tcPr>
            <w:tcW w:w="1720" w:type="dxa"/>
            <w:vAlign w:val="bottom"/>
          </w:tcPr>
          <w:p>
            <w:pPr>
              <w:jc w:val="right"/>
              <w:spacing w:after="0"/>
              <w:rPr>
                <w:sz w:val="20"/>
                <w:szCs w:val="20"/>
                <w:color w:val="auto"/>
              </w:rPr>
            </w:pPr>
            <w:r>
              <w:rPr>
                <w:rFonts w:ascii="Arial" w:cs="Arial" w:eastAsia="Arial" w:hAnsi="Arial"/>
                <w:sz w:val="16"/>
                <w:szCs w:val="16"/>
                <w:color w:val="auto"/>
              </w:rPr>
              <w:t>(186,515)</w:t>
            </w:r>
          </w:p>
        </w:tc>
        <w:tc>
          <w:tcPr>
            <w:tcW w:w="42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1420" w:type="dxa"/>
            <w:vAlign w:val="bottom"/>
          </w:tcPr>
          <w:p>
            <w:pPr>
              <w:jc w:val="right"/>
              <w:ind w:right="39"/>
              <w:spacing w:after="0"/>
              <w:rPr>
                <w:sz w:val="20"/>
                <w:szCs w:val="20"/>
                <w:color w:val="auto"/>
              </w:rPr>
            </w:pPr>
            <w:r>
              <w:rPr>
                <w:rFonts w:ascii="Arial" w:cs="Arial" w:eastAsia="Arial" w:hAnsi="Arial"/>
                <w:sz w:val="16"/>
                <w:szCs w:val="16"/>
                <w:color w:val="auto"/>
              </w:rPr>
              <w:t>7.06</w:t>
            </w:r>
          </w:p>
        </w:tc>
      </w:tr>
      <w:tr>
        <w:trPr>
          <w:trHeight w:val="189"/>
        </w:trPr>
        <w:tc>
          <w:tcPr>
            <w:tcW w:w="7680" w:type="dxa"/>
            <w:vAlign w:val="bottom"/>
            <w:tcBorders>
              <w:bottom w:val="single" w:sz="8" w:color="CFF0FC"/>
            </w:tcBorders>
            <w:shd w:val="clear" w:color="auto" w:fill="CFF0FC"/>
          </w:tcPr>
          <w:p>
            <w:pPr>
              <w:ind w:left="140"/>
              <w:spacing w:after="0"/>
              <w:rPr>
                <w:sz w:val="20"/>
                <w:szCs w:val="20"/>
                <w:color w:val="auto"/>
              </w:rPr>
            </w:pPr>
            <w:r>
              <w:rPr>
                <w:rFonts w:ascii="Arial" w:cs="Arial" w:eastAsia="Arial" w:hAnsi="Arial"/>
                <w:sz w:val="16"/>
                <w:szCs w:val="16"/>
                <w:color w:val="auto"/>
              </w:rPr>
              <w:t>Forfeited</w:t>
            </w:r>
          </w:p>
        </w:tc>
        <w:tc>
          <w:tcPr>
            <w:tcW w:w="17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(8,788)</w:t>
            </w:r>
          </w:p>
        </w:tc>
        <w:tc>
          <w:tcPr>
            <w:tcW w:w="420" w:type="dxa"/>
            <w:vAlign w:val="bottom"/>
            <w:tcBorders>
              <w:bottom w:val="single" w:sz="8" w:color="CFF0FC"/>
            </w:tcBorders>
            <w:shd w:val="clear" w:color="auto" w:fill="CFF0FC"/>
          </w:tcPr>
          <w:p>
            <w:pPr>
              <w:jc w:val="right"/>
              <w:ind w:right="79"/>
              <w:spacing w:after="0"/>
              <w:rPr>
                <w:sz w:val="20"/>
                <w:szCs w:val="20"/>
                <w:color w:val="auto"/>
              </w:rPr>
            </w:pPr>
            <w:r>
              <w:rPr>
                <w:rFonts w:ascii="Arial" w:cs="Arial" w:eastAsia="Arial" w:hAnsi="Arial"/>
                <w:sz w:val="16"/>
                <w:szCs w:val="16"/>
                <w:color w:val="auto"/>
              </w:rPr>
              <w:t>$</w:t>
            </w:r>
          </w:p>
        </w:tc>
        <w:tc>
          <w:tcPr>
            <w:tcW w:w="1420" w:type="dxa"/>
            <w:vAlign w:val="bottom"/>
            <w:tcBorders>
              <w:bottom w:val="single" w:sz="8" w:color="CFF0FC"/>
            </w:tcBorders>
            <w:shd w:val="clear" w:color="auto" w:fill="CFF0FC"/>
          </w:tcPr>
          <w:p>
            <w:pPr>
              <w:jc w:val="right"/>
              <w:ind w:right="39"/>
              <w:spacing w:after="0"/>
              <w:rPr>
                <w:sz w:val="20"/>
                <w:szCs w:val="20"/>
                <w:color w:val="auto"/>
              </w:rPr>
            </w:pPr>
            <w:r>
              <w:rPr>
                <w:rFonts w:ascii="Arial" w:cs="Arial" w:eastAsia="Arial" w:hAnsi="Arial"/>
                <w:sz w:val="16"/>
                <w:szCs w:val="16"/>
                <w:color w:val="auto"/>
              </w:rPr>
              <w:t>8.84</w:t>
            </w:r>
          </w:p>
        </w:tc>
      </w:tr>
      <w:tr>
        <w:trPr>
          <w:trHeight w:val="183"/>
        </w:trPr>
        <w:tc>
          <w:tcPr>
            <w:tcW w:w="7680" w:type="dxa"/>
            <w:vAlign w:val="bottom"/>
            <w:tcBorders>
              <w:bottom w:val="single" w:sz="8" w:color="auto"/>
            </w:tcBorders>
          </w:tcPr>
          <w:p>
            <w:pPr>
              <w:spacing w:after="0" w:line="183" w:lineRule="exact"/>
              <w:rPr>
                <w:sz w:val="20"/>
                <w:szCs w:val="20"/>
                <w:color w:val="auto"/>
              </w:rPr>
            </w:pPr>
            <w:r>
              <w:rPr>
                <w:rFonts w:ascii="Arial" w:cs="Arial" w:eastAsia="Arial" w:hAnsi="Arial"/>
                <w:sz w:val="16"/>
                <w:szCs w:val="16"/>
                <w:color w:val="auto"/>
              </w:rPr>
              <w:t>Unvested restricted stock units as of March 31, 2026</w:t>
            </w:r>
          </w:p>
        </w:tc>
        <w:tc>
          <w:tcPr>
            <w:tcW w:w="1720" w:type="dxa"/>
            <w:vAlign w:val="bottom"/>
            <w:tcBorders>
              <w:bottom w:val="single" w:sz="8" w:color="auto"/>
            </w:tcBorders>
          </w:tcPr>
          <w:p>
            <w:pPr>
              <w:jc w:val="right"/>
              <w:ind w:right="39"/>
              <w:spacing w:after="0" w:line="183" w:lineRule="exact"/>
              <w:rPr>
                <w:sz w:val="20"/>
                <w:szCs w:val="20"/>
                <w:color w:val="auto"/>
              </w:rPr>
            </w:pPr>
            <w:r>
              <w:rPr>
                <w:rFonts w:ascii="Arial" w:cs="Arial" w:eastAsia="Arial" w:hAnsi="Arial"/>
                <w:sz w:val="16"/>
                <w:szCs w:val="16"/>
                <w:color w:val="auto"/>
              </w:rPr>
              <w:t>1,149,012</w:t>
            </w:r>
          </w:p>
        </w:tc>
        <w:tc>
          <w:tcPr>
            <w:tcW w:w="420" w:type="dxa"/>
            <w:vAlign w:val="bottom"/>
            <w:tcBorders>
              <w:bottom w:val="single" w:sz="8" w:color="auto"/>
            </w:tcBorders>
          </w:tcPr>
          <w:p>
            <w:pPr>
              <w:jc w:val="right"/>
              <w:ind w:right="79"/>
              <w:spacing w:after="0" w:line="183" w:lineRule="exact"/>
              <w:rPr>
                <w:sz w:val="20"/>
                <w:szCs w:val="20"/>
                <w:color w:val="auto"/>
              </w:rPr>
            </w:pPr>
            <w:r>
              <w:rPr>
                <w:rFonts w:ascii="Arial" w:cs="Arial" w:eastAsia="Arial" w:hAnsi="Arial"/>
                <w:sz w:val="16"/>
                <w:szCs w:val="16"/>
                <w:color w:val="auto"/>
              </w:rPr>
              <w:t>$</w:t>
            </w:r>
          </w:p>
        </w:tc>
        <w:tc>
          <w:tcPr>
            <w:tcW w:w="1420" w:type="dxa"/>
            <w:vAlign w:val="bottom"/>
            <w:tcBorders>
              <w:bottom w:val="single" w:sz="8" w:color="auto"/>
            </w:tcBorders>
          </w:tcPr>
          <w:p>
            <w:pPr>
              <w:jc w:val="right"/>
              <w:ind w:right="39"/>
              <w:spacing w:after="0" w:line="183" w:lineRule="exact"/>
              <w:rPr>
                <w:sz w:val="20"/>
                <w:szCs w:val="20"/>
                <w:color w:val="auto"/>
              </w:rPr>
            </w:pPr>
            <w:r>
              <w:rPr>
                <w:rFonts w:ascii="Arial" w:cs="Arial" w:eastAsia="Arial" w:hAnsi="Arial"/>
                <w:sz w:val="16"/>
                <w:szCs w:val="16"/>
                <w:color w:val="auto"/>
              </w:rPr>
              <w:t>11.20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5971540</wp:posOffset>
            </wp:positionH>
            <wp:positionV relativeFrom="paragraph">
              <wp:posOffset>-136525</wp:posOffset>
            </wp:positionV>
            <wp:extent cx="111125" cy="88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111125" cy="8890"/>
                    </a:xfrm>
                    <a:prstGeom prst="rect">
                      <a:avLst/>
                    </a:prstGeom>
                    <a:noFill/>
                  </pic:spPr>
                </pic:pic>
              </a:graphicData>
            </a:graphic>
          </wp:anchor>
        </w:drawing>
      </w:r>
    </w:p>
    <w:p>
      <w:pPr>
        <w:spacing w:after="0" w:line="69" w:lineRule="exact"/>
        <w:rPr>
          <w:sz w:val="20"/>
          <w:szCs w:val="20"/>
          <w:color w:val="auto"/>
        </w:rPr>
      </w:pPr>
    </w:p>
    <w:p>
      <w:pPr>
        <w:ind w:right="60"/>
        <w:spacing w:after="0" w:line="253" w:lineRule="auto"/>
        <w:rPr>
          <w:sz w:val="20"/>
          <w:szCs w:val="20"/>
          <w:color w:val="auto"/>
        </w:rPr>
      </w:pPr>
      <w:r>
        <w:rPr>
          <w:rFonts w:ascii="Arial" w:cs="Arial" w:eastAsia="Arial" w:hAnsi="Arial"/>
          <w:sz w:val="18"/>
          <w:szCs w:val="18"/>
          <w:color w:val="auto"/>
        </w:rPr>
        <w:t>The aggregate fair value of RSUs that vested during three months ended March 31, 2026 was $2.9 million. The weighted average grant date fair value of RSUs that vested during three months ended March 31, 2026 was $7.06 per share. No RSUs vested during the three months ended March 31, 2025.</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Stock-based compensation expense</w:t>
      </w:r>
    </w:p>
    <w:p>
      <w:pPr>
        <w:spacing w:after="0" w:line="102" w:lineRule="exact"/>
        <w:rPr>
          <w:sz w:val="20"/>
          <w:szCs w:val="20"/>
          <w:color w:val="auto"/>
        </w:rPr>
      </w:pPr>
    </w:p>
    <w:p>
      <w:pPr>
        <w:spacing w:after="0"/>
        <w:rPr>
          <w:sz w:val="20"/>
          <w:szCs w:val="20"/>
          <w:color w:val="auto"/>
        </w:rPr>
      </w:pPr>
      <w:r>
        <w:rPr>
          <w:rFonts w:ascii="Arial" w:cs="Arial" w:eastAsia="Arial" w:hAnsi="Arial"/>
          <w:sz w:val="18"/>
          <w:szCs w:val="18"/>
          <w:color w:val="auto"/>
        </w:rPr>
        <w:t>Stock-based compensation expense is classified as follows (in thousands):</w:t>
      </w:r>
    </w:p>
    <w:p>
      <w:pPr>
        <w:spacing w:after="0" w:line="116"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5440" w:type="dxa"/>
            <w:vAlign w:val="bottom"/>
            <w:tcBorders>
              <w:top w:val="single" w:sz="8" w:color="auto"/>
            </w:tcBorders>
          </w:tcPr>
          <w:p>
            <w:pPr>
              <w:spacing w:after="0"/>
              <w:rPr>
                <w:sz w:val="17"/>
                <w:szCs w:val="17"/>
                <w:color w:val="auto"/>
              </w:rPr>
            </w:pPr>
          </w:p>
        </w:tc>
        <w:tc>
          <w:tcPr>
            <w:tcW w:w="2300" w:type="dxa"/>
            <w:vAlign w:val="bottom"/>
            <w:tcBorders>
              <w:top w:val="single" w:sz="8" w:color="auto"/>
            </w:tcBorders>
          </w:tcPr>
          <w:p>
            <w:pPr>
              <w:spacing w:after="0"/>
              <w:rPr>
                <w:sz w:val="17"/>
                <w:szCs w:val="17"/>
                <w:color w:val="auto"/>
              </w:rPr>
            </w:pPr>
          </w:p>
        </w:tc>
        <w:tc>
          <w:tcPr>
            <w:tcW w:w="2920" w:type="dxa"/>
            <w:vAlign w:val="bottom"/>
            <w:tcBorders>
              <w:top w:val="single" w:sz="8" w:color="auto"/>
              <w:bottom w:val="single" w:sz="8" w:color="auto"/>
            </w:tcBorders>
            <w:gridSpan w:val="3"/>
          </w:tcPr>
          <w:p>
            <w:pPr>
              <w:jc w:val="right"/>
              <w:spacing w:after="0"/>
              <w:rPr>
                <w:sz w:val="20"/>
                <w:szCs w:val="20"/>
                <w:color w:val="auto"/>
              </w:rPr>
            </w:pPr>
            <w:r>
              <w:rPr>
                <w:rFonts w:ascii="Arial" w:cs="Arial" w:eastAsia="Arial" w:hAnsi="Arial"/>
                <w:sz w:val="16"/>
                <w:szCs w:val="16"/>
                <w:b w:val="1"/>
                <w:bCs w:val="1"/>
                <w:color w:val="auto"/>
              </w:rPr>
              <w:t>Three months ended March 31,</w:t>
            </w:r>
          </w:p>
        </w:tc>
        <w:tc>
          <w:tcPr>
            <w:tcW w:w="580" w:type="dxa"/>
            <w:vAlign w:val="bottom"/>
            <w:tcBorders>
              <w:top w:val="single" w:sz="8" w:color="auto"/>
              <w:bottom w:val="single" w:sz="8" w:color="auto"/>
            </w:tcBorders>
          </w:tcPr>
          <w:p>
            <w:pPr>
              <w:spacing w:after="0"/>
              <w:rPr>
                <w:sz w:val="17"/>
                <w:szCs w:val="17"/>
                <w:color w:val="auto"/>
              </w:rPr>
            </w:pPr>
          </w:p>
        </w:tc>
      </w:tr>
      <w:tr>
        <w:trPr>
          <w:trHeight w:val="182"/>
        </w:trPr>
        <w:tc>
          <w:tcPr>
            <w:tcW w:w="5440" w:type="dxa"/>
            <w:vAlign w:val="bottom"/>
            <w:tcBorders>
              <w:bottom w:val="single" w:sz="8" w:color="auto"/>
            </w:tcBorders>
          </w:tcPr>
          <w:p>
            <w:pPr>
              <w:spacing w:after="0"/>
              <w:rPr>
                <w:sz w:val="15"/>
                <w:szCs w:val="15"/>
                <w:color w:val="auto"/>
              </w:rPr>
            </w:pPr>
          </w:p>
        </w:tc>
        <w:tc>
          <w:tcPr>
            <w:tcW w:w="230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6"/>
                <w:szCs w:val="16"/>
                <w:b w:val="1"/>
                <w:bCs w:val="1"/>
                <w:color w:val="auto"/>
              </w:rPr>
              <w:t>2026</w:t>
            </w:r>
          </w:p>
        </w:tc>
        <w:tc>
          <w:tcPr>
            <w:tcW w:w="66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tcPr>
          <w:p>
            <w:pPr>
              <w:jc w:val="right"/>
              <w:ind w:right="59"/>
              <w:spacing w:after="0" w:line="183" w:lineRule="exact"/>
              <w:rPr>
                <w:sz w:val="20"/>
                <w:szCs w:val="20"/>
                <w:color w:val="auto"/>
              </w:rPr>
            </w:pPr>
            <w:r>
              <w:rPr>
                <w:rFonts w:ascii="Arial" w:cs="Arial" w:eastAsia="Arial" w:hAnsi="Arial"/>
                <w:sz w:val="16"/>
                <w:szCs w:val="16"/>
                <w:b w:val="1"/>
                <w:bCs w:val="1"/>
                <w:color w:val="auto"/>
              </w:rPr>
              <w:t>2025</w:t>
            </w:r>
          </w:p>
        </w:tc>
        <w:tc>
          <w:tcPr>
            <w:tcW w:w="580" w:type="dxa"/>
            <w:vAlign w:val="bottom"/>
            <w:tcBorders>
              <w:bottom w:val="single" w:sz="8" w:color="auto"/>
            </w:tcBorders>
          </w:tcPr>
          <w:p>
            <w:pPr>
              <w:spacing w:after="0"/>
              <w:rPr>
                <w:sz w:val="15"/>
                <w:szCs w:val="15"/>
                <w:color w:val="auto"/>
              </w:rPr>
            </w:pPr>
          </w:p>
        </w:tc>
      </w:tr>
      <w:tr>
        <w:trPr>
          <w:trHeight w:val="183"/>
        </w:trPr>
        <w:tc>
          <w:tcPr>
            <w:tcW w:w="5440" w:type="dxa"/>
            <w:vAlign w:val="bottom"/>
            <w:shd w:val="clear" w:color="auto" w:fill="CFF0FC"/>
          </w:tcPr>
          <w:p>
            <w:pPr>
              <w:spacing w:after="0" w:line="183" w:lineRule="exact"/>
              <w:rPr>
                <w:sz w:val="20"/>
                <w:szCs w:val="20"/>
                <w:color w:val="auto"/>
              </w:rPr>
            </w:pPr>
            <w:r>
              <w:rPr>
                <w:rFonts w:ascii="Arial" w:cs="Arial" w:eastAsia="Arial" w:hAnsi="Arial"/>
                <w:sz w:val="16"/>
                <w:szCs w:val="16"/>
                <w:color w:val="auto"/>
              </w:rPr>
              <w:t>Research and development</w:t>
            </w:r>
          </w:p>
        </w:tc>
        <w:tc>
          <w:tcPr>
            <w:tcW w:w="3340" w:type="dxa"/>
            <w:vAlign w:val="bottom"/>
            <w:gridSpan w:val="2"/>
            <w:shd w:val="clear" w:color="auto" w:fill="CFF0FC"/>
          </w:tcPr>
          <w:p>
            <w:pPr>
              <w:jc w:val="right"/>
              <w:ind w:right="859"/>
              <w:spacing w:after="0" w:line="183" w:lineRule="exact"/>
              <w:rPr>
                <w:sz w:val="20"/>
                <w:szCs w:val="20"/>
                <w:color w:val="auto"/>
              </w:rPr>
            </w:pPr>
            <w:r>
              <w:rPr>
                <w:rFonts w:ascii="Arial" w:cs="Arial" w:eastAsia="Arial" w:hAnsi="Arial"/>
                <w:sz w:val="16"/>
                <w:szCs w:val="16"/>
                <w:color w:val="auto"/>
              </w:rPr>
              <w:t>$</w:t>
            </w:r>
          </w:p>
        </w:tc>
        <w:tc>
          <w:tcPr>
            <w:tcW w:w="660" w:type="dxa"/>
            <w:vAlign w:val="bottom"/>
            <w:shd w:val="clear" w:color="auto" w:fill="CFF0FC"/>
          </w:tcPr>
          <w:p>
            <w:pPr>
              <w:jc w:val="right"/>
              <w:ind w:right="79"/>
              <w:spacing w:after="0" w:line="183" w:lineRule="exact"/>
              <w:rPr>
                <w:sz w:val="20"/>
                <w:szCs w:val="20"/>
                <w:color w:val="auto"/>
              </w:rPr>
            </w:pPr>
            <w:r>
              <w:rPr>
                <w:rFonts w:ascii="Arial" w:cs="Arial" w:eastAsia="Arial" w:hAnsi="Arial"/>
                <w:sz w:val="16"/>
                <w:szCs w:val="16"/>
                <w:color w:val="auto"/>
              </w:rPr>
              <w:t>3,374</w:t>
            </w:r>
          </w:p>
        </w:tc>
        <w:tc>
          <w:tcPr>
            <w:tcW w:w="1220" w:type="dxa"/>
            <w:vAlign w:val="bottom"/>
            <w:shd w:val="clear" w:color="auto" w:fill="CFF0FC"/>
          </w:tcPr>
          <w:p>
            <w:pPr>
              <w:jc w:val="right"/>
              <w:ind w:right="919"/>
              <w:spacing w:after="0" w:line="183" w:lineRule="exact"/>
              <w:rPr>
                <w:sz w:val="20"/>
                <w:szCs w:val="20"/>
                <w:color w:val="auto"/>
              </w:rPr>
            </w:pPr>
            <w:r>
              <w:rPr>
                <w:rFonts w:ascii="Arial" w:cs="Arial" w:eastAsia="Arial" w:hAnsi="Arial"/>
                <w:sz w:val="16"/>
                <w:szCs w:val="16"/>
                <w:color w:val="auto"/>
              </w:rPr>
              <w:t>$</w:t>
            </w:r>
          </w:p>
        </w:tc>
        <w:tc>
          <w:tcPr>
            <w:tcW w:w="580" w:type="dxa"/>
            <w:vAlign w:val="bottom"/>
            <w:shd w:val="clear" w:color="auto" w:fill="CFF0FC"/>
          </w:tcPr>
          <w:p>
            <w:pPr>
              <w:jc w:val="right"/>
              <w:ind w:right="39"/>
              <w:spacing w:after="0" w:line="183" w:lineRule="exact"/>
              <w:rPr>
                <w:sz w:val="20"/>
                <w:szCs w:val="20"/>
                <w:color w:val="auto"/>
              </w:rPr>
            </w:pPr>
            <w:r>
              <w:rPr>
                <w:rFonts w:ascii="Arial" w:cs="Arial" w:eastAsia="Arial" w:hAnsi="Arial"/>
                <w:sz w:val="16"/>
                <w:szCs w:val="16"/>
                <w:color w:val="auto"/>
              </w:rPr>
              <w:t>3,135</w:t>
            </w:r>
          </w:p>
        </w:tc>
      </w:tr>
      <w:tr>
        <w:trPr>
          <w:trHeight w:val="189"/>
        </w:trPr>
        <w:tc>
          <w:tcPr>
            <w:tcW w:w="5440" w:type="dxa"/>
            <w:vAlign w:val="bottom"/>
          </w:tcPr>
          <w:p>
            <w:pPr>
              <w:spacing w:after="0"/>
              <w:rPr>
                <w:sz w:val="20"/>
                <w:szCs w:val="20"/>
                <w:color w:val="auto"/>
              </w:rPr>
            </w:pPr>
            <w:r>
              <w:rPr>
                <w:rFonts w:ascii="Arial" w:cs="Arial" w:eastAsia="Arial" w:hAnsi="Arial"/>
                <w:sz w:val="16"/>
                <w:szCs w:val="16"/>
                <w:color w:val="auto"/>
              </w:rPr>
              <w:t>General and administrative</w:t>
            </w:r>
          </w:p>
        </w:tc>
        <w:tc>
          <w:tcPr>
            <w:tcW w:w="2300" w:type="dxa"/>
            <w:vAlign w:val="bottom"/>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2,575</w:t>
            </w:r>
          </w:p>
        </w:tc>
        <w:tc>
          <w:tcPr>
            <w:tcW w:w="1220" w:type="dxa"/>
            <w:vAlign w:val="bottom"/>
            <w:tcBorders>
              <w:bottom w:val="single" w:sz="8" w:color="auto"/>
            </w:tcBorders>
          </w:tcPr>
          <w:p>
            <w:pPr>
              <w:spacing w:after="0"/>
              <w:rPr>
                <w:sz w:val="16"/>
                <w:szCs w:val="16"/>
                <w:color w:val="auto"/>
              </w:rPr>
            </w:pPr>
          </w:p>
        </w:tc>
        <w:tc>
          <w:tcPr>
            <w:tcW w:w="5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2,163</w:t>
            </w:r>
          </w:p>
        </w:tc>
      </w:tr>
      <w:tr>
        <w:trPr>
          <w:trHeight w:val="183"/>
        </w:trPr>
        <w:tc>
          <w:tcPr>
            <w:tcW w:w="5440" w:type="dxa"/>
            <w:vAlign w:val="bottom"/>
            <w:tcBorders>
              <w:bottom w:val="single" w:sz="8" w:color="auto"/>
            </w:tcBorders>
            <w:shd w:val="clear" w:color="auto" w:fill="CFF0FC"/>
          </w:tcPr>
          <w:p>
            <w:pPr>
              <w:ind w:left="140"/>
              <w:spacing w:after="0" w:line="183" w:lineRule="exact"/>
              <w:rPr>
                <w:sz w:val="20"/>
                <w:szCs w:val="20"/>
                <w:color w:val="auto"/>
              </w:rPr>
            </w:pPr>
            <w:r>
              <w:rPr>
                <w:rFonts w:ascii="Arial" w:cs="Arial" w:eastAsia="Arial" w:hAnsi="Arial"/>
                <w:sz w:val="16"/>
                <w:szCs w:val="16"/>
                <w:color w:val="auto"/>
              </w:rPr>
              <w:t>Total stock-based compensation expense</w:t>
            </w:r>
          </w:p>
        </w:tc>
        <w:tc>
          <w:tcPr>
            <w:tcW w:w="3340" w:type="dxa"/>
            <w:vAlign w:val="bottom"/>
            <w:tcBorders>
              <w:bottom w:val="single" w:sz="8" w:color="auto"/>
            </w:tcBorders>
            <w:gridSpan w:val="2"/>
            <w:shd w:val="clear" w:color="auto" w:fill="CFF0FC"/>
          </w:tcPr>
          <w:p>
            <w:pPr>
              <w:jc w:val="right"/>
              <w:ind w:right="859"/>
              <w:spacing w:after="0" w:line="183" w:lineRule="exact"/>
              <w:rPr>
                <w:sz w:val="20"/>
                <w:szCs w:val="20"/>
                <w:color w:val="auto"/>
              </w:rPr>
            </w:pPr>
            <w:r>
              <w:rPr>
                <w:rFonts w:ascii="Arial" w:cs="Arial" w:eastAsia="Arial" w:hAnsi="Arial"/>
                <w:sz w:val="16"/>
                <w:szCs w:val="16"/>
                <w:color w:val="auto"/>
              </w:rPr>
              <w:t>$</w:t>
            </w:r>
          </w:p>
        </w:tc>
        <w:tc>
          <w:tcPr>
            <w:tcW w:w="660" w:type="dxa"/>
            <w:vAlign w:val="bottom"/>
            <w:tcBorders>
              <w:bottom w:val="single" w:sz="8" w:color="auto"/>
            </w:tcBorders>
            <w:shd w:val="clear" w:color="auto" w:fill="CFF0FC"/>
          </w:tcPr>
          <w:p>
            <w:pPr>
              <w:jc w:val="right"/>
              <w:ind w:right="79"/>
              <w:spacing w:after="0" w:line="183" w:lineRule="exact"/>
              <w:rPr>
                <w:sz w:val="20"/>
                <w:szCs w:val="20"/>
                <w:color w:val="auto"/>
              </w:rPr>
            </w:pPr>
            <w:r>
              <w:rPr>
                <w:rFonts w:ascii="Arial" w:cs="Arial" w:eastAsia="Arial" w:hAnsi="Arial"/>
                <w:sz w:val="16"/>
                <w:szCs w:val="16"/>
                <w:color w:val="auto"/>
              </w:rPr>
              <w:t>5,949</w:t>
            </w:r>
          </w:p>
        </w:tc>
        <w:tc>
          <w:tcPr>
            <w:tcW w:w="1220" w:type="dxa"/>
            <w:vAlign w:val="bottom"/>
            <w:tcBorders>
              <w:bottom w:val="single" w:sz="8" w:color="auto"/>
            </w:tcBorders>
            <w:shd w:val="clear" w:color="auto" w:fill="CFF0FC"/>
          </w:tcPr>
          <w:p>
            <w:pPr>
              <w:jc w:val="right"/>
              <w:ind w:right="919"/>
              <w:spacing w:after="0" w:line="183" w:lineRule="exact"/>
              <w:rPr>
                <w:sz w:val="20"/>
                <w:szCs w:val="20"/>
                <w:color w:val="auto"/>
              </w:rPr>
            </w:pPr>
            <w:r>
              <w:rPr>
                <w:rFonts w:ascii="Arial" w:cs="Arial" w:eastAsia="Arial" w:hAnsi="Arial"/>
                <w:sz w:val="16"/>
                <w:szCs w:val="16"/>
                <w:color w:val="auto"/>
              </w:rPr>
              <w:t>$</w:t>
            </w:r>
          </w:p>
        </w:tc>
        <w:tc>
          <w:tcPr>
            <w:tcW w:w="580" w:type="dxa"/>
            <w:vAlign w:val="bottom"/>
            <w:tcBorders>
              <w:bottom w:val="single" w:sz="8" w:color="auto"/>
            </w:tcBorders>
            <w:shd w:val="clear" w:color="auto" w:fill="CFF0FC"/>
          </w:tcPr>
          <w:p>
            <w:pPr>
              <w:jc w:val="right"/>
              <w:ind w:right="39"/>
              <w:spacing w:after="0" w:line="183" w:lineRule="exact"/>
              <w:rPr>
                <w:sz w:val="20"/>
                <w:szCs w:val="20"/>
                <w:color w:val="auto"/>
              </w:rPr>
            </w:pPr>
            <w:r>
              <w:rPr>
                <w:rFonts w:ascii="Arial" w:cs="Arial" w:eastAsia="Arial" w:hAnsi="Arial"/>
                <w:sz w:val="16"/>
                <w:szCs w:val="16"/>
                <w:color w:val="auto"/>
              </w:rPr>
              <w:t>5,298</w:t>
            </w:r>
          </w:p>
        </w:tc>
      </w:tr>
    </w:tbl>
    <w:p>
      <w:pPr>
        <w:spacing w:after="0" w:line="89" w:lineRule="exact"/>
        <w:rPr>
          <w:sz w:val="20"/>
          <w:szCs w:val="20"/>
          <w:color w:val="auto"/>
        </w:rPr>
      </w:pPr>
    </w:p>
    <w:p>
      <w:pPr>
        <w:ind w:right="220"/>
        <w:spacing w:after="0" w:line="253" w:lineRule="auto"/>
        <w:rPr>
          <w:sz w:val="20"/>
          <w:szCs w:val="20"/>
          <w:color w:val="auto"/>
        </w:rPr>
      </w:pPr>
      <w:r>
        <w:rPr>
          <w:rFonts w:ascii="Arial" w:cs="Arial" w:eastAsia="Arial" w:hAnsi="Arial"/>
          <w:sz w:val="18"/>
          <w:szCs w:val="18"/>
          <w:color w:val="auto"/>
        </w:rPr>
        <w:t>As of March 31, 2026 total unrecognized stock-based compensation cost related to unvested stock options and restricted stock units was $49.4 million and $12.0 million, respectively. The Company expects to recognize this remaining cost over a weighted average period of 2.7 years and 3.3 years, respectively.</w:t>
      </w:r>
    </w:p>
    <w:p>
      <w:pPr>
        <w:spacing w:after="0" w:line="38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12. Income taxes</w:t>
      </w:r>
    </w:p>
    <w:p>
      <w:pPr>
        <w:spacing w:after="0" w:line="108" w:lineRule="exact"/>
        <w:rPr>
          <w:sz w:val="20"/>
          <w:szCs w:val="20"/>
          <w:color w:val="auto"/>
        </w:rPr>
      </w:pPr>
    </w:p>
    <w:p>
      <w:pPr>
        <w:ind w:right="520"/>
        <w:spacing w:after="0" w:line="271" w:lineRule="auto"/>
        <w:rPr>
          <w:sz w:val="20"/>
          <w:szCs w:val="20"/>
          <w:color w:val="auto"/>
        </w:rPr>
      </w:pPr>
      <w:r>
        <w:rPr>
          <w:rFonts w:ascii="Arial" w:cs="Arial" w:eastAsia="Arial" w:hAnsi="Arial"/>
          <w:sz w:val="18"/>
          <w:szCs w:val="18"/>
          <w:color w:val="auto"/>
        </w:rPr>
        <w:t>For the three months ended March 31, 2026 and 2025, the Company recorded an income tax provision of $0.1 million and $0.8 million, respectively. For the three months ended March 31, 2026, the income tax provision was primarily related to</w:t>
      </w:r>
    </w:p>
    <w:p>
      <w:pPr>
        <w:spacing w:after="0" w:line="2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14" w:right="339" w:bottom="1440" w:gutter="0" w:footer="0" w:header="0"/>
        </w:sectPr>
      </w:pPr>
    </w:p>
    <w:bookmarkStart w:id="20" w:name="page21"/>
    <w:bookmarkEnd w:id="20"/>
    <w:p>
      <w:pPr>
        <w:ind w:right="100"/>
        <w:spacing w:after="0" w:line="253" w:lineRule="auto"/>
        <w:rPr>
          <w:sz w:val="20"/>
          <w:szCs w:val="20"/>
          <w:color w:val="auto"/>
        </w:rPr>
      </w:pPr>
      <w:r>
        <w:rPr>
          <w:rFonts w:ascii="Arial" w:cs="Arial" w:eastAsia="Arial" w:hAnsi="Arial"/>
          <w:sz w:val="18"/>
          <w:szCs w:val="18"/>
          <w:color w:val="auto"/>
        </w:rPr>
        <w:t>interest income on marketable securities in Massachusetts. For the three months ended March 31, 2025, the income tax provision was primarily related to interest income on marketable securities in Massachusetts and income generated from the capitalization of research and development expenses, which, prior to the enactment of the One Big Beautiful Bill Act, were taxable in the U.S.</w:t>
      </w:r>
    </w:p>
    <w:p>
      <w:pPr>
        <w:spacing w:after="0" w:line="61" w:lineRule="exact"/>
        <w:rPr>
          <w:sz w:val="20"/>
          <w:szCs w:val="20"/>
          <w:color w:val="auto"/>
        </w:rPr>
      </w:pPr>
    </w:p>
    <w:p>
      <w:pPr>
        <w:ind w:right="60"/>
        <w:spacing w:after="0" w:line="247" w:lineRule="auto"/>
        <w:rPr>
          <w:sz w:val="20"/>
          <w:szCs w:val="20"/>
          <w:color w:val="auto"/>
        </w:rPr>
      </w:pPr>
      <w:r>
        <w:rPr>
          <w:rFonts w:ascii="Arial" w:cs="Arial" w:eastAsia="Arial" w:hAnsi="Arial"/>
          <w:sz w:val="18"/>
          <w:szCs w:val="18"/>
          <w:color w:val="auto"/>
        </w:rPr>
        <w:t>The Company continues to maintain a full valuation allowance against all of its deferred tax assets. The Company has evaluated the positive and negative evidence involving its ability to realize its deferred tax assets. The Company has considered its history of cumulative net losses incurred since inception and its lack of any commercial products. The Company has concluded that it is more likely than not that it will not realize the benefits of its deferred tax assets. The Company reevaluates the positive and negative evidence at each reporting period.</w:t>
      </w:r>
    </w:p>
    <w:p>
      <w:pPr>
        <w:spacing w:after="0" w:line="5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13. Net (loss) earnings per common share</w:t>
      </w:r>
    </w:p>
    <w:p>
      <w:pPr>
        <w:spacing w:after="0" w:line="108" w:lineRule="exact"/>
        <w:rPr>
          <w:sz w:val="20"/>
          <w:szCs w:val="20"/>
          <w:color w:val="auto"/>
        </w:rPr>
      </w:pPr>
    </w:p>
    <w:p>
      <w:pPr>
        <w:ind w:right="120"/>
        <w:spacing w:after="0" w:line="253" w:lineRule="auto"/>
        <w:rPr>
          <w:sz w:val="20"/>
          <w:szCs w:val="20"/>
          <w:color w:val="auto"/>
        </w:rPr>
      </w:pPr>
      <w:r>
        <w:rPr>
          <w:rFonts w:ascii="Arial" w:cs="Arial" w:eastAsia="Arial" w:hAnsi="Arial"/>
          <w:sz w:val="18"/>
          <w:szCs w:val="18"/>
          <w:color w:val="auto"/>
        </w:rPr>
        <w:t>Basic and diluted net (loss) earnings per share is calculated based upon the weighted-average number of shares of common stock outstanding during the period. Shares of the Company's common stock underlying pre-funded warrants are included in the calculation of the basic and diluted earnings per share.</w:t>
      </w:r>
    </w:p>
    <w:p>
      <w:pPr>
        <w:spacing w:after="0" w:line="61" w:lineRule="exact"/>
        <w:rPr>
          <w:sz w:val="20"/>
          <w:szCs w:val="20"/>
          <w:color w:val="auto"/>
        </w:rPr>
      </w:pPr>
    </w:p>
    <w:p>
      <w:pPr>
        <w:spacing w:after="0"/>
        <w:rPr>
          <w:sz w:val="20"/>
          <w:szCs w:val="20"/>
          <w:color w:val="auto"/>
        </w:rPr>
      </w:pPr>
      <w:r>
        <w:rPr>
          <w:rFonts w:ascii="Arial" w:cs="Arial" w:eastAsia="Arial" w:hAnsi="Arial"/>
          <w:sz w:val="18"/>
          <w:szCs w:val="18"/>
          <w:color w:val="auto"/>
        </w:rPr>
        <w:t>Basic and diluted net (loss) earnings per share are as follows (in thousands except share and per share amounts):</w:t>
      </w:r>
    </w:p>
    <w:p>
      <w:pPr>
        <w:spacing w:after="0" w:line="102"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5500" w:type="dxa"/>
            <w:vAlign w:val="bottom"/>
            <w:tcBorders>
              <w:top w:val="single" w:sz="8" w:color="auto"/>
            </w:tcBorders>
          </w:tcPr>
          <w:p>
            <w:pPr>
              <w:spacing w:after="0"/>
              <w:rPr>
                <w:sz w:val="16"/>
                <w:szCs w:val="16"/>
                <w:color w:val="auto"/>
              </w:rPr>
            </w:pPr>
          </w:p>
        </w:tc>
        <w:tc>
          <w:tcPr>
            <w:tcW w:w="2240" w:type="dxa"/>
            <w:vAlign w:val="bottom"/>
            <w:tcBorders>
              <w:top w:val="single" w:sz="8" w:color="auto"/>
            </w:tcBorders>
          </w:tcPr>
          <w:p>
            <w:pPr>
              <w:spacing w:after="0"/>
              <w:rPr>
                <w:sz w:val="16"/>
                <w:szCs w:val="16"/>
                <w:color w:val="auto"/>
              </w:rPr>
            </w:pPr>
          </w:p>
        </w:tc>
        <w:tc>
          <w:tcPr>
            <w:tcW w:w="340" w:type="dxa"/>
            <w:vAlign w:val="bottom"/>
            <w:tcBorders>
              <w:top w:val="single" w:sz="8" w:color="auto"/>
            </w:tcBorders>
          </w:tcPr>
          <w:p>
            <w:pPr>
              <w:spacing w:after="0"/>
              <w:rPr>
                <w:sz w:val="16"/>
                <w:szCs w:val="16"/>
                <w:color w:val="auto"/>
              </w:rPr>
            </w:pPr>
          </w:p>
        </w:tc>
        <w:tc>
          <w:tcPr>
            <w:tcW w:w="3160" w:type="dxa"/>
            <w:vAlign w:val="bottom"/>
            <w:tcBorders>
              <w:top w:val="single" w:sz="8" w:color="auto"/>
            </w:tcBorders>
            <w:gridSpan w:val="4"/>
          </w:tcPr>
          <w:p>
            <w:pPr>
              <w:jc w:val="right"/>
              <w:ind w:right="959"/>
              <w:spacing w:after="0"/>
              <w:rPr>
                <w:sz w:val="20"/>
                <w:szCs w:val="20"/>
                <w:color w:val="auto"/>
              </w:rPr>
            </w:pPr>
            <w:r>
              <w:rPr>
                <w:rFonts w:ascii="Arial" w:cs="Arial" w:eastAsia="Arial" w:hAnsi="Arial"/>
                <w:sz w:val="16"/>
                <w:szCs w:val="16"/>
                <w:b w:val="1"/>
                <w:bCs w:val="1"/>
                <w:color w:val="auto"/>
              </w:rPr>
              <w:t>Three months ended</w:t>
            </w:r>
          </w:p>
        </w:tc>
      </w:tr>
      <w:tr>
        <w:trPr>
          <w:trHeight w:val="203"/>
        </w:trPr>
        <w:tc>
          <w:tcPr>
            <w:tcW w:w="5500" w:type="dxa"/>
            <w:vAlign w:val="bottom"/>
          </w:tcPr>
          <w:p>
            <w:pPr>
              <w:spacing w:after="0"/>
              <w:rPr>
                <w:sz w:val="17"/>
                <w:szCs w:val="17"/>
                <w:color w:val="auto"/>
              </w:rPr>
            </w:pPr>
          </w:p>
        </w:tc>
        <w:tc>
          <w:tcPr>
            <w:tcW w:w="224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900" w:type="dxa"/>
            <w:vAlign w:val="bottom"/>
            <w:tcBorders>
              <w:bottom w:val="single" w:sz="8" w:color="auto"/>
            </w:tcBorders>
            <w:gridSpan w:val="3"/>
          </w:tcPr>
          <w:p>
            <w:pPr>
              <w:jc w:val="right"/>
              <w:ind w:right="180"/>
              <w:spacing w:after="0"/>
              <w:rPr>
                <w:sz w:val="20"/>
                <w:szCs w:val="20"/>
                <w:color w:val="auto"/>
              </w:rPr>
            </w:pPr>
            <w:r>
              <w:rPr>
                <w:rFonts w:ascii="Arial" w:cs="Arial" w:eastAsia="Arial" w:hAnsi="Arial"/>
                <w:sz w:val="16"/>
                <w:szCs w:val="16"/>
                <w:b w:val="1"/>
                <w:bCs w:val="1"/>
                <w:color w:val="auto"/>
              </w:rPr>
              <w:t>March 31,</w:t>
            </w:r>
          </w:p>
        </w:tc>
        <w:tc>
          <w:tcPr>
            <w:tcW w:w="1260" w:type="dxa"/>
            <w:vAlign w:val="bottom"/>
            <w:tcBorders>
              <w:bottom w:val="single" w:sz="8" w:color="auto"/>
            </w:tcBorders>
          </w:tcPr>
          <w:p>
            <w:pPr>
              <w:spacing w:after="0"/>
              <w:rPr>
                <w:sz w:val="17"/>
                <w:szCs w:val="17"/>
                <w:color w:val="auto"/>
              </w:rPr>
            </w:pPr>
          </w:p>
        </w:tc>
      </w:tr>
      <w:tr>
        <w:trPr>
          <w:trHeight w:val="183"/>
        </w:trPr>
        <w:tc>
          <w:tcPr>
            <w:tcW w:w="5500" w:type="dxa"/>
            <w:vAlign w:val="bottom"/>
            <w:tcBorders>
              <w:bottom w:val="single" w:sz="8" w:color="auto"/>
            </w:tcBorders>
          </w:tcPr>
          <w:p>
            <w:pPr>
              <w:spacing w:after="0"/>
              <w:rPr>
                <w:sz w:val="15"/>
                <w:szCs w:val="15"/>
                <w:color w:val="auto"/>
              </w:rPr>
            </w:pPr>
          </w:p>
        </w:tc>
        <w:tc>
          <w:tcPr>
            <w:tcW w:w="2240" w:type="dxa"/>
            <w:vAlign w:val="bottom"/>
            <w:tcBorders>
              <w:bottom w:val="single" w:sz="8" w:color="auto"/>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320" w:type="dxa"/>
            <w:vAlign w:val="bottom"/>
            <w:tcBorders>
              <w:bottom w:val="single" w:sz="8" w:color="auto"/>
            </w:tcBorders>
          </w:tcPr>
          <w:p>
            <w:pPr>
              <w:jc w:val="right"/>
              <w:ind w:right="619"/>
              <w:spacing w:after="0" w:line="183" w:lineRule="exact"/>
              <w:rPr>
                <w:sz w:val="20"/>
                <w:szCs w:val="20"/>
                <w:color w:val="auto"/>
              </w:rPr>
            </w:pPr>
            <w:r>
              <w:rPr>
                <w:rFonts w:ascii="Arial" w:cs="Arial" w:eastAsia="Arial" w:hAnsi="Arial"/>
                <w:sz w:val="16"/>
                <w:szCs w:val="16"/>
                <w:b w:val="1"/>
                <w:bCs w:val="1"/>
                <w:color w:val="auto"/>
              </w:rPr>
              <w:t>2026</w:t>
            </w:r>
          </w:p>
        </w:tc>
        <w:tc>
          <w:tcPr>
            <w:tcW w:w="180" w:type="dxa"/>
            <w:vAlign w:val="bottom"/>
            <w:tcBorders>
              <w:bottom w:val="single" w:sz="8" w:color="auto"/>
            </w:tcBorders>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tcPr>
          <w:p>
            <w:pPr>
              <w:jc w:val="right"/>
              <w:ind w:right="639"/>
              <w:spacing w:after="0" w:line="183" w:lineRule="exact"/>
              <w:rPr>
                <w:sz w:val="20"/>
                <w:szCs w:val="20"/>
                <w:color w:val="auto"/>
              </w:rPr>
            </w:pPr>
            <w:r>
              <w:rPr>
                <w:rFonts w:ascii="Arial" w:cs="Arial" w:eastAsia="Arial" w:hAnsi="Arial"/>
                <w:sz w:val="16"/>
                <w:szCs w:val="16"/>
                <w:b w:val="1"/>
                <w:bCs w:val="1"/>
                <w:color w:val="auto"/>
              </w:rPr>
              <w:t>2025</w:t>
            </w:r>
          </w:p>
        </w:tc>
      </w:tr>
      <w:tr>
        <w:trPr>
          <w:trHeight w:val="183"/>
        </w:trPr>
        <w:tc>
          <w:tcPr>
            <w:tcW w:w="5500" w:type="dxa"/>
            <w:vAlign w:val="bottom"/>
            <w:shd w:val="clear" w:color="auto" w:fill="CFF0FC"/>
          </w:tcPr>
          <w:p>
            <w:pPr>
              <w:spacing w:after="0" w:line="183" w:lineRule="exact"/>
              <w:rPr>
                <w:sz w:val="20"/>
                <w:szCs w:val="20"/>
                <w:color w:val="auto"/>
              </w:rPr>
            </w:pPr>
            <w:r>
              <w:rPr>
                <w:rFonts w:ascii="Arial" w:cs="Arial" w:eastAsia="Arial" w:hAnsi="Arial"/>
                <w:sz w:val="16"/>
                <w:szCs w:val="16"/>
                <w:color w:val="auto"/>
              </w:rPr>
              <w:t>Net (loss) income</w:t>
            </w:r>
          </w:p>
        </w:tc>
        <w:tc>
          <w:tcPr>
            <w:tcW w:w="2580" w:type="dxa"/>
            <w:vAlign w:val="bottom"/>
            <w:gridSpan w:val="2"/>
            <w:shd w:val="clear" w:color="auto" w:fill="CFF0FC"/>
          </w:tcPr>
          <w:p>
            <w:pPr>
              <w:jc w:val="right"/>
              <w:ind w:right="240"/>
              <w:spacing w:after="0" w:line="183" w:lineRule="exact"/>
              <w:rPr>
                <w:sz w:val="20"/>
                <w:szCs w:val="20"/>
                <w:color w:val="auto"/>
              </w:rPr>
            </w:pPr>
            <w:r>
              <w:rPr>
                <w:rFonts w:ascii="Arial" w:cs="Arial" w:eastAsia="Arial" w:hAnsi="Arial"/>
                <w:sz w:val="16"/>
                <w:szCs w:val="16"/>
                <w:color w:val="auto"/>
              </w:rPr>
              <w:t>$</w:t>
            </w:r>
          </w:p>
        </w:tc>
        <w:tc>
          <w:tcPr>
            <w:tcW w:w="1320" w:type="dxa"/>
            <w:vAlign w:val="bottom"/>
            <w:shd w:val="clear" w:color="auto" w:fill="CFF0FC"/>
          </w:tcPr>
          <w:p>
            <w:pPr>
              <w:jc w:val="right"/>
              <w:spacing w:after="0" w:line="183" w:lineRule="exact"/>
              <w:rPr>
                <w:sz w:val="20"/>
                <w:szCs w:val="20"/>
                <w:color w:val="auto"/>
              </w:rPr>
            </w:pPr>
            <w:r>
              <w:rPr>
                <w:rFonts w:ascii="Arial" w:cs="Arial" w:eastAsia="Arial" w:hAnsi="Arial"/>
                <w:sz w:val="16"/>
                <w:szCs w:val="16"/>
                <w:color w:val="auto"/>
              </w:rPr>
              <w:t>(44,503)</w:t>
            </w:r>
          </w:p>
        </w:tc>
        <w:tc>
          <w:tcPr>
            <w:tcW w:w="580" w:type="dxa"/>
            <w:vAlign w:val="bottom"/>
            <w:gridSpan w:val="2"/>
            <w:shd w:val="clear" w:color="auto" w:fill="CFF0FC"/>
          </w:tcPr>
          <w:p>
            <w:pPr>
              <w:jc w:val="right"/>
              <w:ind w:right="320"/>
              <w:spacing w:after="0" w:line="183" w:lineRule="exact"/>
              <w:rPr>
                <w:sz w:val="20"/>
                <w:szCs w:val="20"/>
                <w:color w:val="auto"/>
              </w:rPr>
            </w:pPr>
            <w:r>
              <w:rPr>
                <w:rFonts w:ascii="Arial" w:cs="Arial" w:eastAsia="Arial" w:hAnsi="Arial"/>
                <w:sz w:val="16"/>
                <w:szCs w:val="16"/>
                <w:color w:val="auto"/>
              </w:rPr>
              <w:t>$</w:t>
            </w:r>
          </w:p>
        </w:tc>
        <w:tc>
          <w:tcPr>
            <w:tcW w:w="1260" w:type="dxa"/>
            <w:vAlign w:val="bottom"/>
            <w:shd w:val="clear" w:color="auto" w:fill="CFF0FC"/>
          </w:tcPr>
          <w:p>
            <w:pPr>
              <w:jc w:val="right"/>
              <w:ind w:right="39"/>
              <w:spacing w:after="0" w:line="183" w:lineRule="exact"/>
              <w:rPr>
                <w:sz w:val="20"/>
                <w:szCs w:val="20"/>
                <w:color w:val="auto"/>
              </w:rPr>
            </w:pPr>
            <w:r>
              <w:rPr>
                <w:rFonts w:ascii="Arial" w:cs="Arial" w:eastAsia="Arial" w:hAnsi="Arial"/>
                <w:sz w:val="16"/>
                <w:szCs w:val="16"/>
                <w:color w:val="auto"/>
              </w:rPr>
              <w:t>46,885</w:t>
            </w:r>
          </w:p>
        </w:tc>
      </w:tr>
      <w:tr>
        <w:trPr>
          <w:trHeight w:val="189"/>
        </w:trPr>
        <w:tc>
          <w:tcPr>
            <w:tcW w:w="5500" w:type="dxa"/>
            <w:vAlign w:val="bottom"/>
          </w:tcPr>
          <w:p>
            <w:pPr>
              <w:spacing w:after="0"/>
              <w:rPr>
                <w:sz w:val="20"/>
                <w:szCs w:val="20"/>
                <w:color w:val="auto"/>
              </w:rPr>
            </w:pPr>
            <w:r>
              <w:rPr>
                <w:rFonts w:ascii="Arial" w:cs="Arial" w:eastAsia="Arial" w:hAnsi="Arial"/>
                <w:sz w:val="16"/>
                <w:szCs w:val="16"/>
                <w:color w:val="auto"/>
              </w:rPr>
              <w:t>Basic weighted average shares outstanding</w:t>
            </w:r>
          </w:p>
        </w:tc>
        <w:tc>
          <w:tcPr>
            <w:tcW w:w="22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320" w:type="dxa"/>
            <w:vAlign w:val="bottom"/>
          </w:tcPr>
          <w:p>
            <w:pPr>
              <w:jc w:val="right"/>
              <w:ind w:right="39"/>
              <w:spacing w:after="0"/>
              <w:rPr>
                <w:sz w:val="20"/>
                <w:szCs w:val="20"/>
                <w:color w:val="auto"/>
              </w:rPr>
            </w:pPr>
            <w:r>
              <w:rPr>
                <w:rFonts w:ascii="Arial" w:cs="Arial" w:eastAsia="Arial" w:hAnsi="Arial"/>
                <w:sz w:val="16"/>
                <w:szCs w:val="16"/>
                <w:color w:val="auto"/>
              </w:rPr>
              <w:t>99,883,878</w:t>
            </w:r>
          </w:p>
        </w:tc>
        <w:tc>
          <w:tcPr>
            <w:tcW w:w="1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260" w:type="dxa"/>
            <w:vAlign w:val="bottom"/>
          </w:tcPr>
          <w:p>
            <w:pPr>
              <w:jc w:val="right"/>
              <w:ind w:right="39"/>
              <w:spacing w:after="0"/>
              <w:rPr>
                <w:sz w:val="20"/>
                <w:szCs w:val="20"/>
                <w:color w:val="auto"/>
              </w:rPr>
            </w:pPr>
            <w:r>
              <w:rPr>
                <w:rFonts w:ascii="Arial" w:cs="Arial" w:eastAsia="Arial" w:hAnsi="Arial"/>
                <w:sz w:val="16"/>
                <w:szCs w:val="16"/>
                <w:color w:val="auto"/>
              </w:rPr>
              <w:t>82,148,719</w:t>
            </w:r>
          </w:p>
        </w:tc>
      </w:tr>
      <w:tr>
        <w:trPr>
          <w:trHeight w:val="189"/>
        </w:trPr>
        <w:tc>
          <w:tcPr>
            <w:tcW w:w="5500" w:type="dxa"/>
            <w:vAlign w:val="bottom"/>
            <w:shd w:val="clear" w:color="auto" w:fill="CFF0FC"/>
          </w:tcPr>
          <w:p>
            <w:pPr>
              <w:spacing w:after="0"/>
              <w:rPr>
                <w:sz w:val="20"/>
                <w:szCs w:val="20"/>
                <w:color w:val="auto"/>
              </w:rPr>
            </w:pPr>
            <w:r>
              <w:rPr>
                <w:rFonts w:ascii="Arial" w:cs="Arial" w:eastAsia="Arial" w:hAnsi="Arial"/>
                <w:sz w:val="16"/>
                <w:szCs w:val="16"/>
                <w:color w:val="auto"/>
              </w:rPr>
              <w:t>Effect of potentially dilutive securities:</w:t>
            </w:r>
          </w:p>
        </w:tc>
        <w:tc>
          <w:tcPr>
            <w:tcW w:w="2240" w:type="dxa"/>
            <w:vAlign w:val="bottom"/>
            <w:shd w:val="clear" w:color="auto" w:fill="CFF0FC"/>
          </w:tcPr>
          <w:p>
            <w:pPr>
              <w:spacing w:after="0"/>
              <w:rPr>
                <w:sz w:val="16"/>
                <w:szCs w:val="16"/>
                <w:color w:val="auto"/>
              </w:rPr>
            </w:pPr>
          </w:p>
        </w:tc>
        <w:tc>
          <w:tcPr>
            <w:tcW w:w="340" w:type="dxa"/>
            <w:vAlign w:val="bottom"/>
            <w:shd w:val="clear" w:color="auto" w:fill="CFF0FC"/>
          </w:tcPr>
          <w:p>
            <w:pPr>
              <w:spacing w:after="0"/>
              <w:rPr>
                <w:sz w:val="16"/>
                <w:szCs w:val="16"/>
                <w:color w:val="auto"/>
              </w:rPr>
            </w:pPr>
          </w:p>
        </w:tc>
        <w:tc>
          <w:tcPr>
            <w:tcW w:w="132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400" w:type="dxa"/>
            <w:vAlign w:val="bottom"/>
            <w:shd w:val="clear" w:color="auto" w:fill="CFF0FC"/>
          </w:tcPr>
          <w:p>
            <w:pPr>
              <w:spacing w:after="0"/>
              <w:rPr>
                <w:sz w:val="16"/>
                <w:szCs w:val="16"/>
                <w:color w:val="auto"/>
              </w:rPr>
            </w:pPr>
          </w:p>
        </w:tc>
        <w:tc>
          <w:tcPr>
            <w:tcW w:w="1260" w:type="dxa"/>
            <w:vAlign w:val="bottom"/>
            <w:shd w:val="clear" w:color="auto" w:fill="CFF0FC"/>
          </w:tcPr>
          <w:p>
            <w:pPr>
              <w:spacing w:after="0"/>
              <w:rPr>
                <w:sz w:val="16"/>
                <w:szCs w:val="16"/>
                <w:color w:val="auto"/>
              </w:rPr>
            </w:pPr>
          </w:p>
        </w:tc>
      </w:tr>
      <w:tr>
        <w:trPr>
          <w:trHeight w:val="189"/>
        </w:trPr>
        <w:tc>
          <w:tcPr>
            <w:tcW w:w="5500" w:type="dxa"/>
            <w:vAlign w:val="bottom"/>
          </w:tcPr>
          <w:p>
            <w:pPr>
              <w:ind w:left="140"/>
              <w:spacing w:after="0"/>
              <w:rPr>
                <w:sz w:val="20"/>
                <w:szCs w:val="20"/>
                <w:color w:val="auto"/>
              </w:rPr>
            </w:pPr>
            <w:r>
              <w:rPr>
                <w:rFonts w:ascii="Arial" w:cs="Arial" w:eastAsia="Arial" w:hAnsi="Arial"/>
                <w:sz w:val="16"/>
                <w:szCs w:val="16"/>
                <w:color w:val="auto"/>
              </w:rPr>
              <w:t>Stock options to purchase common stock</w:t>
            </w:r>
          </w:p>
        </w:tc>
        <w:tc>
          <w:tcPr>
            <w:tcW w:w="22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32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260" w:type="dxa"/>
            <w:vAlign w:val="bottom"/>
          </w:tcPr>
          <w:p>
            <w:pPr>
              <w:jc w:val="right"/>
              <w:ind w:right="39"/>
              <w:spacing w:after="0"/>
              <w:rPr>
                <w:sz w:val="20"/>
                <w:szCs w:val="20"/>
                <w:color w:val="auto"/>
              </w:rPr>
            </w:pPr>
            <w:r>
              <w:rPr>
                <w:rFonts w:ascii="Arial" w:cs="Arial" w:eastAsia="Arial" w:hAnsi="Arial"/>
                <w:sz w:val="16"/>
                <w:szCs w:val="16"/>
                <w:color w:val="auto"/>
              </w:rPr>
              <w:t>729,311</w:t>
            </w:r>
          </w:p>
        </w:tc>
      </w:tr>
      <w:tr>
        <w:trPr>
          <w:trHeight w:val="189"/>
        </w:trPr>
        <w:tc>
          <w:tcPr>
            <w:tcW w:w="5500" w:type="dxa"/>
            <w:vAlign w:val="bottom"/>
            <w:tcBorders>
              <w:bottom w:val="single" w:sz="8" w:color="CFF0FC"/>
            </w:tcBorders>
            <w:shd w:val="clear" w:color="auto" w:fill="CFF0FC"/>
          </w:tcPr>
          <w:p>
            <w:pPr>
              <w:ind w:left="140"/>
              <w:spacing w:after="0"/>
              <w:rPr>
                <w:sz w:val="20"/>
                <w:szCs w:val="20"/>
                <w:color w:val="auto"/>
              </w:rPr>
            </w:pPr>
            <w:r>
              <w:rPr>
                <w:rFonts w:ascii="Arial" w:cs="Arial" w:eastAsia="Arial" w:hAnsi="Arial"/>
                <w:sz w:val="16"/>
                <w:szCs w:val="16"/>
                <w:color w:val="auto"/>
              </w:rPr>
              <w:t>Restricted stock units</w:t>
            </w:r>
          </w:p>
        </w:tc>
        <w:tc>
          <w:tcPr>
            <w:tcW w:w="2240" w:type="dxa"/>
            <w:vAlign w:val="bottom"/>
            <w:tcBorders>
              <w:bottom w:val="single" w:sz="8" w:color="CFF0FC"/>
            </w:tcBorders>
            <w:shd w:val="clear" w:color="auto" w:fill="CFF0FC"/>
          </w:tcPr>
          <w:p>
            <w:pPr>
              <w:spacing w:after="0"/>
              <w:rPr>
                <w:sz w:val="16"/>
                <w:szCs w:val="16"/>
                <w:color w:val="auto"/>
              </w:rPr>
            </w:pPr>
          </w:p>
        </w:tc>
        <w:tc>
          <w:tcPr>
            <w:tcW w:w="340" w:type="dxa"/>
            <w:vAlign w:val="bottom"/>
            <w:tcBorders>
              <w:bottom w:val="single" w:sz="8" w:color="auto"/>
            </w:tcBorders>
            <w:shd w:val="clear" w:color="auto" w:fill="CFF0FC"/>
          </w:tcPr>
          <w:p>
            <w:pPr>
              <w:spacing w:after="0"/>
              <w:rPr>
                <w:sz w:val="16"/>
                <w:szCs w:val="16"/>
                <w:color w:val="auto"/>
              </w:rPr>
            </w:pPr>
          </w:p>
        </w:tc>
        <w:tc>
          <w:tcPr>
            <w:tcW w:w="1320" w:type="dxa"/>
            <w:vAlign w:val="bottom"/>
            <w:tcBorders>
              <w:bottom w:val="single" w:sz="8" w:color="auto"/>
            </w:tcBorders>
            <w:shd w:val="clear" w:color="auto" w:fill="CFF0FC"/>
          </w:tcPr>
          <w:p>
            <w:pPr>
              <w:jc w:val="right"/>
              <w:ind w:right="39"/>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FF0FC"/>
            </w:tcBorders>
            <w:shd w:val="clear" w:color="auto" w:fill="CFF0FC"/>
          </w:tcPr>
          <w:p>
            <w:pPr>
              <w:spacing w:after="0"/>
              <w:rPr>
                <w:sz w:val="16"/>
                <w:szCs w:val="16"/>
                <w:color w:val="auto"/>
              </w:rPr>
            </w:pPr>
          </w:p>
        </w:tc>
        <w:tc>
          <w:tcPr>
            <w:tcW w:w="400" w:type="dxa"/>
            <w:vAlign w:val="bottom"/>
            <w:tcBorders>
              <w:bottom w:val="single" w:sz="8" w:color="auto"/>
            </w:tcBorders>
            <w:shd w:val="clear" w:color="auto" w:fill="CFF0FC"/>
          </w:tcPr>
          <w:p>
            <w:pPr>
              <w:spacing w:after="0"/>
              <w:rPr>
                <w:sz w:val="16"/>
                <w:szCs w:val="16"/>
                <w:color w:val="auto"/>
              </w:rPr>
            </w:pPr>
          </w:p>
        </w:tc>
        <w:tc>
          <w:tcPr>
            <w:tcW w:w="1260" w:type="dxa"/>
            <w:vAlign w:val="bottom"/>
            <w:tcBorders>
              <w:bottom w:val="single" w:sz="8" w:color="auto"/>
            </w:tcBorders>
            <w:shd w:val="clear" w:color="auto" w:fill="CFF0FC"/>
          </w:tcPr>
          <w:p>
            <w:pPr>
              <w:jc w:val="right"/>
              <w:ind w:right="39"/>
              <w:spacing w:after="0"/>
              <w:rPr>
                <w:sz w:val="20"/>
                <w:szCs w:val="20"/>
                <w:color w:val="auto"/>
              </w:rPr>
            </w:pPr>
            <w:r>
              <w:rPr>
                <w:rFonts w:ascii="Arial" w:cs="Arial" w:eastAsia="Arial" w:hAnsi="Arial"/>
                <w:sz w:val="16"/>
                <w:szCs w:val="16"/>
                <w:color w:val="auto"/>
              </w:rPr>
              <w:t>78,393</w:t>
            </w:r>
          </w:p>
        </w:tc>
      </w:tr>
      <w:tr>
        <w:trPr>
          <w:trHeight w:val="183"/>
        </w:trPr>
        <w:tc>
          <w:tcPr>
            <w:tcW w:w="5500" w:type="dxa"/>
            <w:vAlign w:val="bottom"/>
          </w:tcPr>
          <w:p>
            <w:pPr>
              <w:spacing w:after="0" w:line="183" w:lineRule="exact"/>
              <w:rPr>
                <w:sz w:val="20"/>
                <w:szCs w:val="20"/>
                <w:color w:val="auto"/>
              </w:rPr>
            </w:pPr>
            <w:r>
              <w:rPr>
                <w:rFonts w:ascii="Arial" w:cs="Arial" w:eastAsia="Arial" w:hAnsi="Arial"/>
                <w:sz w:val="16"/>
                <w:szCs w:val="16"/>
                <w:color w:val="auto"/>
              </w:rPr>
              <w:t>Diluted weighted average shares outstanding</w:t>
            </w:r>
          </w:p>
        </w:tc>
        <w:tc>
          <w:tcPr>
            <w:tcW w:w="22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320" w:type="dxa"/>
            <w:vAlign w:val="bottom"/>
          </w:tcPr>
          <w:p>
            <w:pPr>
              <w:jc w:val="right"/>
              <w:ind w:right="39"/>
              <w:spacing w:after="0" w:line="183" w:lineRule="exact"/>
              <w:rPr>
                <w:sz w:val="20"/>
                <w:szCs w:val="20"/>
                <w:color w:val="auto"/>
              </w:rPr>
            </w:pPr>
            <w:r>
              <w:rPr>
                <w:rFonts w:ascii="Arial" w:cs="Arial" w:eastAsia="Arial" w:hAnsi="Arial"/>
                <w:sz w:val="16"/>
                <w:szCs w:val="16"/>
                <w:color w:val="auto"/>
              </w:rPr>
              <w:t>99,883,878</w:t>
            </w:r>
          </w:p>
        </w:tc>
        <w:tc>
          <w:tcPr>
            <w:tcW w:w="1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260" w:type="dxa"/>
            <w:vAlign w:val="bottom"/>
          </w:tcPr>
          <w:p>
            <w:pPr>
              <w:jc w:val="right"/>
              <w:ind w:right="39"/>
              <w:spacing w:after="0" w:line="183" w:lineRule="exact"/>
              <w:rPr>
                <w:sz w:val="20"/>
                <w:szCs w:val="20"/>
                <w:color w:val="auto"/>
              </w:rPr>
            </w:pPr>
            <w:r>
              <w:rPr>
                <w:rFonts w:ascii="Arial" w:cs="Arial" w:eastAsia="Arial" w:hAnsi="Arial"/>
                <w:sz w:val="16"/>
                <w:szCs w:val="16"/>
                <w:color w:val="auto"/>
              </w:rPr>
              <w:t>82,956,423</w:t>
            </w:r>
          </w:p>
        </w:tc>
      </w:tr>
      <w:tr>
        <w:trPr>
          <w:trHeight w:val="189"/>
        </w:trPr>
        <w:tc>
          <w:tcPr>
            <w:tcW w:w="5500" w:type="dxa"/>
            <w:vAlign w:val="bottom"/>
            <w:shd w:val="clear" w:color="auto" w:fill="CFF0FC"/>
          </w:tcPr>
          <w:p>
            <w:pPr>
              <w:spacing w:after="0"/>
              <w:rPr>
                <w:sz w:val="16"/>
                <w:szCs w:val="16"/>
                <w:color w:val="auto"/>
              </w:rPr>
            </w:pPr>
          </w:p>
        </w:tc>
        <w:tc>
          <w:tcPr>
            <w:tcW w:w="2240" w:type="dxa"/>
            <w:vAlign w:val="bottom"/>
            <w:shd w:val="clear" w:color="auto" w:fill="CFF0FC"/>
          </w:tcPr>
          <w:p>
            <w:pPr>
              <w:spacing w:after="0"/>
              <w:rPr>
                <w:sz w:val="16"/>
                <w:szCs w:val="16"/>
                <w:color w:val="auto"/>
              </w:rPr>
            </w:pPr>
          </w:p>
        </w:tc>
        <w:tc>
          <w:tcPr>
            <w:tcW w:w="340" w:type="dxa"/>
            <w:vAlign w:val="bottom"/>
            <w:shd w:val="clear" w:color="auto" w:fill="CFF0FC"/>
          </w:tcPr>
          <w:p>
            <w:pPr>
              <w:spacing w:after="0"/>
              <w:rPr>
                <w:sz w:val="16"/>
                <w:szCs w:val="16"/>
                <w:color w:val="auto"/>
              </w:rPr>
            </w:pPr>
          </w:p>
        </w:tc>
        <w:tc>
          <w:tcPr>
            <w:tcW w:w="132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400" w:type="dxa"/>
            <w:vAlign w:val="bottom"/>
            <w:shd w:val="clear" w:color="auto" w:fill="CFF0FC"/>
          </w:tcPr>
          <w:p>
            <w:pPr>
              <w:spacing w:after="0"/>
              <w:rPr>
                <w:sz w:val="16"/>
                <w:szCs w:val="16"/>
                <w:color w:val="auto"/>
              </w:rPr>
            </w:pPr>
          </w:p>
        </w:tc>
        <w:tc>
          <w:tcPr>
            <w:tcW w:w="1260" w:type="dxa"/>
            <w:vAlign w:val="bottom"/>
            <w:shd w:val="clear" w:color="auto" w:fill="CFF0FC"/>
          </w:tcPr>
          <w:p>
            <w:pPr>
              <w:spacing w:after="0"/>
              <w:rPr>
                <w:sz w:val="16"/>
                <w:szCs w:val="16"/>
                <w:color w:val="auto"/>
              </w:rPr>
            </w:pPr>
          </w:p>
        </w:tc>
      </w:tr>
      <w:tr>
        <w:trPr>
          <w:trHeight w:val="189"/>
        </w:trPr>
        <w:tc>
          <w:tcPr>
            <w:tcW w:w="5500" w:type="dxa"/>
            <w:vAlign w:val="bottom"/>
          </w:tcPr>
          <w:p>
            <w:pPr>
              <w:spacing w:after="0"/>
              <w:rPr>
                <w:sz w:val="20"/>
                <w:szCs w:val="20"/>
                <w:color w:val="auto"/>
              </w:rPr>
            </w:pPr>
            <w:r>
              <w:rPr>
                <w:rFonts w:ascii="Arial" w:cs="Arial" w:eastAsia="Arial" w:hAnsi="Arial"/>
                <w:sz w:val="16"/>
                <w:szCs w:val="16"/>
                <w:color w:val="auto"/>
              </w:rPr>
              <w:t>Basic net (loss) earnings per share</w:t>
            </w:r>
          </w:p>
        </w:tc>
        <w:tc>
          <w:tcPr>
            <w:tcW w:w="258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320" w:type="dxa"/>
            <w:vAlign w:val="bottom"/>
          </w:tcPr>
          <w:p>
            <w:pPr>
              <w:jc w:val="right"/>
              <w:spacing w:after="0"/>
              <w:rPr>
                <w:sz w:val="20"/>
                <w:szCs w:val="20"/>
                <w:color w:val="auto"/>
              </w:rPr>
            </w:pPr>
            <w:r>
              <w:rPr>
                <w:rFonts w:ascii="Arial" w:cs="Arial" w:eastAsia="Arial" w:hAnsi="Arial"/>
                <w:sz w:val="16"/>
                <w:szCs w:val="16"/>
                <w:color w:val="auto"/>
              </w:rPr>
              <w:t>(0.45)</w:t>
            </w:r>
          </w:p>
        </w:tc>
        <w:tc>
          <w:tcPr>
            <w:tcW w:w="580" w:type="dxa"/>
            <w:vAlign w:val="bottom"/>
            <w:gridSpan w:val="2"/>
          </w:tcPr>
          <w:p>
            <w:pPr>
              <w:jc w:val="right"/>
              <w:ind w:right="320"/>
              <w:spacing w:after="0"/>
              <w:rPr>
                <w:sz w:val="20"/>
                <w:szCs w:val="20"/>
                <w:color w:val="auto"/>
              </w:rPr>
            </w:pPr>
            <w:r>
              <w:rPr>
                <w:rFonts w:ascii="Arial" w:cs="Arial" w:eastAsia="Arial" w:hAnsi="Arial"/>
                <w:sz w:val="16"/>
                <w:szCs w:val="16"/>
                <w:color w:val="auto"/>
              </w:rPr>
              <w:t>$</w:t>
            </w:r>
          </w:p>
        </w:tc>
        <w:tc>
          <w:tcPr>
            <w:tcW w:w="1260" w:type="dxa"/>
            <w:vAlign w:val="bottom"/>
          </w:tcPr>
          <w:p>
            <w:pPr>
              <w:jc w:val="right"/>
              <w:ind w:right="39"/>
              <w:spacing w:after="0"/>
              <w:rPr>
                <w:sz w:val="20"/>
                <w:szCs w:val="20"/>
                <w:color w:val="auto"/>
              </w:rPr>
            </w:pPr>
            <w:r>
              <w:rPr>
                <w:rFonts w:ascii="Arial" w:cs="Arial" w:eastAsia="Arial" w:hAnsi="Arial"/>
                <w:sz w:val="16"/>
                <w:szCs w:val="16"/>
                <w:color w:val="auto"/>
              </w:rPr>
              <w:t>0.57</w:t>
            </w:r>
          </w:p>
        </w:tc>
      </w:tr>
      <w:tr>
        <w:trPr>
          <w:trHeight w:val="189"/>
        </w:trPr>
        <w:tc>
          <w:tcPr>
            <w:tcW w:w="5500" w:type="dxa"/>
            <w:vAlign w:val="bottom"/>
            <w:shd w:val="clear" w:color="auto" w:fill="CFF0FC"/>
          </w:tcPr>
          <w:p>
            <w:pPr>
              <w:spacing w:after="0"/>
              <w:rPr>
                <w:sz w:val="20"/>
                <w:szCs w:val="20"/>
                <w:color w:val="auto"/>
              </w:rPr>
            </w:pPr>
            <w:r>
              <w:rPr>
                <w:rFonts w:ascii="Arial" w:cs="Arial" w:eastAsia="Arial" w:hAnsi="Arial"/>
                <w:sz w:val="16"/>
                <w:szCs w:val="16"/>
                <w:color w:val="auto"/>
              </w:rPr>
              <w:t>Diluted net (loss) earnings per share</w:t>
            </w:r>
          </w:p>
        </w:tc>
        <w:tc>
          <w:tcPr>
            <w:tcW w:w="2580" w:type="dxa"/>
            <w:vAlign w:val="bottom"/>
            <w:gridSpan w:val="2"/>
            <w:shd w:val="clear" w:color="auto" w:fill="CFF0FC"/>
          </w:tcPr>
          <w:p>
            <w:pPr>
              <w:jc w:val="right"/>
              <w:ind w:right="240"/>
              <w:spacing w:after="0"/>
              <w:rPr>
                <w:sz w:val="20"/>
                <w:szCs w:val="20"/>
                <w:color w:val="auto"/>
              </w:rPr>
            </w:pPr>
            <w:r>
              <w:rPr>
                <w:rFonts w:ascii="Arial" w:cs="Arial" w:eastAsia="Arial" w:hAnsi="Arial"/>
                <w:sz w:val="16"/>
                <w:szCs w:val="16"/>
                <w:color w:val="auto"/>
              </w:rPr>
              <w:t>$</w:t>
            </w:r>
          </w:p>
        </w:tc>
        <w:tc>
          <w:tcPr>
            <w:tcW w:w="13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(0.45)</w:t>
            </w:r>
          </w:p>
        </w:tc>
        <w:tc>
          <w:tcPr>
            <w:tcW w:w="580" w:type="dxa"/>
            <w:vAlign w:val="bottom"/>
            <w:gridSpan w:val="2"/>
            <w:shd w:val="clear" w:color="auto" w:fill="CFF0FC"/>
          </w:tcPr>
          <w:p>
            <w:pPr>
              <w:jc w:val="right"/>
              <w:ind w:right="320"/>
              <w:spacing w:after="0"/>
              <w:rPr>
                <w:sz w:val="20"/>
                <w:szCs w:val="20"/>
                <w:color w:val="auto"/>
              </w:rPr>
            </w:pPr>
            <w:r>
              <w:rPr>
                <w:rFonts w:ascii="Arial" w:cs="Arial" w:eastAsia="Arial" w:hAnsi="Arial"/>
                <w:sz w:val="16"/>
                <w:szCs w:val="16"/>
                <w:color w:val="auto"/>
              </w:rPr>
              <w:t>$</w:t>
            </w:r>
          </w:p>
        </w:tc>
        <w:tc>
          <w:tcPr>
            <w:tcW w:w="126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0.57</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5971540</wp:posOffset>
            </wp:positionH>
            <wp:positionV relativeFrom="paragraph">
              <wp:posOffset>-487680</wp:posOffset>
            </wp:positionV>
            <wp:extent cx="111125" cy="825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111125" cy="8255"/>
                    </a:xfrm>
                    <a:prstGeom prst="rect">
                      <a:avLst/>
                    </a:prstGeom>
                    <a:noFill/>
                  </pic:spPr>
                </pic:pic>
              </a:graphicData>
            </a:graphic>
          </wp:anchor>
        </w:drawing>
      </w:r>
    </w:p>
    <w:p>
      <w:pPr>
        <w:spacing w:after="0" w:line="204" w:lineRule="exact"/>
        <w:rPr>
          <w:sz w:val="20"/>
          <w:szCs w:val="20"/>
          <w:color w:val="auto"/>
        </w:rPr>
      </w:pPr>
    </w:p>
    <w:p>
      <w:pPr>
        <w:ind w:right="280"/>
        <w:spacing w:after="0" w:line="271" w:lineRule="auto"/>
        <w:rPr>
          <w:sz w:val="20"/>
          <w:szCs w:val="20"/>
          <w:color w:val="auto"/>
        </w:rPr>
      </w:pPr>
      <w:r>
        <w:rPr>
          <w:rFonts w:ascii="Arial" w:cs="Arial" w:eastAsia="Arial" w:hAnsi="Arial"/>
          <w:sz w:val="18"/>
          <w:szCs w:val="18"/>
          <w:color w:val="auto"/>
        </w:rPr>
        <w:t>The following outstanding potentially dilutive securities have been excluded from the calculation of diluted net (loss) earnings per common share, as their effect is anti-dilutive:</w:t>
      </w:r>
    </w:p>
    <w:p>
      <w:pPr>
        <w:spacing w:after="0" w:line="58"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7180" w:type="dxa"/>
            <w:vAlign w:val="bottom"/>
            <w:tcBorders>
              <w:top w:val="single" w:sz="8" w:color="auto"/>
            </w:tcBorders>
          </w:tcPr>
          <w:p>
            <w:pPr>
              <w:spacing w:after="0"/>
              <w:rPr>
                <w:sz w:val="17"/>
                <w:szCs w:val="17"/>
                <w:color w:val="auto"/>
              </w:rPr>
            </w:pPr>
          </w:p>
        </w:tc>
        <w:tc>
          <w:tcPr>
            <w:tcW w:w="4060" w:type="dxa"/>
            <w:vAlign w:val="bottom"/>
            <w:tcBorders>
              <w:top w:val="single" w:sz="8" w:color="auto"/>
              <w:bottom w:val="single" w:sz="8" w:color="auto"/>
            </w:tcBorders>
            <w:gridSpan w:val="2"/>
          </w:tcPr>
          <w:p>
            <w:pPr>
              <w:jc w:val="right"/>
              <w:ind w:right="819"/>
              <w:spacing w:after="0"/>
              <w:rPr>
                <w:sz w:val="20"/>
                <w:szCs w:val="20"/>
                <w:color w:val="auto"/>
              </w:rPr>
            </w:pPr>
            <w:r>
              <w:rPr>
                <w:rFonts w:ascii="Arial" w:cs="Arial" w:eastAsia="Arial" w:hAnsi="Arial"/>
                <w:sz w:val="16"/>
                <w:szCs w:val="16"/>
                <w:b w:val="1"/>
                <w:bCs w:val="1"/>
                <w:color w:val="auto"/>
              </w:rPr>
              <w:t>Three months ended March 31,</w:t>
            </w:r>
          </w:p>
        </w:tc>
      </w:tr>
      <w:tr>
        <w:trPr>
          <w:trHeight w:val="183"/>
        </w:trPr>
        <w:tc>
          <w:tcPr>
            <w:tcW w:w="7180" w:type="dxa"/>
            <w:vAlign w:val="bottom"/>
            <w:tcBorders>
              <w:bottom w:val="single" w:sz="8" w:color="auto"/>
            </w:tcBorders>
          </w:tcPr>
          <w:p>
            <w:pPr>
              <w:spacing w:after="0"/>
              <w:rPr>
                <w:sz w:val="15"/>
                <w:szCs w:val="15"/>
                <w:color w:val="auto"/>
              </w:rPr>
            </w:pPr>
          </w:p>
        </w:tc>
        <w:tc>
          <w:tcPr>
            <w:tcW w:w="2320" w:type="dxa"/>
            <w:vAlign w:val="bottom"/>
            <w:tcBorders>
              <w:bottom w:val="single" w:sz="8" w:color="auto"/>
            </w:tcBorders>
          </w:tcPr>
          <w:p>
            <w:pPr>
              <w:jc w:val="right"/>
              <w:ind w:right="1159"/>
              <w:spacing w:after="0" w:line="183" w:lineRule="exact"/>
              <w:rPr>
                <w:sz w:val="20"/>
                <w:szCs w:val="20"/>
                <w:color w:val="auto"/>
              </w:rPr>
            </w:pPr>
            <w:r>
              <w:rPr>
                <w:rFonts w:ascii="Arial" w:cs="Arial" w:eastAsia="Arial" w:hAnsi="Arial"/>
                <w:sz w:val="16"/>
                <w:szCs w:val="16"/>
                <w:b w:val="1"/>
                <w:bCs w:val="1"/>
                <w:color w:val="auto"/>
              </w:rPr>
              <w:t>2026</w:t>
            </w:r>
          </w:p>
        </w:tc>
        <w:tc>
          <w:tcPr>
            <w:tcW w:w="1740" w:type="dxa"/>
            <w:vAlign w:val="bottom"/>
            <w:tcBorders>
              <w:bottom w:val="single" w:sz="8" w:color="auto"/>
            </w:tcBorders>
          </w:tcPr>
          <w:p>
            <w:pPr>
              <w:jc w:val="right"/>
              <w:ind w:right="799"/>
              <w:spacing w:after="0" w:line="183" w:lineRule="exact"/>
              <w:rPr>
                <w:sz w:val="20"/>
                <w:szCs w:val="20"/>
                <w:color w:val="auto"/>
              </w:rPr>
            </w:pPr>
            <w:r>
              <w:rPr>
                <w:rFonts w:ascii="Arial" w:cs="Arial" w:eastAsia="Arial" w:hAnsi="Arial"/>
                <w:sz w:val="16"/>
                <w:szCs w:val="16"/>
                <w:b w:val="1"/>
                <w:bCs w:val="1"/>
                <w:color w:val="auto"/>
              </w:rPr>
              <w:t>2025</w:t>
            </w:r>
          </w:p>
        </w:tc>
      </w:tr>
      <w:tr>
        <w:trPr>
          <w:trHeight w:val="183"/>
        </w:trPr>
        <w:tc>
          <w:tcPr>
            <w:tcW w:w="7180" w:type="dxa"/>
            <w:vAlign w:val="bottom"/>
            <w:shd w:val="clear" w:color="auto" w:fill="CFF0FC"/>
          </w:tcPr>
          <w:p>
            <w:pPr>
              <w:spacing w:after="0" w:line="183" w:lineRule="exact"/>
              <w:rPr>
                <w:sz w:val="20"/>
                <w:szCs w:val="20"/>
                <w:color w:val="auto"/>
              </w:rPr>
            </w:pPr>
            <w:r>
              <w:rPr>
                <w:rFonts w:ascii="Arial" w:cs="Arial" w:eastAsia="Arial" w:hAnsi="Arial"/>
                <w:sz w:val="16"/>
                <w:szCs w:val="16"/>
                <w:color w:val="auto"/>
              </w:rPr>
              <w:t>Stock options to purchase common stock</w:t>
            </w:r>
          </w:p>
        </w:tc>
        <w:tc>
          <w:tcPr>
            <w:tcW w:w="2320" w:type="dxa"/>
            <w:vAlign w:val="bottom"/>
            <w:shd w:val="clear" w:color="auto" w:fill="CFF0FC"/>
          </w:tcPr>
          <w:p>
            <w:pPr>
              <w:jc w:val="right"/>
              <w:ind w:right="419"/>
              <w:spacing w:after="0" w:line="183" w:lineRule="exact"/>
              <w:rPr>
                <w:sz w:val="20"/>
                <w:szCs w:val="20"/>
                <w:color w:val="auto"/>
              </w:rPr>
            </w:pPr>
            <w:r>
              <w:rPr>
                <w:rFonts w:ascii="Arial" w:cs="Arial" w:eastAsia="Arial" w:hAnsi="Arial"/>
                <w:sz w:val="16"/>
                <w:szCs w:val="16"/>
                <w:color w:val="auto"/>
              </w:rPr>
              <w:t>15,989,324</w:t>
            </w:r>
          </w:p>
        </w:tc>
        <w:tc>
          <w:tcPr>
            <w:tcW w:w="1740" w:type="dxa"/>
            <w:vAlign w:val="bottom"/>
            <w:shd w:val="clear" w:color="auto" w:fill="CFF0FC"/>
          </w:tcPr>
          <w:p>
            <w:pPr>
              <w:jc w:val="right"/>
              <w:ind w:right="59"/>
              <w:spacing w:after="0" w:line="183" w:lineRule="exact"/>
              <w:rPr>
                <w:sz w:val="20"/>
                <w:szCs w:val="20"/>
                <w:color w:val="auto"/>
              </w:rPr>
            </w:pPr>
            <w:r>
              <w:rPr>
                <w:rFonts w:ascii="Arial" w:cs="Arial" w:eastAsia="Arial" w:hAnsi="Arial"/>
                <w:sz w:val="16"/>
                <w:szCs w:val="16"/>
                <w:color w:val="auto"/>
              </w:rPr>
              <w:t>14,422,833</w:t>
            </w:r>
          </w:p>
        </w:tc>
      </w:tr>
      <w:tr>
        <w:trPr>
          <w:trHeight w:val="189"/>
        </w:trPr>
        <w:tc>
          <w:tcPr>
            <w:tcW w:w="718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Restricted stock units</w:t>
            </w:r>
          </w:p>
        </w:tc>
        <w:tc>
          <w:tcPr>
            <w:tcW w:w="2320" w:type="dxa"/>
            <w:vAlign w:val="bottom"/>
            <w:tcBorders>
              <w:bottom w:val="single" w:sz="8" w:color="auto"/>
            </w:tcBorders>
          </w:tcPr>
          <w:p>
            <w:pPr>
              <w:jc w:val="right"/>
              <w:ind w:right="419"/>
              <w:spacing w:after="0"/>
              <w:rPr>
                <w:sz w:val="20"/>
                <w:szCs w:val="20"/>
                <w:color w:val="auto"/>
              </w:rPr>
            </w:pPr>
            <w:r>
              <w:rPr>
                <w:rFonts w:ascii="Arial" w:cs="Arial" w:eastAsia="Arial" w:hAnsi="Arial"/>
                <w:sz w:val="16"/>
                <w:szCs w:val="16"/>
                <w:color w:val="auto"/>
              </w:rPr>
              <w:t>1,149,012</w:t>
            </w:r>
          </w:p>
        </w:tc>
        <w:tc>
          <w:tcPr>
            <w:tcW w:w="174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815,941</w:t>
            </w:r>
          </w:p>
        </w:tc>
      </w:tr>
    </w:tbl>
    <w:p>
      <w:pPr>
        <w:spacing w:after="0" w:line="30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14. Employee retirement plans</w:t>
      </w:r>
    </w:p>
    <w:p>
      <w:pPr>
        <w:spacing w:after="0" w:line="108" w:lineRule="exact"/>
        <w:rPr>
          <w:sz w:val="20"/>
          <w:szCs w:val="20"/>
          <w:color w:val="auto"/>
        </w:rPr>
      </w:pPr>
    </w:p>
    <w:p>
      <w:pPr>
        <w:ind w:right="140"/>
        <w:spacing w:after="0"/>
        <w:rPr>
          <w:sz w:val="20"/>
          <w:szCs w:val="20"/>
          <w:color w:val="auto"/>
        </w:rPr>
      </w:pPr>
      <w:r>
        <w:rPr>
          <w:rFonts w:ascii="Arial" w:cs="Arial" w:eastAsia="Arial" w:hAnsi="Arial"/>
          <w:sz w:val="18"/>
          <w:szCs w:val="18"/>
          <w:color w:val="auto"/>
        </w:rPr>
        <w:t>The Company, in compliance with Swiss Law, is contracted with the AXA Leben AG, or AXA, for the provision of pension benefits in a defined benefit plan. All benefits are organized in a semi-autonomous collective foundation within the framework of the contract with AXA. Insurance benefits due are paid directly to the entitled persons by AXA in the name of and for the account of the collective foundation. The pension plan is financed by contributions of both employees and the Company. The contract between the Company and the collective foundation can be terminated by either side. In the event of a termination, the Company would have an obligation to find alternative pension arrangements for its employees. Because there is no guarantee that the employee pension arrangements would be continued under the same conditions, there is a risk, albeit remote, that a pension obligation may fall on the Company. The pension assets are pooled for all affiliated companies; the investment of assets is done by the governing bodies of the collective foundation.</w:t>
      </w:r>
    </w:p>
    <w:p>
      <w:pPr>
        <w:spacing w:after="0" w:line="72"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pension expense incurred (in thousands):</w:t>
      </w:r>
    </w:p>
    <w:p>
      <w:pPr>
        <w:spacing w:after="0" w:line="122" w:lineRule="exact"/>
        <w:rPr>
          <w:sz w:val="20"/>
          <w:szCs w:val="20"/>
          <w:color w:val="auto"/>
        </w:rPr>
      </w:pPr>
    </w:p>
    <w:p>
      <w:pPr>
        <w:ind w:left="8620"/>
        <w:spacing w:after="0"/>
        <w:rPr>
          <w:sz w:val="20"/>
          <w:szCs w:val="20"/>
          <w:color w:val="auto"/>
        </w:rPr>
      </w:pPr>
      <w:r>
        <w:rPr>
          <w:rFonts w:ascii="Arial" w:cs="Arial" w:eastAsia="Arial" w:hAnsi="Arial"/>
          <w:sz w:val="16"/>
          <w:szCs w:val="16"/>
          <w:b w:val="1"/>
          <w:bCs w:val="1"/>
          <w:color w:val="auto"/>
        </w:rPr>
        <w:t>Three months 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-115570</wp:posOffset>
            </wp:positionV>
            <wp:extent cx="7132320" cy="825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 w:lineRule="exact"/>
        <w:rPr>
          <w:sz w:val="20"/>
          <w:szCs w:val="20"/>
          <w:color w:val="auto"/>
        </w:rPr>
      </w:pPr>
    </w:p>
    <w:p>
      <w:pPr>
        <w:ind w:left="9060"/>
        <w:spacing w:after="0"/>
        <w:rPr>
          <w:sz w:val="20"/>
          <w:szCs w:val="20"/>
          <w:color w:val="auto"/>
        </w:rPr>
      </w:pPr>
      <w:r>
        <w:rPr>
          <w:rFonts w:ascii="Arial" w:cs="Arial" w:eastAsia="Arial" w:hAnsi="Arial"/>
          <w:sz w:val="16"/>
          <w:szCs w:val="16"/>
          <w:b w:val="1"/>
          <w:bCs w:val="1"/>
          <w:color w:val="auto"/>
        </w:rPr>
        <w:t>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4916805</wp:posOffset>
            </wp:positionH>
            <wp:positionV relativeFrom="paragraph">
              <wp:posOffset>1905</wp:posOffset>
            </wp:positionV>
            <wp:extent cx="2219960" cy="88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2219960" cy="8890"/>
                    </a:xfrm>
                    <a:prstGeom prst="rect">
                      <a:avLst/>
                    </a:prstGeom>
                    <a:noFill/>
                  </pic:spPr>
                </pic:pic>
              </a:graphicData>
            </a:graphic>
          </wp:anchor>
        </w:drawing>
      </w:r>
    </w:p>
    <w:p>
      <w:pPr>
        <w:ind w:left="8340"/>
        <w:spacing w:after="0"/>
        <w:tabs>
          <w:tab w:leader="none" w:pos="10140" w:val="left"/>
        </w:tabs>
        <w:rPr>
          <w:sz w:val="20"/>
          <w:szCs w:val="20"/>
          <w:color w:val="auto"/>
        </w:rPr>
      </w:pPr>
      <w:r>
        <w:rPr>
          <w:rFonts w:ascii="Arial" w:cs="Arial" w:eastAsia="Arial" w:hAnsi="Arial"/>
          <w:sz w:val="16"/>
          <w:szCs w:val="16"/>
          <w:b w:val="1"/>
          <w:bCs w:val="1"/>
          <w:color w:val="auto"/>
        </w:rPr>
        <w:t>2026</w:t>
      </w:r>
      <w:r>
        <w:rPr>
          <w:sz w:val="20"/>
          <w:szCs w:val="20"/>
          <w:color w:val="auto"/>
        </w:rPr>
        <w:tab/>
      </w:r>
      <w:r>
        <w:rPr>
          <w:rFonts w:ascii="Arial" w:cs="Arial" w:eastAsia="Arial" w:hAnsi="Arial"/>
          <w:sz w:val="16"/>
          <w:szCs w:val="16"/>
          <w:b w:val="1"/>
          <w:bCs w:val="1"/>
          <w:color w:val="auto"/>
        </w:rPr>
        <w:t>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wp:posOffset>
            </wp:positionV>
            <wp:extent cx="7132320" cy="13716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tabs>
          <w:tab w:leader="none" w:pos="7720" w:val="left"/>
          <w:tab w:leader="none" w:pos="9000" w:val="left"/>
          <w:tab w:leader="none" w:pos="9560" w:val="left"/>
          <w:tab w:leader="none" w:pos="10820" w:val="left"/>
        </w:tabs>
        <w:rPr>
          <w:sz w:val="20"/>
          <w:szCs w:val="20"/>
          <w:color w:val="auto"/>
        </w:rPr>
      </w:pPr>
      <w:r>
        <w:rPr>
          <w:rFonts w:ascii="Arial" w:cs="Arial" w:eastAsia="Arial" w:hAnsi="Arial"/>
          <w:sz w:val="16"/>
          <w:szCs w:val="16"/>
          <w:color w:val="auto"/>
        </w:rPr>
        <w:t>Pension expense</w:t>
      </w:r>
      <w:r>
        <w:rPr>
          <w:sz w:val="20"/>
          <w:szCs w:val="20"/>
          <w:color w:val="auto"/>
        </w:rPr>
        <w:tab/>
      </w:r>
      <w:r>
        <w:rPr>
          <w:rFonts w:ascii="Arial" w:cs="Arial" w:eastAsia="Arial" w:hAnsi="Arial"/>
          <w:sz w:val="16"/>
          <w:szCs w:val="16"/>
          <w:color w:val="auto"/>
        </w:rPr>
        <w:t>$</w:t>
      </w:r>
      <w:r>
        <w:rPr>
          <w:sz w:val="20"/>
          <w:szCs w:val="20"/>
          <w:color w:val="auto"/>
        </w:rPr>
        <w:tab/>
      </w:r>
      <w:r>
        <w:rPr>
          <w:rFonts w:ascii="Arial" w:cs="Arial" w:eastAsia="Arial" w:hAnsi="Arial"/>
          <w:sz w:val="16"/>
          <w:szCs w:val="16"/>
          <w:color w:val="auto"/>
        </w:rPr>
        <w:t>350</w:t>
      </w:r>
      <w:r>
        <w:rPr>
          <w:sz w:val="20"/>
          <w:szCs w:val="20"/>
          <w:color w:val="auto"/>
        </w:rPr>
        <w:tab/>
      </w:r>
      <w:r>
        <w:rPr>
          <w:rFonts w:ascii="Arial" w:cs="Arial" w:eastAsia="Arial" w:hAnsi="Arial"/>
          <w:sz w:val="16"/>
          <w:szCs w:val="16"/>
          <w:color w:val="auto"/>
        </w:rPr>
        <w:t>$</w:t>
      </w:r>
      <w:r>
        <w:rPr>
          <w:sz w:val="20"/>
          <w:szCs w:val="20"/>
          <w:color w:val="auto"/>
        </w:rPr>
        <w:tab/>
      </w:r>
      <w:r>
        <w:rPr>
          <w:rFonts w:ascii="Arial" w:cs="Arial" w:eastAsia="Arial" w:hAnsi="Arial"/>
          <w:sz w:val="16"/>
          <w:szCs w:val="16"/>
          <w:color w:val="auto"/>
        </w:rPr>
        <w:t>388</w:t>
      </w:r>
    </w:p>
    <w:p>
      <w:pPr>
        <w:spacing w:after="0" w:line="106" w:lineRule="exact"/>
        <w:rPr>
          <w:sz w:val="20"/>
          <w:szCs w:val="20"/>
          <w:color w:val="auto"/>
        </w:rPr>
      </w:pPr>
    </w:p>
    <w:p>
      <w:pPr>
        <w:jc w:val="both"/>
        <w:ind w:right="180"/>
        <w:spacing w:after="0" w:line="253" w:lineRule="auto"/>
        <w:rPr>
          <w:sz w:val="20"/>
          <w:szCs w:val="20"/>
          <w:color w:val="auto"/>
        </w:rPr>
      </w:pPr>
      <w:r>
        <w:rPr>
          <w:rFonts w:ascii="Arial" w:cs="Arial" w:eastAsia="Arial" w:hAnsi="Arial"/>
          <w:sz w:val="18"/>
          <w:szCs w:val="18"/>
          <w:color w:val="auto"/>
        </w:rPr>
        <w:t>In February 2021, the Company adopted a defined contribution plan intended to qualify under Section 401(k) of the Internal Revenue Code covering all eligible U.S. based employees of the Company. All employees are eligible to become participants of the plan immediately upon hire. Each active employee may elect, voluntarily, to contribute a percentage of</w:t>
      </w:r>
    </w:p>
    <w:p>
      <w:pPr>
        <w:spacing w:after="0" w:line="2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20" w:right="339" w:bottom="1440" w:gutter="0" w:footer="0" w:header="0"/>
        </w:sectPr>
      </w:pPr>
    </w:p>
    <w:bookmarkStart w:id="21" w:name="page22"/>
    <w:bookmarkEnd w:id="21"/>
    <w:p>
      <w:pPr>
        <w:ind w:right="140"/>
        <w:spacing w:after="0" w:line="242" w:lineRule="auto"/>
        <w:rPr>
          <w:sz w:val="20"/>
          <w:szCs w:val="20"/>
          <w:color w:val="auto"/>
        </w:rPr>
      </w:pPr>
      <w:r>
        <w:rPr>
          <w:rFonts w:ascii="Arial" w:cs="Arial" w:eastAsia="Arial" w:hAnsi="Arial"/>
          <w:sz w:val="18"/>
          <w:szCs w:val="18"/>
          <w:color w:val="auto"/>
        </w:rPr>
        <w:t>their compensation to the plan each year, subject to certain limitations. The Company reserves the right, but is not obligated, to make additional contributions to this plan. The Company makes safe-harbor match contributions of 100% of the first 4% of each participant’s eligible compensation. In January 2024, the Company adopted a defined contribution supplemental pension plan for eligible Swiss based employees defined by Swiss Law Art.1e BVV 2, or the 1e Plan. Employees earning above a defined threshold are eligible and automatically enrolled in the 1e Plan and required contributions are determined by age and salary under Swiss Law. The Company and the employee share the costs of the 1e Plan.</w:t>
      </w:r>
    </w:p>
    <w:p>
      <w:pPr>
        <w:spacing w:after="0" w:line="7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defined contribution expenses incurred (in thousands):</w:t>
      </w:r>
    </w:p>
    <w:p>
      <w:pPr>
        <w:spacing w:after="0" w:line="122" w:lineRule="exact"/>
        <w:rPr>
          <w:sz w:val="20"/>
          <w:szCs w:val="20"/>
          <w:color w:val="auto"/>
        </w:rPr>
      </w:pPr>
    </w:p>
    <w:p>
      <w:pPr>
        <w:ind w:left="8620"/>
        <w:spacing w:after="0"/>
        <w:rPr>
          <w:sz w:val="20"/>
          <w:szCs w:val="20"/>
          <w:color w:val="auto"/>
        </w:rPr>
      </w:pPr>
      <w:r>
        <w:rPr>
          <w:rFonts w:ascii="Arial" w:cs="Arial" w:eastAsia="Arial" w:hAnsi="Arial"/>
          <w:sz w:val="16"/>
          <w:szCs w:val="16"/>
          <w:b w:val="1"/>
          <w:bCs w:val="1"/>
          <w:color w:val="auto"/>
        </w:rPr>
        <w:t>Three months 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-115570</wp:posOffset>
            </wp:positionV>
            <wp:extent cx="7132320" cy="88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1" w:lineRule="exact"/>
        <w:rPr>
          <w:sz w:val="20"/>
          <w:szCs w:val="20"/>
          <w:color w:val="auto"/>
        </w:rPr>
      </w:pPr>
    </w:p>
    <w:p>
      <w:pPr>
        <w:ind w:left="9060"/>
        <w:spacing w:after="0"/>
        <w:rPr>
          <w:sz w:val="20"/>
          <w:szCs w:val="20"/>
          <w:color w:val="auto"/>
        </w:rPr>
      </w:pPr>
      <w:r>
        <w:rPr>
          <w:rFonts w:ascii="Arial" w:cs="Arial" w:eastAsia="Arial" w:hAnsi="Arial"/>
          <w:sz w:val="16"/>
          <w:szCs w:val="16"/>
          <w:b w:val="1"/>
          <w:bCs w:val="1"/>
          <w:color w:val="auto"/>
        </w:rPr>
        <w:t>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4916805</wp:posOffset>
            </wp:positionH>
            <wp:positionV relativeFrom="paragraph">
              <wp:posOffset>1905</wp:posOffset>
            </wp:positionV>
            <wp:extent cx="2219960" cy="825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2219960" cy="8255"/>
                    </a:xfrm>
                    <a:prstGeom prst="rect">
                      <a:avLst/>
                    </a:prstGeom>
                    <a:noFill/>
                  </pic:spPr>
                </pic:pic>
              </a:graphicData>
            </a:graphic>
          </wp:anchor>
        </w:drawing>
      </w:r>
    </w:p>
    <w:p>
      <w:pPr>
        <w:ind w:left="8340"/>
        <w:spacing w:after="0"/>
        <w:tabs>
          <w:tab w:leader="none" w:pos="10140" w:val="left"/>
        </w:tabs>
        <w:rPr>
          <w:sz w:val="20"/>
          <w:szCs w:val="20"/>
          <w:color w:val="auto"/>
        </w:rPr>
      </w:pPr>
      <w:r>
        <w:rPr>
          <w:rFonts w:ascii="Arial" w:cs="Arial" w:eastAsia="Arial" w:hAnsi="Arial"/>
          <w:sz w:val="16"/>
          <w:szCs w:val="16"/>
          <w:b w:val="1"/>
          <w:bCs w:val="1"/>
          <w:color w:val="auto"/>
        </w:rPr>
        <w:t>2026</w:t>
      </w:r>
      <w:r>
        <w:rPr>
          <w:sz w:val="20"/>
          <w:szCs w:val="20"/>
          <w:color w:val="auto"/>
        </w:rPr>
        <w:tab/>
      </w:r>
      <w:r>
        <w:rPr>
          <w:rFonts w:ascii="Arial" w:cs="Arial" w:eastAsia="Arial" w:hAnsi="Arial"/>
          <w:sz w:val="16"/>
          <w:szCs w:val="16"/>
          <w:b w:val="1"/>
          <w:bCs w:val="1"/>
          <w:color w:val="auto"/>
        </w:rPr>
        <w:t>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wp:posOffset>
            </wp:positionV>
            <wp:extent cx="7132320" cy="13716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tabs>
          <w:tab w:leader="none" w:pos="7720" w:val="left"/>
          <w:tab w:leader="none" w:pos="9000" w:val="left"/>
          <w:tab w:leader="none" w:pos="9560" w:val="left"/>
          <w:tab w:leader="none" w:pos="10820" w:val="left"/>
        </w:tabs>
        <w:rPr>
          <w:sz w:val="20"/>
          <w:szCs w:val="20"/>
          <w:color w:val="auto"/>
        </w:rPr>
      </w:pPr>
      <w:r>
        <w:rPr>
          <w:rFonts w:ascii="Arial" w:cs="Arial" w:eastAsia="Arial" w:hAnsi="Arial"/>
          <w:sz w:val="16"/>
          <w:szCs w:val="16"/>
          <w:color w:val="auto"/>
        </w:rPr>
        <w:t>Defined contribution expense</w:t>
      </w:r>
      <w:r>
        <w:rPr>
          <w:sz w:val="20"/>
          <w:szCs w:val="20"/>
          <w:color w:val="auto"/>
        </w:rPr>
        <w:tab/>
      </w:r>
      <w:r>
        <w:rPr>
          <w:rFonts w:ascii="Arial" w:cs="Arial" w:eastAsia="Arial" w:hAnsi="Arial"/>
          <w:sz w:val="16"/>
          <w:szCs w:val="16"/>
          <w:color w:val="auto"/>
        </w:rPr>
        <w:t>$</w:t>
      </w:r>
      <w:r>
        <w:rPr>
          <w:sz w:val="20"/>
          <w:szCs w:val="20"/>
          <w:color w:val="auto"/>
        </w:rPr>
        <w:tab/>
      </w:r>
      <w:r>
        <w:rPr>
          <w:rFonts w:ascii="Arial" w:cs="Arial" w:eastAsia="Arial" w:hAnsi="Arial"/>
          <w:sz w:val="16"/>
          <w:szCs w:val="16"/>
          <w:color w:val="auto"/>
        </w:rPr>
        <w:t>478</w:t>
      </w:r>
      <w:r>
        <w:rPr>
          <w:sz w:val="20"/>
          <w:szCs w:val="20"/>
          <w:color w:val="auto"/>
        </w:rPr>
        <w:tab/>
      </w:r>
      <w:r>
        <w:rPr>
          <w:rFonts w:ascii="Arial" w:cs="Arial" w:eastAsia="Arial" w:hAnsi="Arial"/>
          <w:sz w:val="16"/>
          <w:szCs w:val="16"/>
          <w:color w:val="auto"/>
        </w:rPr>
        <w:t>$</w:t>
      </w:r>
      <w:r>
        <w:rPr>
          <w:sz w:val="20"/>
          <w:szCs w:val="20"/>
          <w:color w:val="auto"/>
        </w:rPr>
        <w:tab/>
      </w:r>
      <w:r>
        <w:rPr>
          <w:rFonts w:ascii="Arial" w:cs="Arial" w:eastAsia="Arial" w:hAnsi="Arial"/>
          <w:sz w:val="16"/>
          <w:szCs w:val="16"/>
          <w:color w:val="auto"/>
        </w:rPr>
        <w:t>409</w:t>
      </w:r>
    </w:p>
    <w:p>
      <w:pPr>
        <w:spacing w:after="0" w:line="36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15. Segment data</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color w:val="auto"/>
        </w:rPr>
        <w:t>The Company defines its segments based on the way in which internally reported financial information is regularly reviewed by the chief operating decision maker, or CODM, to analyze financial performance, make decisions, and allocate resources. The Company manages its operations as a single operating and reportable segment committed to developing a portfolio of novel and proprietary MGDs. MGDs are small molecule drugs that employ the body’s natural protein destruction mechanisms to selectively degrade therapeutically-relevant proteins. As the internal reporting is based on the consolidated results, the Company has identified one operating and reportable segment. The CODM uses net (loss) income in the budget and forecasting process and considers budget-to-actual variances on a quarterly basis when making decisions about the allocation of operating and capital resources. The measure of the operating segment assets is reported on the condensed consolidated balance sheet as total assets.</w:t>
      </w:r>
    </w:p>
    <w:p>
      <w:pPr>
        <w:spacing w:after="0" w:line="72" w:lineRule="exact"/>
        <w:rPr>
          <w:sz w:val="20"/>
          <w:szCs w:val="20"/>
          <w:color w:val="auto"/>
        </w:rPr>
      </w:pPr>
    </w:p>
    <w:p>
      <w:pPr>
        <w:ind w:right="320"/>
        <w:spacing w:after="0" w:line="253" w:lineRule="auto"/>
        <w:rPr>
          <w:sz w:val="20"/>
          <w:szCs w:val="20"/>
          <w:color w:val="auto"/>
        </w:rPr>
      </w:pPr>
      <w:r>
        <w:rPr>
          <w:rFonts w:ascii="Arial" w:cs="Arial" w:eastAsia="Arial" w:hAnsi="Arial"/>
          <w:sz w:val="18"/>
          <w:szCs w:val="18"/>
          <w:color w:val="auto"/>
        </w:rPr>
        <w:t>The accounting policies used in the segment reporting are the same as those described in the summary of significant accounting policies. (See Note 2 in our annual report on Form 10-K for the year ended December 31, 2025.) The Company’s CODM is the Chief Executive Officer.</w:t>
      </w:r>
    </w:p>
    <w:p>
      <w:pPr>
        <w:spacing w:after="0" w:line="61" w:lineRule="exact"/>
        <w:rPr>
          <w:sz w:val="20"/>
          <w:szCs w:val="20"/>
          <w:color w:val="auto"/>
        </w:rPr>
      </w:pPr>
    </w:p>
    <w:p>
      <w:pPr>
        <w:ind w:right="200"/>
        <w:spacing w:after="0" w:line="271" w:lineRule="auto"/>
        <w:rPr>
          <w:sz w:val="20"/>
          <w:szCs w:val="20"/>
          <w:color w:val="auto"/>
        </w:rPr>
      </w:pPr>
      <w:r>
        <w:rPr>
          <w:rFonts w:ascii="Arial" w:cs="Arial" w:eastAsia="Arial" w:hAnsi="Arial"/>
          <w:sz w:val="18"/>
          <w:szCs w:val="18"/>
          <w:color w:val="auto"/>
        </w:rPr>
        <w:t>The Company's reportable segment net revenues and (loss) income for the three months ended March 31, 2026 and 2025 consisted of the following (in thousands):</w:t>
      </w:r>
    </w:p>
    <w:p>
      <w:pPr>
        <w:spacing w:after="0" w:line="44"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5620" w:type="dxa"/>
            <w:vAlign w:val="bottom"/>
            <w:tcBorders>
              <w:top w:val="single" w:sz="8" w:color="auto"/>
            </w:tcBorders>
          </w:tcPr>
          <w:p>
            <w:pPr>
              <w:spacing w:after="0"/>
              <w:rPr>
                <w:sz w:val="17"/>
                <w:szCs w:val="17"/>
                <w:color w:val="auto"/>
              </w:rPr>
            </w:pPr>
          </w:p>
        </w:tc>
        <w:tc>
          <w:tcPr>
            <w:tcW w:w="2120" w:type="dxa"/>
            <w:vAlign w:val="bottom"/>
            <w:tcBorders>
              <w:top w:val="single" w:sz="8" w:color="auto"/>
            </w:tcBorders>
          </w:tcPr>
          <w:p>
            <w:pPr>
              <w:spacing w:after="0"/>
              <w:rPr>
                <w:sz w:val="17"/>
                <w:szCs w:val="17"/>
                <w:color w:val="auto"/>
              </w:rPr>
            </w:pPr>
          </w:p>
        </w:tc>
        <w:tc>
          <w:tcPr>
            <w:tcW w:w="2880" w:type="dxa"/>
            <w:vAlign w:val="bottom"/>
            <w:tcBorders>
              <w:top w:val="single" w:sz="8" w:color="auto"/>
              <w:bottom w:val="single" w:sz="8" w:color="auto"/>
            </w:tcBorders>
            <w:gridSpan w:val="3"/>
          </w:tcPr>
          <w:p>
            <w:pPr>
              <w:jc w:val="right"/>
              <w:spacing w:after="0"/>
              <w:rPr>
                <w:sz w:val="20"/>
                <w:szCs w:val="20"/>
                <w:color w:val="auto"/>
              </w:rPr>
            </w:pPr>
            <w:r>
              <w:rPr>
                <w:rFonts w:ascii="Arial" w:cs="Arial" w:eastAsia="Arial" w:hAnsi="Arial"/>
                <w:sz w:val="16"/>
                <w:szCs w:val="16"/>
                <w:b w:val="1"/>
                <w:bCs w:val="1"/>
                <w:color w:val="auto"/>
              </w:rPr>
              <w:t>Three months ended March 31,</w:t>
            </w:r>
          </w:p>
        </w:tc>
        <w:tc>
          <w:tcPr>
            <w:tcW w:w="620" w:type="dxa"/>
            <w:vAlign w:val="bottom"/>
            <w:tcBorders>
              <w:top w:val="single" w:sz="8" w:color="auto"/>
              <w:bottom w:val="single" w:sz="8" w:color="auto"/>
            </w:tcBorders>
          </w:tcPr>
          <w:p>
            <w:pPr>
              <w:spacing w:after="0"/>
              <w:rPr>
                <w:sz w:val="17"/>
                <w:szCs w:val="17"/>
                <w:color w:val="auto"/>
              </w:rPr>
            </w:pPr>
          </w:p>
        </w:tc>
      </w:tr>
      <w:tr>
        <w:trPr>
          <w:trHeight w:val="183"/>
        </w:trPr>
        <w:tc>
          <w:tcPr>
            <w:tcW w:w="5620" w:type="dxa"/>
            <w:vAlign w:val="bottom"/>
            <w:tcBorders>
              <w:bottom w:val="single" w:sz="8" w:color="auto"/>
            </w:tcBorders>
          </w:tcPr>
          <w:p>
            <w:pPr>
              <w:spacing w:after="0"/>
              <w:rPr>
                <w:sz w:val="15"/>
                <w:szCs w:val="15"/>
                <w:color w:val="auto"/>
              </w:rPr>
            </w:pPr>
          </w:p>
        </w:tc>
        <w:tc>
          <w:tcPr>
            <w:tcW w:w="212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6"/>
                <w:szCs w:val="16"/>
                <w:b w:val="1"/>
                <w:bCs w:val="1"/>
                <w:color w:val="auto"/>
              </w:rPr>
              <w:t>2026</w:t>
            </w:r>
          </w:p>
        </w:tc>
        <w:tc>
          <w:tcPr>
            <w:tcW w:w="74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jc w:val="right"/>
              <w:ind w:right="19"/>
              <w:spacing w:after="0" w:line="183" w:lineRule="exact"/>
              <w:rPr>
                <w:sz w:val="20"/>
                <w:szCs w:val="20"/>
                <w:color w:val="auto"/>
              </w:rPr>
            </w:pPr>
            <w:r>
              <w:rPr>
                <w:rFonts w:ascii="Arial" w:cs="Arial" w:eastAsia="Arial" w:hAnsi="Arial"/>
                <w:sz w:val="16"/>
                <w:szCs w:val="16"/>
                <w:b w:val="1"/>
                <w:bCs w:val="1"/>
                <w:color w:val="auto"/>
              </w:rPr>
              <w:t>2025</w:t>
            </w:r>
          </w:p>
        </w:tc>
        <w:tc>
          <w:tcPr>
            <w:tcW w:w="620" w:type="dxa"/>
            <w:vAlign w:val="bottom"/>
            <w:tcBorders>
              <w:bottom w:val="single" w:sz="8" w:color="auto"/>
            </w:tcBorders>
          </w:tcPr>
          <w:p>
            <w:pPr>
              <w:spacing w:after="0"/>
              <w:rPr>
                <w:sz w:val="15"/>
                <w:szCs w:val="15"/>
                <w:color w:val="auto"/>
              </w:rPr>
            </w:pPr>
          </w:p>
        </w:tc>
      </w:tr>
      <w:tr>
        <w:trPr>
          <w:trHeight w:val="183"/>
        </w:trPr>
        <w:tc>
          <w:tcPr>
            <w:tcW w:w="5620" w:type="dxa"/>
            <w:vAlign w:val="bottom"/>
          </w:tcPr>
          <w:p>
            <w:pPr>
              <w:spacing w:after="0" w:line="183" w:lineRule="exact"/>
              <w:rPr>
                <w:sz w:val="20"/>
                <w:szCs w:val="20"/>
                <w:color w:val="auto"/>
              </w:rPr>
            </w:pPr>
            <w:r>
              <w:rPr>
                <w:rFonts w:ascii="Arial" w:cs="Arial" w:eastAsia="Arial" w:hAnsi="Arial"/>
                <w:sz w:val="16"/>
                <w:szCs w:val="16"/>
                <w:b w:val="1"/>
                <w:bCs w:val="1"/>
                <w:color w:val="auto"/>
              </w:rPr>
              <w:t>Revenue:</w:t>
            </w:r>
          </w:p>
        </w:tc>
        <w:tc>
          <w:tcPr>
            <w:tcW w:w="21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620" w:type="dxa"/>
            <w:vAlign w:val="bottom"/>
          </w:tcPr>
          <w:p>
            <w:pPr>
              <w:spacing w:after="0"/>
              <w:rPr>
                <w:sz w:val="15"/>
                <w:szCs w:val="15"/>
                <w:color w:val="auto"/>
              </w:rPr>
            </w:pPr>
          </w:p>
        </w:tc>
      </w:tr>
      <w:tr>
        <w:trPr>
          <w:trHeight w:val="189"/>
        </w:trPr>
        <w:tc>
          <w:tcPr>
            <w:tcW w:w="5620" w:type="dxa"/>
            <w:vAlign w:val="bottom"/>
            <w:shd w:val="clear" w:color="auto" w:fill="CFF0FC"/>
          </w:tcPr>
          <w:p>
            <w:pPr>
              <w:spacing w:after="0"/>
              <w:rPr>
                <w:sz w:val="20"/>
                <w:szCs w:val="20"/>
                <w:color w:val="auto"/>
              </w:rPr>
            </w:pPr>
            <w:r>
              <w:rPr>
                <w:rFonts w:ascii="Arial" w:cs="Arial" w:eastAsia="Arial" w:hAnsi="Arial"/>
                <w:sz w:val="16"/>
                <w:szCs w:val="16"/>
                <w:color w:val="auto"/>
              </w:rPr>
              <w:t>Collaboration revenue</w:t>
            </w:r>
          </w:p>
        </w:tc>
        <w:tc>
          <w:tcPr>
            <w:tcW w:w="3100" w:type="dxa"/>
            <w:vAlign w:val="bottom"/>
            <w:gridSpan w:val="2"/>
            <w:shd w:val="clear" w:color="auto" w:fill="CFF0FC"/>
          </w:tcPr>
          <w:p>
            <w:pPr>
              <w:jc w:val="right"/>
              <w:ind w:right="799"/>
              <w:spacing w:after="0"/>
              <w:rPr>
                <w:sz w:val="20"/>
                <w:szCs w:val="20"/>
                <w:color w:val="auto"/>
              </w:rPr>
            </w:pPr>
            <w:r>
              <w:rPr>
                <w:rFonts w:ascii="Arial" w:cs="Arial" w:eastAsia="Arial" w:hAnsi="Arial"/>
                <w:sz w:val="16"/>
                <w:szCs w:val="16"/>
                <w:color w:val="auto"/>
              </w:rPr>
              <w:t>$</w:t>
            </w:r>
          </w:p>
        </w:tc>
        <w:tc>
          <w:tcPr>
            <w:tcW w:w="740" w:type="dxa"/>
            <w:vAlign w:val="bottom"/>
            <w:shd w:val="clear" w:color="auto" w:fill="CFF0FC"/>
          </w:tcPr>
          <w:p>
            <w:pPr>
              <w:jc w:val="right"/>
              <w:ind w:right="99"/>
              <w:spacing w:after="0"/>
              <w:rPr>
                <w:sz w:val="20"/>
                <w:szCs w:val="20"/>
                <w:color w:val="auto"/>
              </w:rPr>
            </w:pPr>
            <w:r>
              <w:rPr>
                <w:rFonts w:ascii="Arial" w:cs="Arial" w:eastAsia="Arial" w:hAnsi="Arial"/>
                <w:sz w:val="16"/>
                <w:szCs w:val="16"/>
                <w:color w:val="auto"/>
              </w:rPr>
              <w:t>4,210</w:t>
            </w:r>
          </w:p>
        </w:tc>
        <w:tc>
          <w:tcPr>
            <w:tcW w:w="1160" w:type="dxa"/>
            <w:vAlign w:val="bottom"/>
            <w:shd w:val="clear" w:color="auto" w:fill="CFF0FC"/>
          </w:tcPr>
          <w:p>
            <w:pPr>
              <w:jc w:val="right"/>
              <w:ind w:right="879"/>
              <w:spacing w:after="0"/>
              <w:rPr>
                <w:sz w:val="20"/>
                <w:szCs w:val="20"/>
                <w:color w:val="auto"/>
              </w:rPr>
            </w:pPr>
            <w:r>
              <w:rPr>
                <w:rFonts w:ascii="Arial" w:cs="Arial" w:eastAsia="Arial" w:hAnsi="Arial"/>
                <w:sz w:val="16"/>
                <w:szCs w:val="16"/>
                <w:color w:val="auto"/>
              </w:rPr>
              <w:t>$</w:t>
            </w:r>
          </w:p>
        </w:tc>
        <w:tc>
          <w:tcPr>
            <w:tcW w:w="62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w w:val="98"/>
              </w:rPr>
              <w:t>84,929</w:t>
            </w:r>
          </w:p>
        </w:tc>
      </w:tr>
      <w:tr>
        <w:trPr>
          <w:trHeight w:val="189"/>
        </w:trPr>
        <w:tc>
          <w:tcPr>
            <w:tcW w:w="5620" w:type="dxa"/>
            <w:vAlign w:val="bottom"/>
          </w:tcPr>
          <w:p>
            <w:pPr>
              <w:spacing w:after="0"/>
              <w:rPr>
                <w:sz w:val="20"/>
                <w:szCs w:val="20"/>
                <w:color w:val="auto"/>
              </w:rPr>
            </w:pPr>
            <w:r>
              <w:rPr>
                <w:rFonts w:ascii="Arial" w:cs="Arial" w:eastAsia="Arial" w:hAnsi="Arial"/>
                <w:sz w:val="16"/>
                <w:szCs w:val="16"/>
                <w:b w:val="1"/>
                <w:bCs w:val="1"/>
                <w:color w:val="auto"/>
              </w:rPr>
              <w:t>Operating expense:</w:t>
            </w:r>
          </w:p>
        </w:tc>
        <w:tc>
          <w:tcPr>
            <w:tcW w:w="21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620" w:type="dxa"/>
            <w:vAlign w:val="bottom"/>
          </w:tcPr>
          <w:p>
            <w:pPr>
              <w:spacing w:after="0"/>
              <w:rPr>
                <w:sz w:val="16"/>
                <w:szCs w:val="16"/>
                <w:color w:val="auto"/>
              </w:rPr>
            </w:pPr>
          </w:p>
        </w:tc>
      </w:tr>
      <w:tr>
        <w:trPr>
          <w:trHeight w:val="189"/>
        </w:trPr>
        <w:tc>
          <w:tcPr>
            <w:tcW w:w="5620" w:type="dxa"/>
            <w:vAlign w:val="bottom"/>
            <w:shd w:val="clear" w:color="auto" w:fill="CFF0FC"/>
          </w:tcPr>
          <w:p>
            <w:pPr>
              <w:ind w:left="80"/>
              <w:spacing w:after="0"/>
              <w:rPr>
                <w:sz w:val="20"/>
                <w:szCs w:val="20"/>
                <w:color w:val="auto"/>
              </w:rPr>
            </w:pPr>
            <w:r>
              <w:rPr>
                <w:rFonts w:ascii="Arial" w:cs="Arial" w:eastAsia="Arial" w:hAnsi="Arial"/>
                <w:sz w:val="16"/>
                <w:szCs w:val="16"/>
                <w:color w:val="auto"/>
              </w:rPr>
              <w:t>Research and development:</w:t>
            </w:r>
          </w:p>
        </w:tc>
        <w:tc>
          <w:tcPr>
            <w:tcW w:w="2120" w:type="dxa"/>
            <w:vAlign w:val="bottom"/>
            <w:shd w:val="clear" w:color="auto" w:fill="CFF0FC"/>
          </w:tcPr>
          <w:p>
            <w:pPr>
              <w:spacing w:after="0"/>
              <w:rPr>
                <w:sz w:val="16"/>
                <w:szCs w:val="16"/>
                <w:color w:val="auto"/>
              </w:rPr>
            </w:pPr>
          </w:p>
        </w:tc>
        <w:tc>
          <w:tcPr>
            <w:tcW w:w="980" w:type="dxa"/>
            <w:vAlign w:val="bottom"/>
            <w:shd w:val="clear" w:color="auto" w:fill="CFF0FC"/>
          </w:tcPr>
          <w:p>
            <w:pPr>
              <w:spacing w:after="0"/>
              <w:rPr>
                <w:sz w:val="16"/>
                <w:szCs w:val="16"/>
                <w:color w:val="auto"/>
              </w:rPr>
            </w:pPr>
          </w:p>
        </w:tc>
        <w:tc>
          <w:tcPr>
            <w:tcW w:w="740" w:type="dxa"/>
            <w:vAlign w:val="bottom"/>
            <w:shd w:val="clear" w:color="auto" w:fill="CFF0FC"/>
          </w:tcPr>
          <w:p>
            <w:pPr>
              <w:spacing w:after="0"/>
              <w:rPr>
                <w:sz w:val="16"/>
                <w:szCs w:val="16"/>
                <w:color w:val="auto"/>
              </w:rPr>
            </w:pPr>
          </w:p>
        </w:tc>
        <w:tc>
          <w:tcPr>
            <w:tcW w:w="1160" w:type="dxa"/>
            <w:vAlign w:val="bottom"/>
            <w:shd w:val="clear" w:color="auto" w:fill="CFF0FC"/>
          </w:tcPr>
          <w:p>
            <w:pPr>
              <w:spacing w:after="0"/>
              <w:rPr>
                <w:sz w:val="16"/>
                <w:szCs w:val="16"/>
                <w:color w:val="auto"/>
              </w:rPr>
            </w:pPr>
          </w:p>
        </w:tc>
        <w:tc>
          <w:tcPr>
            <w:tcW w:w="620" w:type="dxa"/>
            <w:vAlign w:val="bottom"/>
            <w:shd w:val="clear" w:color="auto" w:fill="CFF0FC"/>
          </w:tcPr>
          <w:p>
            <w:pPr>
              <w:spacing w:after="0"/>
              <w:rPr>
                <w:sz w:val="16"/>
                <w:szCs w:val="16"/>
                <w:color w:val="auto"/>
              </w:rPr>
            </w:pPr>
          </w:p>
        </w:tc>
      </w:tr>
      <w:tr>
        <w:trPr>
          <w:trHeight w:val="189"/>
        </w:trPr>
        <w:tc>
          <w:tcPr>
            <w:tcW w:w="5620" w:type="dxa"/>
            <w:vAlign w:val="bottom"/>
          </w:tcPr>
          <w:p>
            <w:pPr>
              <w:ind w:left="140"/>
              <w:spacing w:after="0"/>
              <w:rPr>
                <w:sz w:val="20"/>
                <w:szCs w:val="20"/>
                <w:color w:val="auto"/>
              </w:rPr>
            </w:pPr>
            <w:r>
              <w:rPr>
                <w:rFonts w:ascii="Arial" w:cs="Arial" w:eastAsia="Arial" w:hAnsi="Arial"/>
                <w:sz w:val="16"/>
                <w:szCs w:val="16"/>
                <w:color w:val="auto"/>
              </w:rPr>
              <w:t>External research and development expenses:</w:t>
            </w:r>
          </w:p>
        </w:tc>
        <w:tc>
          <w:tcPr>
            <w:tcW w:w="21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620" w:type="dxa"/>
            <w:vAlign w:val="bottom"/>
          </w:tcPr>
          <w:p>
            <w:pPr>
              <w:spacing w:after="0"/>
              <w:rPr>
                <w:sz w:val="16"/>
                <w:szCs w:val="16"/>
                <w:color w:val="auto"/>
              </w:rPr>
            </w:pPr>
          </w:p>
        </w:tc>
      </w:tr>
      <w:tr>
        <w:trPr>
          <w:trHeight w:val="189"/>
        </w:trPr>
        <w:tc>
          <w:tcPr>
            <w:tcW w:w="5620" w:type="dxa"/>
            <w:vAlign w:val="bottom"/>
            <w:shd w:val="clear" w:color="auto" w:fill="CFF0FC"/>
          </w:tcPr>
          <w:p>
            <w:pPr>
              <w:ind w:left="220"/>
              <w:spacing w:after="0"/>
              <w:rPr>
                <w:sz w:val="20"/>
                <w:szCs w:val="20"/>
                <w:color w:val="auto"/>
              </w:rPr>
            </w:pPr>
            <w:r>
              <w:rPr>
                <w:rFonts w:ascii="Arial" w:cs="Arial" w:eastAsia="Arial" w:hAnsi="Arial"/>
                <w:sz w:val="16"/>
                <w:szCs w:val="16"/>
                <w:color w:val="auto"/>
              </w:rPr>
              <w:t>MRT-2359</w:t>
            </w:r>
          </w:p>
        </w:tc>
        <w:tc>
          <w:tcPr>
            <w:tcW w:w="2120" w:type="dxa"/>
            <w:vAlign w:val="bottom"/>
            <w:shd w:val="clear" w:color="auto" w:fill="CFF0FC"/>
          </w:tcPr>
          <w:p>
            <w:pPr>
              <w:spacing w:after="0"/>
              <w:rPr>
                <w:sz w:val="16"/>
                <w:szCs w:val="16"/>
                <w:color w:val="auto"/>
              </w:rPr>
            </w:pPr>
          </w:p>
        </w:tc>
        <w:tc>
          <w:tcPr>
            <w:tcW w:w="980" w:type="dxa"/>
            <w:vAlign w:val="bottom"/>
            <w:shd w:val="clear" w:color="auto" w:fill="CFF0FC"/>
          </w:tcPr>
          <w:p>
            <w:pPr>
              <w:spacing w:after="0"/>
              <w:rPr>
                <w:sz w:val="16"/>
                <w:szCs w:val="16"/>
                <w:color w:val="auto"/>
              </w:rPr>
            </w:pPr>
          </w:p>
        </w:tc>
        <w:tc>
          <w:tcPr>
            <w:tcW w:w="740" w:type="dxa"/>
            <w:vAlign w:val="bottom"/>
            <w:shd w:val="clear" w:color="auto" w:fill="CFF0FC"/>
          </w:tcPr>
          <w:p>
            <w:pPr>
              <w:jc w:val="right"/>
              <w:ind w:right="99"/>
              <w:spacing w:after="0"/>
              <w:rPr>
                <w:sz w:val="20"/>
                <w:szCs w:val="20"/>
                <w:color w:val="auto"/>
              </w:rPr>
            </w:pPr>
            <w:r>
              <w:rPr>
                <w:rFonts w:ascii="Arial" w:cs="Arial" w:eastAsia="Arial" w:hAnsi="Arial"/>
                <w:sz w:val="16"/>
                <w:szCs w:val="16"/>
                <w:color w:val="auto"/>
              </w:rPr>
              <w:t>2,381</w:t>
            </w:r>
          </w:p>
        </w:tc>
        <w:tc>
          <w:tcPr>
            <w:tcW w:w="1160" w:type="dxa"/>
            <w:vAlign w:val="bottom"/>
            <w:shd w:val="clear" w:color="auto" w:fill="CFF0FC"/>
          </w:tcPr>
          <w:p>
            <w:pPr>
              <w:spacing w:after="0"/>
              <w:rPr>
                <w:sz w:val="16"/>
                <w:szCs w:val="16"/>
                <w:color w:val="auto"/>
              </w:rPr>
            </w:pPr>
          </w:p>
        </w:tc>
        <w:tc>
          <w:tcPr>
            <w:tcW w:w="62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1,945</w:t>
            </w:r>
          </w:p>
        </w:tc>
      </w:tr>
      <w:tr>
        <w:trPr>
          <w:trHeight w:val="189"/>
        </w:trPr>
        <w:tc>
          <w:tcPr>
            <w:tcW w:w="5620" w:type="dxa"/>
            <w:vAlign w:val="bottom"/>
          </w:tcPr>
          <w:p>
            <w:pPr>
              <w:ind w:left="220"/>
              <w:spacing w:after="0"/>
              <w:rPr>
                <w:sz w:val="20"/>
                <w:szCs w:val="20"/>
                <w:color w:val="auto"/>
              </w:rPr>
            </w:pPr>
            <w:r>
              <w:rPr>
                <w:rFonts w:ascii="Arial" w:cs="Arial" w:eastAsia="Arial" w:hAnsi="Arial"/>
                <w:sz w:val="16"/>
                <w:szCs w:val="16"/>
                <w:color w:val="auto"/>
              </w:rPr>
              <w:t>MRT-6160</w:t>
            </w:r>
          </w:p>
        </w:tc>
        <w:tc>
          <w:tcPr>
            <w:tcW w:w="21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740" w:type="dxa"/>
            <w:vAlign w:val="bottom"/>
          </w:tcPr>
          <w:p>
            <w:pPr>
              <w:jc w:val="right"/>
              <w:ind w:right="99"/>
              <w:spacing w:after="0"/>
              <w:rPr>
                <w:sz w:val="20"/>
                <w:szCs w:val="20"/>
                <w:color w:val="auto"/>
              </w:rPr>
            </w:pPr>
            <w:r>
              <w:rPr>
                <w:rFonts w:ascii="Arial" w:cs="Arial" w:eastAsia="Arial" w:hAnsi="Arial"/>
                <w:sz w:val="16"/>
                <w:szCs w:val="16"/>
                <w:color w:val="auto"/>
              </w:rPr>
              <w:t>11</w:t>
            </w:r>
          </w:p>
        </w:tc>
        <w:tc>
          <w:tcPr>
            <w:tcW w:w="1160" w:type="dxa"/>
            <w:vAlign w:val="bottom"/>
          </w:tcPr>
          <w:p>
            <w:pPr>
              <w:spacing w:after="0"/>
              <w:rPr>
                <w:sz w:val="16"/>
                <w:szCs w:val="16"/>
                <w:color w:val="auto"/>
              </w:rPr>
            </w:pPr>
          </w:p>
        </w:tc>
        <w:tc>
          <w:tcPr>
            <w:tcW w:w="620" w:type="dxa"/>
            <w:vAlign w:val="bottom"/>
          </w:tcPr>
          <w:p>
            <w:pPr>
              <w:jc w:val="right"/>
              <w:ind w:right="39"/>
              <w:spacing w:after="0"/>
              <w:rPr>
                <w:sz w:val="20"/>
                <w:szCs w:val="20"/>
                <w:color w:val="auto"/>
              </w:rPr>
            </w:pPr>
            <w:r>
              <w:rPr>
                <w:rFonts w:ascii="Arial" w:cs="Arial" w:eastAsia="Arial" w:hAnsi="Arial"/>
                <w:sz w:val="16"/>
                <w:szCs w:val="16"/>
                <w:color w:val="auto"/>
              </w:rPr>
              <w:t>3,981</w:t>
            </w:r>
          </w:p>
        </w:tc>
      </w:tr>
      <w:tr>
        <w:trPr>
          <w:trHeight w:val="189"/>
        </w:trPr>
        <w:tc>
          <w:tcPr>
            <w:tcW w:w="5620" w:type="dxa"/>
            <w:vAlign w:val="bottom"/>
            <w:shd w:val="clear" w:color="auto" w:fill="CFF0FC"/>
          </w:tcPr>
          <w:p>
            <w:pPr>
              <w:ind w:left="220"/>
              <w:spacing w:after="0"/>
              <w:rPr>
                <w:sz w:val="20"/>
                <w:szCs w:val="20"/>
                <w:color w:val="auto"/>
              </w:rPr>
            </w:pPr>
            <w:r>
              <w:rPr>
                <w:rFonts w:ascii="Arial" w:cs="Arial" w:eastAsia="Arial" w:hAnsi="Arial"/>
                <w:sz w:val="16"/>
                <w:szCs w:val="16"/>
                <w:color w:val="auto"/>
              </w:rPr>
              <w:t>MRT-8102</w:t>
            </w:r>
          </w:p>
        </w:tc>
        <w:tc>
          <w:tcPr>
            <w:tcW w:w="2120" w:type="dxa"/>
            <w:vAlign w:val="bottom"/>
            <w:shd w:val="clear" w:color="auto" w:fill="CFF0FC"/>
          </w:tcPr>
          <w:p>
            <w:pPr>
              <w:spacing w:after="0"/>
              <w:rPr>
                <w:sz w:val="16"/>
                <w:szCs w:val="16"/>
                <w:color w:val="auto"/>
              </w:rPr>
            </w:pPr>
          </w:p>
        </w:tc>
        <w:tc>
          <w:tcPr>
            <w:tcW w:w="980" w:type="dxa"/>
            <w:vAlign w:val="bottom"/>
            <w:shd w:val="clear" w:color="auto" w:fill="CFF0FC"/>
          </w:tcPr>
          <w:p>
            <w:pPr>
              <w:spacing w:after="0"/>
              <w:rPr>
                <w:sz w:val="16"/>
                <w:szCs w:val="16"/>
                <w:color w:val="auto"/>
              </w:rPr>
            </w:pPr>
          </w:p>
        </w:tc>
        <w:tc>
          <w:tcPr>
            <w:tcW w:w="740" w:type="dxa"/>
            <w:vAlign w:val="bottom"/>
            <w:shd w:val="clear" w:color="auto" w:fill="CFF0FC"/>
          </w:tcPr>
          <w:p>
            <w:pPr>
              <w:jc w:val="right"/>
              <w:ind w:right="99"/>
              <w:spacing w:after="0"/>
              <w:rPr>
                <w:sz w:val="20"/>
                <w:szCs w:val="20"/>
                <w:color w:val="auto"/>
              </w:rPr>
            </w:pPr>
            <w:r>
              <w:rPr>
                <w:rFonts w:ascii="Arial" w:cs="Arial" w:eastAsia="Arial" w:hAnsi="Arial"/>
                <w:sz w:val="16"/>
                <w:szCs w:val="16"/>
                <w:color w:val="auto"/>
              </w:rPr>
              <w:t>6,781</w:t>
            </w:r>
          </w:p>
        </w:tc>
        <w:tc>
          <w:tcPr>
            <w:tcW w:w="1160" w:type="dxa"/>
            <w:vAlign w:val="bottom"/>
            <w:shd w:val="clear" w:color="auto" w:fill="CFF0FC"/>
          </w:tcPr>
          <w:p>
            <w:pPr>
              <w:spacing w:after="0"/>
              <w:rPr>
                <w:sz w:val="16"/>
                <w:szCs w:val="16"/>
                <w:color w:val="auto"/>
              </w:rPr>
            </w:pPr>
          </w:p>
        </w:tc>
        <w:tc>
          <w:tcPr>
            <w:tcW w:w="62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1,882</w:t>
            </w:r>
          </w:p>
        </w:tc>
      </w:tr>
      <w:tr>
        <w:trPr>
          <w:trHeight w:val="189"/>
        </w:trPr>
        <w:tc>
          <w:tcPr>
            <w:tcW w:w="5620" w:type="dxa"/>
            <w:vAlign w:val="bottom"/>
          </w:tcPr>
          <w:p>
            <w:pPr>
              <w:ind w:left="220"/>
              <w:spacing w:after="0"/>
              <w:rPr>
                <w:sz w:val="20"/>
                <w:szCs w:val="20"/>
                <w:color w:val="auto"/>
              </w:rPr>
            </w:pPr>
            <w:r>
              <w:rPr>
                <w:rFonts w:ascii="Arial" w:cs="Arial" w:eastAsia="Arial" w:hAnsi="Arial"/>
                <w:sz w:val="16"/>
                <w:szCs w:val="16"/>
                <w:color w:val="auto"/>
              </w:rPr>
              <w:t>CCNE1</w:t>
            </w:r>
          </w:p>
        </w:tc>
        <w:tc>
          <w:tcPr>
            <w:tcW w:w="21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740" w:type="dxa"/>
            <w:vAlign w:val="bottom"/>
          </w:tcPr>
          <w:p>
            <w:pPr>
              <w:jc w:val="right"/>
              <w:ind w:right="99"/>
              <w:spacing w:after="0"/>
              <w:rPr>
                <w:sz w:val="20"/>
                <w:szCs w:val="20"/>
                <w:color w:val="auto"/>
              </w:rPr>
            </w:pPr>
            <w:r>
              <w:rPr>
                <w:rFonts w:ascii="Arial" w:cs="Arial" w:eastAsia="Arial" w:hAnsi="Arial"/>
                <w:sz w:val="16"/>
                <w:szCs w:val="16"/>
                <w:color w:val="auto"/>
              </w:rPr>
              <w:t>1,703</w:t>
            </w:r>
          </w:p>
        </w:tc>
        <w:tc>
          <w:tcPr>
            <w:tcW w:w="1160" w:type="dxa"/>
            <w:vAlign w:val="bottom"/>
          </w:tcPr>
          <w:p>
            <w:pPr>
              <w:spacing w:after="0"/>
              <w:rPr>
                <w:sz w:val="16"/>
                <w:szCs w:val="16"/>
                <w:color w:val="auto"/>
              </w:rPr>
            </w:pPr>
          </w:p>
        </w:tc>
        <w:tc>
          <w:tcPr>
            <w:tcW w:w="620" w:type="dxa"/>
            <w:vAlign w:val="bottom"/>
          </w:tcPr>
          <w:p>
            <w:pPr>
              <w:jc w:val="right"/>
              <w:ind w:right="39"/>
              <w:spacing w:after="0"/>
              <w:rPr>
                <w:sz w:val="20"/>
                <w:szCs w:val="20"/>
                <w:color w:val="auto"/>
              </w:rPr>
            </w:pPr>
            <w:r>
              <w:rPr>
                <w:rFonts w:ascii="Arial" w:cs="Arial" w:eastAsia="Arial" w:hAnsi="Arial"/>
                <w:sz w:val="16"/>
                <w:szCs w:val="16"/>
                <w:color w:val="auto"/>
              </w:rPr>
              <w:t>762</w:t>
            </w:r>
          </w:p>
        </w:tc>
      </w:tr>
      <w:tr>
        <w:trPr>
          <w:trHeight w:val="189"/>
        </w:trPr>
        <w:tc>
          <w:tcPr>
            <w:tcW w:w="5620" w:type="dxa"/>
            <w:vAlign w:val="bottom"/>
            <w:shd w:val="clear" w:color="auto" w:fill="CFF0FC"/>
          </w:tcPr>
          <w:p>
            <w:pPr>
              <w:ind w:left="220"/>
              <w:spacing w:after="0"/>
              <w:rPr>
                <w:sz w:val="20"/>
                <w:szCs w:val="20"/>
                <w:color w:val="auto"/>
              </w:rPr>
            </w:pPr>
            <w:r>
              <w:rPr>
                <w:rFonts w:ascii="Arial" w:cs="Arial" w:eastAsia="Arial" w:hAnsi="Arial"/>
                <w:sz w:val="16"/>
                <w:szCs w:val="16"/>
                <w:color w:val="auto"/>
              </w:rPr>
              <w:t>Other development and discovery programs</w:t>
            </w:r>
          </w:p>
        </w:tc>
        <w:tc>
          <w:tcPr>
            <w:tcW w:w="2120" w:type="dxa"/>
            <w:vAlign w:val="bottom"/>
            <w:shd w:val="clear" w:color="auto" w:fill="CFF0FC"/>
          </w:tcPr>
          <w:p>
            <w:pPr>
              <w:spacing w:after="0"/>
              <w:rPr>
                <w:sz w:val="16"/>
                <w:szCs w:val="16"/>
                <w:color w:val="auto"/>
              </w:rPr>
            </w:pPr>
          </w:p>
        </w:tc>
        <w:tc>
          <w:tcPr>
            <w:tcW w:w="980" w:type="dxa"/>
            <w:vAlign w:val="bottom"/>
            <w:shd w:val="clear" w:color="auto" w:fill="CFF0FC"/>
          </w:tcPr>
          <w:p>
            <w:pPr>
              <w:spacing w:after="0"/>
              <w:rPr>
                <w:sz w:val="16"/>
                <w:szCs w:val="16"/>
                <w:color w:val="auto"/>
              </w:rPr>
            </w:pPr>
          </w:p>
        </w:tc>
        <w:tc>
          <w:tcPr>
            <w:tcW w:w="740" w:type="dxa"/>
            <w:vAlign w:val="bottom"/>
            <w:shd w:val="clear" w:color="auto" w:fill="CFF0FC"/>
          </w:tcPr>
          <w:p>
            <w:pPr>
              <w:jc w:val="right"/>
              <w:ind w:right="99"/>
              <w:spacing w:after="0"/>
              <w:rPr>
                <w:sz w:val="20"/>
                <w:szCs w:val="20"/>
                <w:color w:val="auto"/>
              </w:rPr>
            </w:pPr>
            <w:r>
              <w:rPr>
                <w:rFonts w:ascii="Arial" w:cs="Arial" w:eastAsia="Arial" w:hAnsi="Arial"/>
                <w:sz w:val="16"/>
                <w:szCs w:val="16"/>
                <w:color w:val="auto"/>
              </w:rPr>
              <w:t>9,589</w:t>
            </w:r>
          </w:p>
        </w:tc>
        <w:tc>
          <w:tcPr>
            <w:tcW w:w="1160" w:type="dxa"/>
            <w:vAlign w:val="bottom"/>
            <w:shd w:val="clear" w:color="auto" w:fill="CFF0FC"/>
          </w:tcPr>
          <w:p>
            <w:pPr>
              <w:spacing w:after="0"/>
              <w:rPr>
                <w:sz w:val="16"/>
                <w:szCs w:val="16"/>
                <w:color w:val="auto"/>
              </w:rPr>
            </w:pPr>
          </w:p>
        </w:tc>
        <w:tc>
          <w:tcPr>
            <w:tcW w:w="62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4,040</w:t>
            </w:r>
          </w:p>
        </w:tc>
      </w:tr>
      <w:tr>
        <w:trPr>
          <w:trHeight w:val="189"/>
        </w:trPr>
        <w:tc>
          <w:tcPr>
            <w:tcW w:w="5620" w:type="dxa"/>
            <w:vAlign w:val="bottom"/>
          </w:tcPr>
          <w:p>
            <w:pPr>
              <w:ind w:left="140"/>
              <w:spacing w:after="0"/>
              <w:rPr>
                <w:sz w:val="20"/>
                <w:szCs w:val="20"/>
                <w:color w:val="auto"/>
              </w:rPr>
            </w:pPr>
            <w:r>
              <w:rPr>
                <w:rFonts w:ascii="Arial" w:cs="Arial" w:eastAsia="Arial" w:hAnsi="Arial"/>
                <w:sz w:val="16"/>
                <w:szCs w:val="16"/>
                <w:color w:val="auto"/>
              </w:rPr>
              <w:t>Personnel expense</w:t>
            </w:r>
          </w:p>
        </w:tc>
        <w:tc>
          <w:tcPr>
            <w:tcW w:w="21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740" w:type="dxa"/>
            <w:vAlign w:val="bottom"/>
          </w:tcPr>
          <w:p>
            <w:pPr>
              <w:jc w:val="right"/>
              <w:ind w:right="99"/>
              <w:spacing w:after="0"/>
              <w:rPr>
                <w:sz w:val="20"/>
                <w:szCs w:val="20"/>
                <w:color w:val="auto"/>
              </w:rPr>
            </w:pPr>
            <w:r>
              <w:rPr>
                <w:rFonts w:ascii="Arial" w:cs="Arial" w:eastAsia="Arial" w:hAnsi="Arial"/>
                <w:sz w:val="16"/>
                <w:szCs w:val="16"/>
                <w:color w:val="auto"/>
              </w:rPr>
              <w:t>13,493</w:t>
            </w:r>
          </w:p>
        </w:tc>
        <w:tc>
          <w:tcPr>
            <w:tcW w:w="1160" w:type="dxa"/>
            <w:vAlign w:val="bottom"/>
          </w:tcPr>
          <w:p>
            <w:pPr>
              <w:spacing w:after="0"/>
              <w:rPr>
                <w:sz w:val="16"/>
                <w:szCs w:val="16"/>
                <w:color w:val="auto"/>
              </w:rPr>
            </w:pPr>
          </w:p>
        </w:tc>
        <w:tc>
          <w:tcPr>
            <w:tcW w:w="620" w:type="dxa"/>
            <w:vAlign w:val="bottom"/>
          </w:tcPr>
          <w:p>
            <w:pPr>
              <w:jc w:val="right"/>
              <w:ind w:right="39"/>
              <w:spacing w:after="0"/>
              <w:rPr>
                <w:sz w:val="20"/>
                <w:szCs w:val="20"/>
                <w:color w:val="auto"/>
              </w:rPr>
            </w:pPr>
            <w:r>
              <w:rPr>
                <w:rFonts w:ascii="Arial" w:cs="Arial" w:eastAsia="Arial" w:hAnsi="Arial"/>
                <w:sz w:val="16"/>
                <w:szCs w:val="16"/>
                <w:color w:val="auto"/>
                <w:w w:val="98"/>
              </w:rPr>
              <w:t>11,352</w:t>
            </w:r>
          </w:p>
        </w:tc>
      </w:tr>
      <w:tr>
        <w:trPr>
          <w:trHeight w:val="189"/>
        </w:trPr>
        <w:tc>
          <w:tcPr>
            <w:tcW w:w="5620" w:type="dxa"/>
            <w:vAlign w:val="bottom"/>
            <w:shd w:val="clear" w:color="auto" w:fill="CFF0FC"/>
          </w:tcPr>
          <w:p>
            <w:pPr>
              <w:ind w:left="140"/>
              <w:spacing w:after="0"/>
              <w:rPr>
                <w:sz w:val="20"/>
                <w:szCs w:val="20"/>
                <w:color w:val="auto"/>
              </w:rPr>
            </w:pPr>
            <w:r>
              <w:rPr>
                <w:rFonts w:ascii="Arial" w:cs="Arial" w:eastAsia="Arial" w:hAnsi="Arial"/>
                <w:sz w:val="16"/>
                <w:szCs w:val="16"/>
                <w:color w:val="auto"/>
              </w:rPr>
              <w:t>Overhead and administrative expense</w:t>
            </w:r>
          </w:p>
        </w:tc>
        <w:tc>
          <w:tcPr>
            <w:tcW w:w="2120" w:type="dxa"/>
            <w:vAlign w:val="bottom"/>
            <w:shd w:val="clear" w:color="auto" w:fill="CFF0FC"/>
          </w:tcPr>
          <w:p>
            <w:pPr>
              <w:spacing w:after="0"/>
              <w:rPr>
                <w:sz w:val="16"/>
                <w:szCs w:val="16"/>
                <w:color w:val="auto"/>
              </w:rPr>
            </w:pPr>
          </w:p>
        </w:tc>
        <w:tc>
          <w:tcPr>
            <w:tcW w:w="980" w:type="dxa"/>
            <w:vAlign w:val="bottom"/>
            <w:shd w:val="clear" w:color="auto" w:fill="CFF0FC"/>
          </w:tcPr>
          <w:p>
            <w:pPr>
              <w:spacing w:after="0"/>
              <w:rPr>
                <w:sz w:val="16"/>
                <w:szCs w:val="16"/>
                <w:color w:val="auto"/>
              </w:rPr>
            </w:pPr>
          </w:p>
        </w:tc>
        <w:tc>
          <w:tcPr>
            <w:tcW w:w="740" w:type="dxa"/>
            <w:vAlign w:val="bottom"/>
            <w:shd w:val="clear" w:color="auto" w:fill="CFF0FC"/>
          </w:tcPr>
          <w:p>
            <w:pPr>
              <w:jc w:val="right"/>
              <w:ind w:right="99"/>
              <w:spacing w:after="0"/>
              <w:rPr>
                <w:sz w:val="20"/>
                <w:szCs w:val="20"/>
                <w:color w:val="auto"/>
              </w:rPr>
            </w:pPr>
            <w:r>
              <w:rPr>
                <w:rFonts w:ascii="Arial" w:cs="Arial" w:eastAsia="Arial" w:hAnsi="Arial"/>
                <w:sz w:val="16"/>
                <w:szCs w:val="16"/>
                <w:color w:val="auto"/>
              </w:rPr>
              <w:t>10,111</w:t>
            </w:r>
          </w:p>
        </w:tc>
        <w:tc>
          <w:tcPr>
            <w:tcW w:w="1160" w:type="dxa"/>
            <w:vAlign w:val="bottom"/>
            <w:shd w:val="clear" w:color="auto" w:fill="CFF0FC"/>
          </w:tcPr>
          <w:p>
            <w:pPr>
              <w:spacing w:after="0"/>
              <w:rPr>
                <w:sz w:val="16"/>
                <w:szCs w:val="16"/>
                <w:color w:val="auto"/>
              </w:rPr>
            </w:pPr>
          </w:p>
        </w:tc>
        <w:tc>
          <w:tcPr>
            <w:tcW w:w="62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8,228</w:t>
            </w:r>
          </w:p>
        </w:tc>
      </w:tr>
      <w:tr>
        <w:trPr>
          <w:trHeight w:val="189"/>
        </w:trPr>
        <w:tc>
          <w:tcPr>
            <w:tcW w:w="5620" w:type="dxa"/>
            <w:vAlign w:val="bottom"/>
          </w:tcPr>
          <w:p>
            <w:pPr>
              <w:ind w:left="80"/>
              <w:spacing w:after="0"/>
              <w:rPr>
                <w:sz w:val="20"/>
                <w:szCs w:val="20"/>
                <w:color w:val="auto"/>
              </w:rPr>
            </w:pPr>
            <w:r>
              <w:rPr>
                <w:rFonts w:ascii="Arial" w:cs="Arial" w:eastAsia="Arial" w:hAnsi="Arial"/>
                <w:sz w:val="16"/>
                <w:szCs w:val="16"/>
                <w:color w:val="auto"/>
              </w:rPr>
              <w:t>General and administrative expenses:</w:t>
            </w:r>
          </w:p>
        </w:tc>
        <w:tc>
          <w:tcPr>
            <w:tcW w:w="21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620" w:type="dxa"/>
            <w:vAlign w:val="bottom"/>
          </w:tcPr>
          <w:p>
            <w:pPr>
              <w:spacing w:after="0"/>
              <w:rPr>
                <w:sz w:val="16"/>
                <w:szCs w:val="16"/>
                <w:color w:val="auto"/>
              </w:rPr>
            </w:pPr>
          </w:p>
        </w:tc>
      </w:tr>
      <w:tr>
        <w:trPr>
          <w:trHeight w:val="189"/>
        </w:trPr>
        <w:tc>
          <w:tcPr>
            <w:tcW w:w="5620" w:type="dxa"/>
            <w:vAlign w:val="bottom"/>
            <w:shd w:val="clear" w:color="auto" w:fill="CFF0FC"/>
          </w:tcPr>
          <w:p>
            <w:pPr>
              <w:ind w:left="140"/>
              <w:spacing w:after="0"/>
              <w:rPr>
                <w:sz w:val="20"/>
                <w:szCs w:val="20"/>
                <w:color w:val="auto"/>
              </w:rPr>
            </w:pPr>
            <w:r>
              <w:rPr>
                <w:rFonts w:ascii="Arial" w:cs="Arial" w:eastAsia="Arial" w:hAnsi="Arial"/>
                <w:sz w:val="16"/>
                <w:szCs w:val="16"/>
                <w:color w:val="auto"/>
              </w:rPr>
              <w:t>Personnel expense</w:t>
            </w:r>
          </w:p>
        </w:tc>
        <w:tc>
          <w:tcPr>
            <w:tcW w:w="2120" w:type="dxa"/>
            <w:vAlign w:val="bottom"/>
            <w:shd w:val="clear" w:color="auto" w:fill="CFF0FC"/>
          </w:tcPr>
          <w:p>
            <w:pPr>
              <w:spacing w:after="0"/>
              <w:rPr>
                <w:sz w:val="16"/>
                <w:szCs w:val="16"/>
                <w:color w:val="auto"/>
              </w:rPr>
            </w:pPr>
          </w:p>
        </w:tc>
        <w:tc>
          <w:tcPr>
            <w:tcW w:w="980" w:type="dxa"/>
            <w:vAlign w:val="bottom"/>
            <w:shd w:val="clear" w:color="auto" w:fill="CFF0FC"/>
          </w:tcPr>
          <w:p>
            <w:pPr>
              <w:spacing w:after="0"/>
              <w:rPr>
                <w:sz w:val="16"/>
                <w:szCs w:val="16"/>
                <w:color w:val="auto"/>
              </w:rPr>
            </w:pPr>
          </w:p>
        </w:tc>
        <w:tc>
          <w:tcPr>
            <w:tcW w:w="740" w:type="dxa"/>
            <w:vAlign w:val="bottom"/>
            <w:shd w:val="clear" w:color="auto" w:fill="CFF0FC"/>
          </w:tcPr>
          <w:p>
            <w:pPr>
              <w:jc w:val="right"/>
              <w:ind w:right="99"/>
              <w:spacing w:after="0"/>
              <w:rPr>
                <w:sz w:val="20"/>
                <w:szCs w:val="20"/>
                <w:color w:val="auto"/>
              </w:rPr>
            </w:pPr>
            <w:r>
              <w:rPr>
                <w:rFonts w:ascii="Arial" w:cs="Arial" w:eastAsia="Arial" w:hAnsi="Arial"/>
                <w:sz w:val="16"/>
                <w:szCs w:val="16"/>
                <w:color w:val="auto"/>
              </w:rPr>
              <w:t>6,420</w:t>
            </w:r>
          </w:p>
        </w:tc>
        <w:tc>
          <w:tcPr>
            <w:tcW w:w="1160" w:type="dxa"/>
            <w:vAlign w:val="bottom"/>
            <w:shd w:val="clear" w:color="auto" w:fill="CFF0FC"/>
          </w:tcPr>
          <w:p>
            <w:pPr>
              <w:spacing w:after="0"/>
              <w:rPr>
                <w:sz w:val="16"/>
                <w:szCs w:val="16"/>
                <w:color w:val="auto"/>
              </w:rPr>
            </w:pPr>
          </w:p>
        </w:tc>
        <w:tc>
          <w:tcPr>
            <w:tcW w:w="62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5,679</w:t>
            </w:r>
          </w:p>
        </w:tc>
      </w:tr>
      <w:tr>
        <w:trPr>
          <w:trHeight w:val="189"/>
        </w:trPr>
        <w:tc>
          <w:tcPr>
            <w:tcW w:w="5620" w:type="dxa"/>
            <w:vAlign w:val="bottom"/>
          </w:tcPr>
          <w:p>
            <w:pPr>
              <w:ind w:left="140"/>
              <w:spacing w:after="0"/>
              <w:rPr>
                <w:sz w:val="20"/>
                <w:szCs w:val="20"/>
                <w:color w:val="auto"/>
              </w:rPr>
            </w:pPr>
            <w:r>
              <w:rPr>
                <w:rFonts w:ascii="Arial" w:cs="Arial" w:eastAsia="Arial" w:hAnsi="Arial"/>
                <w:sz w:val="16"/>
                <w:szCs w:val="16"/>
                <w:color w:val="auto"/>
              </w:rPr>
              <w:t>Professional services</w:t>
            </w:r>
          </w:p>
        </w:tc>
        <w:tc>
          <w:tcPr>
            <w:tcW w:w="21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740" w:type="dxa"/>
            <w:vAlign w:val="bottom"/>
          </w:tcPr>
          <w:p>
            <w:pPr>
              <w:jc w:val="right"/>
              <w:ind w:right="99"/>
              <w:spacing w:after="0"/>
              <w:rPr>
                <w:sz w:val="20"/>
                <w:szCs w:val="20"/>
                <w:color w:val="auto"/>
              </w:rPr>
            </w:pPr>
            <w:r>
              <w:rPr>
                <w:rFonts w:ascii="Arial" w:cs="Arial" w:eastAsia="Arial" w:hAnsi="Arial"/>
                <w:sz w:val="16"/>
                <w:szCs w:val="16"/>
                <w:color w:val="auto"/>
              </w:rPr>
              <w:t>2,143</w:t>
            </w:r>
          </w:p>
        </w:tc>
        <w:tc>
          <w:tcPr>
            <w:tcW w:w="1160" w:type="dxa"/>
            <w:vAlign w:val="bottom"/>
          </w:tcPr>
          <w:p>
            <w:pPr>
              <w:spacing w:after="0"/>
              <w:rPr>
                <w:sz w:val="16"/>
                <w:szCs w:val="16"/>
                <w:color w:val="auto"/>
              </w:rPr>
            </w:pPr>
          </w:p>
        </w:tc>
        <w:tc>
          <w:tcPr>
            <w:tcW w:w="620" w:type="dxa"/>
            <w:vAlign w:val="bottom"/>
          </w:tcPr>
          <w:p>
            <w:pPr>
              <w:jc w:val="right"/>
              <w:ind w:right="39"/>
              <w:spacing w:after="0"/>
              <w:rPr>
                <w:sz w:val="20"/>
                <w:szCs w:val="20"/>
                <w:color w:val="auto"/>
              </w:rPr>
            </w:pPr>
            <w:r>
              <w:rPr>
                <w:rFonts w:ascii="Arial" w:cs="Arial" w:eastAsia="Arial" w:hAnsi="Arial"/>
                <w:sz w:val="16"/>
                <w:szCs w:val="16"/>
                <w:color w:val="auto"/>
              </w:rPr>
              <w:t>1,478</w:t>
            </w:r>
          </w:p>
        </w:tc>
      </w:tr>
      <w:tr>
        <w:trPr>
          <w:trHeight w:val="189"/>
        </w:trPr>
        <w:tc>
          <w:tcPr>
            <w:tcW w:w="5620" w:type="dxa"/>
            <w:vAlign w:val="bottom"/>
            <w:shd w:val="clear" w:color="auto" w:fill="CFF0FC"/>
          </w:tcPr>
          <w:p>
            <w:pPr>
              <w:ind w:left="140"/>
              <w:spacing w:after="0"/>
              <w:rPr>
                <w:sz w:val="20"/>
                <w:szCs w:val="20"/>
                <w:color w:val="auto"/>
              </w:rPr>
            </w:pPr>
            <w:r>
              <w:rPr>
                <w:rFonts w:ascii="Arial" w:cs="Arial" w:eastAsia="Arial" w:hAnsi="Arial"/>
                <w:sz w:val="16"/>
                <w:szCs w:val="16"/>
                <w:color w:val="auto"/>
              </w:rPr>
              <w:t>Facility costs and other expense</w:t>
            </w:r>
          </w:p>
        </w:tc>
        <w:tc>
          <w:tcPr>
            <w:tcW w:w="2120" w:type="dxa"/>
            <w:vAlign w:val="bottom"/>
            <w:shd w:val="clear" w:color="auto" w:fill="CFF0FC"/>
          </w:tcPr>
          <w:p>
            <w:pPr>
              <w:spacing w:after="0"/>
              <w:rPr>
                <w:sz w:val="16"/>
                <w:szCs w:val="16"/>
                <w:color w:val="auto"/>
              </w:rPr>
            </w:pPr>
          </w:p>
        </w:tc>
        <w:tc>
          <w:tcPr>
            <w:tcW w:w="980" w:type="dxa"/>
            <w:vAlign w:val="bottom"/>
            <w:shd w:val="clear" w:color="auto" w:fill="CFF0FC"/>
          </w:tcPr>
          <w:p>
            <w:pPr>
              <w:spacing w:after="0"/>
              <w:rPr>
                <w:sz w:val="16"/>
                <w:szCs w:val="16"/>
                <w:color w:val="auto"/>
              </w:rPr>
            </w:pPr>
          </w:p>
        </w:tc>
        <w:tc>
          <w:tcPr>
            <w:tcW w:w="740" w:type="dxa"/>
            <w:vAlign w:val="bottom"/>
            <w:shd w:val="clear" w:color="auto" w:fill="CFF0FC"/>
          </w:tcPr>
          <w:p>
            <w:pPr>
              <w:jc w:val="right"/>
              <w:ind w:right="99"/>
              <w:spacing w:after="0"/>
              <w:rPr>
                <w:sz w:val="20"/>
                <w:szCs w:val="20"/>
                <w:color w:val="auto"/>
              </w:rPr>
            </w:pPr>
            <w:r>
              <w:rPr>
                <w:rFonts w:ascii="Arial" w:cs="Arial" w:eastAsia="Arial" w:hAnsi="Arial"/>
                <w:sz w:val="16"/>
                <w:szCs w:val="16"/>
                <w:color w:val="auto"/>
              </w:rPr>
              <w:t>1,612</w:t>
            </w:r>
          </w:p>
        </w:tc>
        <w:tc>
          <w:tcPr>
            <w:tcW w:w="1160" w:type="dxa"/>
            <w:vAlign w:val="bottom"/>
            <w:shd w:val="clear" w:color="auto" w:fill="CFF0FC"/>
          </w:tcPr>
          <w:p>
            <w:pPr>
              <w:spacing w:after="0"/>
              <w:rPr>
                <w:sz w:val="16"/>
                <w:szCs w:val="16"/>
                <w:color w:val="auto"/>
              </w:rPr>
            </w:pPr>
          </w:p>
        </w:tc>
        <w:tc>
          <w:tcPr>
            <w:tcW w:w="62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1,546</w:t>
            </w:r>
          </w:p>
        </w:tc>
      </w:tr>
      <w:tr>
        <w:trPr>
          <w:trHeight w:val="189"/>
        </w:trPr>
        <w:tc>
          <w:tcPr>
            <w:tcW w:w="5620" w:type="dxa"/>
            <w:vAlign w:val="bottom"/>
          </w:tcPr>
          <w:p>
            <w:pPr>
              <w:spacing w:after="0"/>
              <w:rPr>
                <w:sz w:val="20"/>
                <w:szCs w:val="20"/>
                <w:color w:val="auto"/>
              </w:rPr>
            </w:pPr>
            <w:r>
              <w:rPr>
                <w:rFonts w:ascii="Arial" w:cs="Arial" w:eastAsia="Arial" w:hAnsi="Arial"/>
                <w:sz w:val="16"/>
                <w:szCs w:val="16"/>
                <w:color w:val="auto"/>
              </w:rPr>
              <w:t>Interest and other income, net</w:t>
            </w:r>
          </w:p>
        </w:tc>
        <w:tc>
          <w:tcPr>
            <w:tcW w:w="21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740" w:type="dxa"/>
            <w:vAlign w:val="bottom"/>
          </w:tcPr>
          <w:p>
            <w:pPr>
              <w:jc w:val="right"/>
              <w:ind w:right="99"/>
              <w:spacing w:after="0"/>
              <w:rPr>
                <w:sz w:val="20"/>
                <w:szCs w:val="20"/>
                <w:color w:val="auto"/>
              </w:rPr>
            </w:pPr>
            <w:r>
              <w:rPr>
                <w:rFonts w:ascii="Arial" w:cs="Arial" w:eastAsia="Arial" w:hAnsi="Arial"/>
                <w:sz w:val="16"/>
                <w:szCs w:val="16"/>
                <w:color w:val="auto"/>
              </w:rPr>
              <w:t>5,583</w:t>
            </w:r>
          </w:p>
        </w:tc>
        <w:tc>
          <w:tcPr>
            <w:tcW w:w="1160" w:type="dxa"/>
            <w:vAlign w:val="bottom"/>
          </w:tcPr>
          <w:p>
            <w:pPr>
              <w:spacing w:after="0"/>
              <w:rPr>
                <w:sz w:val="16"/>
                <w:szCs w:val="16"/>
                <w:color w:val="auto"/>
              </w:rPr>
            </w:pPr>
          </w:p>
        </w:tc>
        <w:tc>
          <w:tcPr>
            <w:tcW w:w="620" w:type="dxa"/>
            <w:vAlign w:val="bottom"/>
          </w:tcPr>
          <w:p>
            <w:pPr>
              <w:jc w:val="right"/>
              <w:ind w:right="39"/>
              <w:spacing w:after="0"/>
              <w:rPr>
                <w:sz w:val="20"/>
                <w:szCs w:val="20"/>
                <w:color w:val="auto"/>
              </w:rPr>
            </w:pPr>
            <w:r>
              <w:rPr>
                <w:rFonts w:ascii="Arial" w:cs="Arial" w:eastAsia="Arial" w:hAnsi="Arial"/>
                <w:sz w:val="16"/>
                <w:szCs w:val="16"/>
                <w:color w:val="auto"/>
              </w:rPr>
              <w:t>3,671</w:t>
            </w:r>
          </w:p>
        </w:tc>
      </w:tr>
      <w:tr>
        <w:trPr>
          <w:trHeight w:val="189"/>
        </w:trPr>
        <w:tc>
          <w:tcPr>
            <w:tcW w:w="562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6"/>
                <w:szCs w:val="16"/>
                <w:color w:val="auto"/>
              </w:rPr>
              <w:t>Income tax provision</w:t>
            </w:r>
          </w:p>
        </w:tc>
        <w:tc>
          <w:tcPr>
            <w:tcW w:w="2120" w:type="dxa"/>
            <w:vAlign w:val="bottom"/>
            <w:tcBorders>
              <w:bottom w:val="single" w:sz="8" w:color="CFF0FC"/>
            </w:tcBorders>
            <w:shd w:val="clear" w:color="auto" w:fill="CFF0FC"/>
          </w:tcPr>
          <w:p>
            <w:pPr>
              <w:spacing w:after="0"/>
              <w:rPr>
                <w:sz w:val="16"/>
                <w:szCs w:val="16"/>
                <w:color w:val="auto"/>
              </w:rPr>
            </w:pPr>
          </w:p>
        </w:tc>
        <w:tc>
          <w:tcPr>
            <w:tcW w:w="980" w:type="dxa"/>
            <w:vAlign w:val="bottom"/>
            <w:tcBorders>
              <w:bottom w:val="single" w:sz="8" w:color="auto"/>
            </w:tcBorders>
            <w:shd w:val="clear" w:color="auto" w:fill="CFF0FC"/>
          </w:tcPr>
          <w:p>
            <w:pPr>
              <w:spacing w:after="0"/>
              <w:rPr>
                <w:sz w:val="16"/>
                <w:szCs w:val="16"/>
                <w:color w:val="auto"/>
              </w:rPr>
            </w:pPr>
          </w:p>
        </w:tc>
        <w:tc>
          <w:tcPr>
            <w:tcW w:w="740" w:type="dxa"/>
            <w:vAlign w:val="bottom"/>
            <w:tcBorders>
              <w:bottom w:val="single" w:sz="8" w:color="auto"/>
            </w:tcBorders>
            <w:shd w:val="clear" w:color="auto" w:fill="CFF0FC"/>
          </w:tcPr>
          <w:p>
            <w:pPr>
              <w:jc w:val="right"/>
              <w:ind w:right="19"/>
              <w:spacing w:after="0"/>
              <w:rPr>
                <w:sz w:val="20"/>
                <w:szCs w:val="20"/>
                <w:color w:val="auto"/>
              </w:rPr>
            </w:pPr>
            <w:r>
              <w:rPr>
                <w:rFonts w:ascii="Arial" w:cs="Arial" w:eastAsia="Arial" w:hAnsi="Arial"/>
                <w:sz w:val="16"/>
                <w:szCs w:val="16"/>
                <w:color w:val="auto"/>
              </w:rPr>
              <w:t>(52)</w:t>
            </w:r>
          </w:p>
        </w:tc>
        <w:tc>
          <w:tcPr>
            <w:tcW w:w="1160" w:type="dxa"/>
            <w:vAlign w:val="bottom"/>
            <w:tcBorders>
              <w:bottom w:val="single" w:sz="8" w:color="auto"/>
            </w:tcBorders>
            <w:shd w:val="clear" w:color="auto" w:fill="CFF0FC"/>
          </w:tcPr>
          <w:p>
            <w:pPr>
              <w:spacing w:after="0"/>
              <w:rPr>
                <w:sz w:val="16"/>
                <w:szCs w:val="16"/>
                <w:color w:val="auto"/>
              </w:rPr>
            </w:pPr>
          </w:p>
        </w:tc>
        <w:tc>
          <w:tcPr>
            <w:tcW w:w="6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(822)</w:t>
            </w:r>
          </w:p>
        </w:tc>
      </w:tr>
      <w:tr>
        <w:trPr>
          <w:trHeight w:val="183"/>
        </w:trPr>
        <w:tc>
          <w:tcPr>
            <w:tcW w:w="5620" w:type="dxa"/>
            <w:vAlign w:val="bottom"/>
            <w:tcBorders>
              <w:bottom w:val="single" w:sz="8" w:color="auto"/>
            </w:tcBorders>
          </w:tcPr>
          <w:p>
            <w:pPr>
              <w:spacing w:after="0" w:line="183" w:lineRule="exact"/>
              <w:rPr>
                <w:sz w:val="20"/>
                <w:szCs w:val="20"/>
                <w:color w:val="auto"/>
              </w:rPr>
            </w:pPr>
            <w:r>
              <w:rPr>
                <w:rFonts w:ascii="Arial" w:cs="Arial" w:eastAsia="Arial" w:hAnsi="Arial"/>
                <w:sz w:val="16"/>
                <w:szCs w:val="16"/>
                <w:color w:val="auto"/>
              </w:rPr>
              <w:t>Net (loss) income</w:t>
            </w:r>
          </w:p>
        </w:tc>
        <w:tc>
          <w:tcPr>
            <w:tcW w:w="3100" w:type="dxa"/>
            <w:vAlign w:val="bottom"/>
            <w:tcBorders>
              <w:bottom w:val="single" w:sz="8" w:color="auto"/>
            </w:tcBorders>
            <w:gridSpan w:val="2"/>
          </w:tcPr>
          <w:p>
            <w:pPr>
              <w:jc w:val="right"/>
              <w:ind w:right="799"/>
              <w:spacing w:after="0" w:line="183" w:lineRule="exact"/>
              <w:rPr>
                <w:sz w:val="20"/>
                <w:szCs w:val="20"/>
                <w:color w:val="auto"/>
              </w:rPr>
            </w:pPr>
            <w:r>
              <w:rPr>
                <w:rFonts w:ascii="Arial" w:cs="Arial" w:eastAsia="Arial" w:hAnsi="Arial"/>
                <w:sz w:val="16"/>
                <w:szCs w:val="16"/>
                <w:color w:val="auto"/>
              </w:rPr>
              <w:t>$</w:t>
            </w:r>
          </w:p>
        </w:tc>
        <w:tc>
          <w:tcPr>
            <w:tcW w:w="740" w:type="dxa"/>
            <w:vAlign w:val="bottom"/>
            <w:tcBorders>
              <w:bottom w:val="single" w:sz="8" w:color="auto"/>
            </w:tcBorders>
          </w:tcPr>
          <w:p>
            <w:pPr>
              <w:jc w:val="right"/>
              <w:ind w:right="19"/>
              <w:spacing w:after="0" w:line="183" w:lineRule="exact"/>
              <w:rPr>
                <w:sz w:val="20"/>
                <w:szCs w:val="20"/>
                <w:color w:val="auto"/>
              </w:rPr>
            </w:pPr>
            <w:r>
              <w:rPr>
                <w:rFonts w:ascii="Arial" w:cs="Arial" w:eastAsia="Arial" w:hAnsi="Arial"/>
                <w:sz w:val="16"/>
                <w:szCs w:val="16"/>
                <w:color w:val="auto"/>
              </w:rPr>
              <w:t>(44,503)</w:t>
            </w:r>
          </w:p>
        </w:tc>
        <w:tc>
          <w:tcPr>
            <w:tcW w:w="1160" w:type="dxa"/>
            <w:vAlign w:val="bottom"/>
            <w:tcBorders>
              <w:bottom w:val="single" w:sz="8" w:color="auto"/>
            </w:tcBorders>
          </w:tcPr>
          <w:p>
            <w:pPr>
              <w:jc w:val="right"/>
              <w:ind w:right="879"/>
              <w:spacing w:after="0" w:line="183" w:lineRule="exact"/>
              <w:rPr>
                <w:sz w:val="20"/>
                <w:szCs w:val="20"/>
                <w:color w:val="auto"/>
              </w:rPr>
            </w:pPr>
            <w:r>
              <w:rPr>
                <w:rFonts w:ascii="Arial" w:cs="Arial" w:eastAsia="Arial" w:hAnsi="Arial"/>
                <w:sz w:val="16"/>
                <w:szCs w:val="16"/>
                <w:color w:val="auto"/>
              </w:rPr>
              <w:t>$</w:t>
            </w:r>
          </w:p>
        </w:tc>
        <w:tc>
          <w:tcPr>
            <w:tcW w:w="620" w:type="dxa"/>
            <w:vAlign w:val="bottom"/>
            <w:tcBorders>
              <w:bottom w:val="single" w:sz="8" w:color="auto"/>
            </w:tcBorders>
          </w:tcPr>
          <w:p>
            <w:pPr>
              <w:jc w:val="right"/>
              <w:ind w:right="39"/>
              <w:spacing w:after="0" w:line="183" w:lineRule="exact"/>
              <w:rPr>
                <w:sz w:val="20"/>
                <w:szCs w:val="20"/>
                <w:color w:val="auto"/>
              </w:rPr>
            </w:pPr>
            <w:r>
              <w:rPr>
                <w:rFonts w:ascii="Arial" w:cs="Arial" w:eastAsia="Arial" w:hAnsi="Arial"/>
                <w:sz w:val="16"/>
                <w:szCs w:val="16"/>
                <w:color w:val="auto"/>
                <w:w w:val="98"/>
              </w:rPr>
              <w:t>46,885</w:t>
            </w:r>
          </w:p>
        </w:tc>
      </w:tr>
    </w:tbl>
    <w:p>
      <w:pPr>
        <w:spacing w:after="0" w:line="95" w:lineRule="exact"/>
        <w:rPr>
          <w:sz w:val="20"/>
          <w:szCs w:val="20"/>
          <w:color w:val="auto"/>
        </w:rPr>
      </w:pPr>
    </w:p>
    <w:p>
      <w:pPr>
        <w:ind w:right="500"/>
        <w:spacing w:after="0" w:line="228" w:lineRule="auto"/>
        <w:rPr>
          <w:sz w:val="20"/>
          <w:szCs w:val="20"/>
          <w:color w:val="auto"/>
        </w:rPr>
      </w:pPr>
      <w:r>
        <w:rPr>
          <w:rFonts w:ascii="Arial" w:cs="Arial" w:eastAsia="Arial" w:hAnsi="Arial"/>
          <w:sz w:val="18"/>
          <w:szCs w:val="18"/>
          <w:color w:val="auto"/>
        </w:rPr>
        <w:t>Other development and discovery expenses are related to the development of our QuEEN</w:t>
      </w:r>
      <w:r>
        <w:rPr>
          <w:rFonts w:ascii="Arial" w:cs="Arial" w:eastAsia="Arial" w:hAnsi="Arial"/>
          <w:sz w:val="24"/>
          <w:szCs w:val="24"/>
          <w:color w:val="auto"/>
          <w:vertAlign w:val="superscript"/>
        </w:rPr>
        <w:t>TM</w:t>
      </w:r>
      <w:r>
        <w:rPr>
          <w:rFonts w:ascii="Arial" w:cs="Arial" w:eastAsia="Arial" w:hAnsi="Arial"/>
          <w:sz w:val="18"/>
          <w:szCs w:val="18"/>
          <w:color w:val="auto"/>
        </w:rPr>
        <w:t xml:space="preserve"> discovery engine and our disclosed and undisclosed programs, including CDK2. The Company's tangible assets are held in the U.S. and Switzerland with 32% and 29% of the assets held in Switzerland as of March 31, 2026 and December 31, 2025, respectively. All of the Company's collaboration revenue was generated in Switzerland during each of the three months ended March 31, 2026 and 2025.</w:t>
      </w:r>
    </w:p>
    <w:p>
      <w:pPr>
        <w:spacing w:after="0" w:line="1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20" w:right="339" w:bottom="1440" w:gutter="0" w:footer="0" w:header="0"/>
        </w:sectPr>
      </w:pPr>
    </w:p>
    <w:bookmarkStart w:id="22" w:name="page23"/>
    <w:bookmarkEnd w:id="22"/>
    <w:p>
      <w:pPr>
        <w:ind w:right="20"/>
        <w:spacing w:after="0" w:line="286" w:lineRule="auto"/>
        <w:rPr>
          <w:sz w:val="20"/>
          <w:szCs w:val="20"/>
          <w:color w:val="auto"/>
        </w:rPr>
      </w:pPr>
      <w:r>
        <w:rPr>
          <w:rFonts w:ascii="Arial" w:cs="Arial" w:eastAsia="Arial" w:hAnsi="Arial"/>
          <w:sz w:val="32"/>
          <w:szCs w:val="32"/>
          <w:b w:val="1"/>
          <w:bCs w:val="1"/>
          <w:color w:val="auto"/>
        </w:rPr>
        <w:t>Item 2. Management’s discussion and analysis of financial condition and results of operations</w:t>
      </w:r>
    </w:p>
    <w:p>
      <w:pPr>
        <w:ind w:right="200"/>
        <w:spacing w:after="0" w:line="239" w:lineRule="auto"/>
        <w:rPr>
          <w:sz w:val="20"/>
          <w:szCs w:val="20"/>
          <w:color w:val="auto"/>
        </w:rPr>
      </w:pPr>
      <w:r>
        <w:rPr>
          <w:rFonts w:ascii="Arial" w:cs="Arial" w:eastAsia="Arial" w:hAnsi="Arial"/>
          <w:sz w:val="18"/>
          <w:szCs w:val="18"/>
          <w:i w:val="1"/>
          <w:iCs w:val="1"/>
          <w:color w:val="auto"/>
        </w:rPr>
        <w:t>The following discussion and analysis should be read in conjunction with the unaudited condensed consolidated financial statements and related notes included elsewhere in this Quarterly Report. This discussion and analysis and other parts of this Quarterly Report contain forward-looking statements based upon current beliefs, plans and expectations that involve risks, uncertainties and assumptions, such as statements regarding our plans, objectives, expectations, intentions and projections. Our actual results and the timing of selected events could differ materially from those anticipated in these forward-looking statements as a result of several factors, including those set forth in “Part I, Item 1A, Risk Factors” in our 2025 Annual Report and under Part II, Item 1A, “Risk Factors” and elsewhere in this Quarterly Report. You should carefully read the “Risk Factors” section of this Quarterly Report to gain an understanding of the important factors that could cause actual results to differ materially from our forward-looking statements. Please also see the section entitled “Special note regarding forward-looking statements.”</w:t>
      </w:r>
    </w:p>
    <w:p>
      <w:pPr>
        <w:spacing w:after="0" w:line="17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Overview</w:t>
      </w:r>
    </w:p>
    <w:p>
      <w:pPr>
        <w:spacing w:after="0" w:line="108" w:lineRule="exact"/>
        <w:rPr>
          <w:sz w:val="20"/>
          <w:szCs w:val="20"/>
          <w:color w:val="auto"/>
        </w:rPr>
      </w:pPr>
    </w:p>
    <w:p>
      <w:pPr>
        <w:spacing w:after="0" w:line="232" w:lineRule="auto"/>
        <w:rPr>
          <w:sz w:val="20"/>
          <w:szCs w:val="20"/>
          <w:color w:val="auto"/>
        </w:rPr>
      </w:pPr>
      <w:r>
        <w:rPr>
          <w:rFonts w:ascii="Arial" w:cs="Arial" w:eastAsia="Arial" w:hAnsi="Arial"/>
          <w:sz w:val="18"/>
          <w:szCs w:val="18"/>
          <w:color w:val="auto"/>
        </w:rPr>
        <w:t>We are a biotechnology company developing a portfolio of novel and proprietary MGDs. MGDs are small molecule drugs that employ the body’s natural protein destruction mechanisms to selectively degrade therapeutically-relevant proteins. MGDs work by inducing the engagement of defined surfaces identified on target proteins by an E3 ligase, such as cereblon. We have developed a proprietary and industry-leading protein degradation discovery engine, called QuEEN</w:t>
      </w:r>
      <w:r>
        <w:rPr>
          <w:rFonts w:ascii="Arial" w:cs="Arial" w:eastAsia="Arial" w:hAnsi="Arial"/>
          <w:sz w:val="24"/>
          <w:szCs w:val="24"/>
          <w:color w:val="auto"/>
          <w:vertAlign w:val="superscript"/>
        </w:rPr>
        <w:t>TM</w:t>
      </w:r>
      <w:r>
        <w:rPr>
          <w:rFonts w:ascii="Arial" w:cs="Arial" w:eastAsia="Arial" w:hAnsi="Arial"/>
          <w:sz w:val="18"/>
          <w:szCs w:val="18"/>
          <w:color w:val="auto"/>
        </w:rPr>
        <w:t xml:space="preserve"> to enable our unique, and target-centric, MGD discovery and development and our rational design of MGD products. We believe our small molecule MGDs may give us significant advantages over existing therapeutic modalities, including other protein degradation approaches. We prioritize our product development on therapeutic targets backed by strong biological and genetic rationale with the goal of discovering and developing novel medicines.</w:t>
      </w:r>
    </w:p>
    <w:p>
      <w:pPr>
        <w:spacing w:after="0" w:line="72" w:lineRule="exact"/>
        <w:rPr>
          <w:sz w:val="20"/>
          <w:szCs w:val="20"/>
          <w:color w:val="auto"/>
        </w:rPr>
      </w:pPr>
    </w:p>
    <w:p>
      <w:pPr>
        <w:ind w:right="20"/>
        <w:spacing w:after="0" w:line="244" w:lineRule="auto"/>
        <w:rPr>
          <w:sz w:val="20"/>
          <w:szCs w:val="20"/>
          <w:color w:val="auto"/>
        </w:rPr>
      </w:pPr>
      <w:r>
        <w:rPr>
          <w:rFonts w:ascii="Arial" w:cs="Arial" w:eastAsia="Arial" w:hAnsi="Arial"/>
          <w:sz w:val="18"/>
          <w:szCs w:val="18"/>
          <w:color w:val="auto"/>
        </w:rPr>
        <w:t>Monte Rosa Therapeutics AG, a Swiss operating company, was incorporated under the laws of Switzerland in April 2018. Monte Rosa Therapeutics, Inc. was incorporated in Delaware in November 2019. In 2020, through a common control reorganization, Monte Rosa Therapeutics, Inc. acquired the net assets and shareholding of Monte Rosa Therapeutics AG. Monte Rosa Therapeutics, Inc. includes wholly owned subsidiaries Monte Rosa Therapeutics AG and Monte Rosa Securities Corporation. We are headquartered in Boston, Massachusetts with research operations in both Boston and Basel, Switzerland.</w:t>
      </w:r>
    </w:p>
    <w:p>
      <w:pPr>
        <w:spacing w:after="0" w:line="5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Liquidity</w:t>
      </w:r>
    </w:p>
    <w:p>
      <w:pPr>
        <w:spacing w:after="0" w:line="108" w:lineRule="exact"/>
        <w:rPr>
          <w:sz w:val="20"/>
          <w:szCs w:val="20"/>
          <w:color w:val="auto"/>
        </w:rPr>
      </w:pPr>
    </w:p>
    <w:p>
      <w:pPr>
        <w:ind w:right="20"/>
        <w:spacing w:after="0" w:line="239" w:lineRule="auto"/>
        <w:rPr>
          <w:sz w:val="20"/>
          <w:szCs w:val="20"/>
          <w:color w:val="auto"/>
        </w:rPr>
      </w:pPr>
      <w:r>
        <w:rPr>
          <w:rFonts w:ascii="Arial" w:cs="Arial" w:eastAsia="Arial" w:hAnsi="Arial"/>
          <w:sz w:val="18"/>
          <w:szCs w:val="18"/>
          <w:color w:val="auto"/>
        </w:rPr>
        <w:t>To date, we have financed our operations primarily through the issuance and sale of convertible promissory notes, convertible preferred stock, public offerings of our common stock or warrants to purchase common stock, registered direct offerings, and through our collaboration agreements. Our primary use of cash is to fund operating expenses, which consist primarily of research and development expenditures and, to a lesser extent, general and administrative expenditures. From our inception through the date hereof, we raised an aggregate of $1.3 billion of gross proceeds from such transactions. Since inception, we have had significant operating losses. For the three months ended March 31, 2026, we reported a net loss of $44.5 million and for the year ended December 31, 2025, we reported a net loss of $38.6 million. As of March 31, 2026, we had an accumulated deficit of $521.7 million and had $671.2 million in cash, cash equivalents, restricted cash and marketable securities. We anticipate that our existing cash and cash equivalents and marketable securities support our cash runway into 2029.</w:t>
      </w:r>
    </w:p>
    <w:p>
      <w:pPr>
        <w:spacing w:after="0" w:line="6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Impact of global economic and political developments</w:t>
      </w:r>
    </w:p>
    <w:p>
      <w:pPr>
        <w:spacing w:after="0" w:line="108" w:lineRule="exact"/>
        <w:rPr>
          <w:sz w:val="20"/>
          <w:szCs w:val="20"/>
          <w:color w:val="auto"/>
        </w:rPr>
      </w:pPr>
    </w:p>
    <w:p>
      <w:pPr>
        <w:ind w:right="40"/>
        <w:spacing w:after="0" w:line="242" w:lineRule="auto"/>
        <w:rPr>
          <w:sz w:val="20"/>
          <w:szCs w:val="20"/>
          <w:color w:val="auto"/>
        </w:rPr>
      </w:pPr>
      <w:r>
        <w:rPr>
          <w:rFonts w:ascii="Arial" w:cs="Arial" w:eastAsia="Arial" w:hAnsi="Arial"/>
          <w:sz w:val="18"/>
          <w:szCs w:val="18"/>
          <w:color w:val="auto"/>
        </w:rPr>
        <w:t>The development of our product candidates could be disrupted and materially adversely affected in the future by global economic or political developments. In addition, economic uncertainty in global markets caused by political instability and conflict, and economic challenges caused by global pandemics or other public health events, may lead to market disruptions, including significant volatility in commodity prices, credit and capital market instability and supply chain interruptions. Our business, financial condition and results of operations could be materially and adversely affected by negative impacts on the global economy and capital markets resulting from these global economic conditions, particularly if such conditions are prolonged or worsen.</w:t>
      </w:r>
    </w:p>
    <w:p>
      <w:pPr>
        <w:spacing w:after="0" w:line="17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324" w:right="359" w:bottom="1440" w:gutter="0" w:footer="0" w:header="0"/>
        </w:sectPr>
      </w:pPr>
    </w:p>
    <w:bookmarkStart w:id="23" w:name="page24"/>
    <w:bookmarkEnd w:id="23"/>
    <w:p>
      <w:pPr>
        <w:spacing w:after="0"/>
        <w:rPr>
          <w:sz w:val="20"/>
          <w:szCs w:val="20"/>
          <w:color w:val="auto"/>
        </w:rPr>
      </w:pPr>
      <w:r>
        <w:rPr>
          <w:rFonts w:ascii="Arial" w:cs="Arial" w:eastAsia="Arial" w:hAnsi="Arial"/>
          <w:sz w:val="22"/>
          <w:szCs w:val="22"/>
          <w:b w:val="1"/>
          <w:bCs w:val="1"/>
          <w:color w:val="auto"/>
        </w:rPr>
        <w:t>Components of operating results</w:t>
      </w:r>
    </w:p>
    <w:p>
      <w:pPr>
        <w:spacing w:after="0" w:line="1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Collaboration revenue</w:t>
      </w:r>
    </w:p>
    <w:p>
      <w:pPr>
        <w:spacing w:after="0" w:line="102" w:lineRule="exact"/>
        <w:rPr>
          <w:sz w:val="20"/>
          <w:szCs w:val="20"/>
          <w:color w:val="auto"/>
        </w:rPr>
      </w:pPr>
    </w:p>
    <w:p>
      <w:pPr>
        <w:jc w:val="both"/>
        <w:ind w:right="160"/>
        <w:spacing w:after="0" w:line="253" w:lineRule="auto"/>
        <w:rPr>
          <w:sz w:val="20"/>
          <w:szCs w:val="20"/>
          <w:color w:val="auto"/>
        </w:rPr>
      </w:pPr>
      <w:r>
        <w:rPr>
          <w:rFonts w:ascii="Arial" w:cs="Arial" w:eastAsia="Arial" w:hAnsi="Arial"/>
          <w:sz w:val="18"/>
          <w:szCs w:val="18"/>
          <w:color w:val="auto"/>
        </w:rPr>
        <w:t>Collaboration revenue represents amounts earned from our collaboration and license agreements with Roche and Novartis. We expect that our revenue for the next several years will be derived primarily through our current collaboration and license agreements and any additional collaborations that we may enter into in the future.</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Roche collaboration and license agreement</w:t>
      </w:r>
    </w:p>
    <w:p>
      <w:pPr>
        <w:spacing w:after="0" w:line="102" w:lineRule="exact"/>
        <w:rPr>
          <w:sz w:val="20"/>
          <w:szCs w:val="20"/>
          <w:color w:val="auto"/>
        </w:rPr>
      </w:pPr>
    </w:p>
    <w:p>
      <w:pPr>
        <w:spacing w:after="0" w:line="244" w:lineRule="auto"/>
        <w:rPr>
          <w:sz w:val="20"/>
          <w:szCs w:val="20"/>
          <w:color w:val="auto"/>
        </w:rPr>
      </w:pPr>
      <w:r>
        <w:rPr>
          <w:rFonts w:ascii="Arial" w:cs="Arial" w:eastAsia="Arial" w:hAnsi="Arial"/>
          <w:sz w:val="18"/>
          <w:szCs w:val="18"/>
          <w:color w:val="auto"/>
        </w:rPr>
        <w:t>In October 2023, Monte Rosa AG entered into a collaboration and license agreement, or the Roche Agreement, with Roche Basel and Roche US, and together with Roche Basel, Roche. Pursuant to the Roche Agreement, the parties will seek to identify MGDs against targets in cancer and neurological diseases selected by Roche using our proprietary drug discovery engine, where a certain number of targets selected by Roche are for a limited time subject to replacement rights owned by Roche. We will lead preclinical discovery and research activities with Roche leading late preclinical and clinical development activities.</w:t>
      </w:r>
    </w:p>
    <w:p>
      <w:pPr>
        <w:spacing w:after="0" w:line="68" w:lineRule="exact"/>
        <w:rPr>
          <w:sz w:val="20"/>
          <w:szCs w:val="20"/>
          <w:color w:val="auto"/>
        </w:rPr>
      </w:pPr>
    </w:p>
    <w:p>
      <w:pPr>
        <w:jc w:val="both"/>
        <w:ind w:right="220"/>
        <w:spacing w:after="0" w:line="253" w:lineRule="auto"/>
        <w:rPr>
          <w:sz w:val="20"/>
          <w:szCs w:val="20"/>
          <w:color w:val="auto"/>
        </w:rPr>
      </w:pPr>
      <w:r>
        <w:rPr>
          <w:rFonts w:ascii="Arial" w:cs="Arial" w:eastAsia="Arial" w:hAnsi="Arial"/>
          <w:sz w:val="18"/>
          <w:szCs w:val="18"/>
          <w:color w:val="auto"/>
        </w:rPr>
        <w:t>Under the Roche Agreement, Roche will have a worldwide, exclusive license under patents and know-how controlled by us to develop and commercialize products directed to applicable targets. The license exclusivity is subject to our retained rights solely to fulfill our obligations under the arrangement.</w:t>
      </w:r>
    </w:p>
    <w:p>
      <w:pPr>
        <w:spacing w:after="0" w:line="61" w:lineRule="exact"/>
        <w:rPr>
          <w:sz w:val="20"/>
          <w:szCs w:val="20"/>
          <w:color w:val="auto"/>
        </w:rPr>
      </w:pPr>
    </w:p>
    <w:p>
      <w:pPr>
        <w:spacing w:after="0"/>
        <w:rPr>
          <w:sz w:val="20"/>
          <w:szCs w:val="20"/>
          <w:color w:val="auto"/>
        </w:rPr>
      </w:pPr>
      <w:r>
        <w:rPr>
          <w:rFonts w:ascii="Arial" w:cs="Arial" w:eastAsia="Arial" w:hAnsi="Arial"/>
          <w:sz w:val="18"/>
          <w:szCs w:val="18"/>
          <w:color w:val="auto"/>
        </w:rPr>
        <w:t>The research collaboration activities governed by the Roche Agreement are overseen by a joint research committee.</w:t>
      </w:r>
    </w:p>
    <w:p>
      <w:pPr>
        <w:spacing w:after="0" w:line="104" w:lineRule="exact"/>
        <w:rPr>
          <w:sz w:val="20"/>
          <w:szCs w:val="20"/>
          <w:color w:val="auto"/>
        </w:rPr>
      </w:pPr>
    </w:p>
    <w:p>
      <w:pPr>
        <w:ind w:right="100"/>
        <w:spacing w:after="0" w:line="244" w:lineRule="auto"/>
        <w:rPr>
          <w:sz w:val="20"/>
          <w:szCs w:val="20"/>
          <w:color w:val="auto"/>
        </w:rPr>
      </w:pPr>
      <w:r>
        <w:rPr>
          <w:rFonts w:ascii="Arial" w:cs="Arial" w:eastAsia="Arial" w:hAnsi="Arial"/>
          <w:sz w:val="18"/>
          <w:szCs w:val="18"/>
          <w:color w:val="auto"/>
        </w:rPr>
        <w:t>In November 2023, we received a $ 50.0 million non-refundable upfront payment for the initial set of targets. Pursuant to the terms of the Roche Agreement, we expect to be entitled to receive from Roche certain variable consideration including potential preclinical milestones up to $172 million, and potential clinical, commercial and sales milestones exceeding $ 2 billion. We are also eligible to receive tiered royalties ranging from high-single-digit percent to low-teens percent on any products that are commercialized by Roche as a result of the collaboration.</w:t>
      </w:r>
    </w:p>
    <w:p>
      <w:pPr>
        <w:spacing w:after="0" w:line="68" w:lineRule="exact"/>
        <w:rPr>
          <w:sz w:val="20"/>
          <w:szCs w:val="20"/>
          <w:color w:val="auto"/>
        </w:rPr>
      </w:pPr>
    </w:p>
    <w:p>
      <w:pPr>
        <w:jc w:val="both"/>
        <w:ind w:right="20"/>
        <w:spacing w:after="0" w:line="253" w:lineRule="auto"/>
        <w:rPr>
          <w:sz w:val="20"/>
          <w:szCs w:val="20"/>
          <w:color w:val="auto"/>
        </w:rPr>
      </w:pPr>
      <w:r>
        <w:rPr>
          <w:rFonts w:ascii="Arial" w:cs="Arial" w:eastAsia="Arial" w:hAnsi="Arial"/>
          <w:sz w:val="18"/>
          <w:szCs w:val="18"/>
          <w:color w:val="auto"/>
        </w:rPr>
        <w:t>Unless earlier terminated, the Roche Agreement will remain in effect for each product licensed under the Roche Agreement until expiration of the royalty term for the applicable product. The parties have included termination provisions in the Roche Agreement, allowing termination of the Roche Agreement in its entirety, on a country-by-country or a target-by-target basis.</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2024 Novartis license agreement</w:t>
      </w:r>
    </w:p>
    <w:p>
      <w:pPr>
        <w:spacing w:after="0" w:line="102" w:lineRule="exact"/>
        <w:rPr>
          <w:sz w:val="20"/>
          <w:szCs w:val="20"/>
          <w:color w:val="auto"/>
        </w:rPr>
      </w:pPr>
    </w:p>
    <w:p>
      <w:pPr>
        <w:ind w:right="40"/>
        <w:spacing w:after="0" w:line="244" w:lineRule="auto"/>
        <w:rPr>
          <w:sz w:val="20"/>
          <w:szCs w:val="20"/>
          <w:color w:val="auto"/>
        </w:rPr>
      </w:pPr>
      <w:r>
        <w:rPr>
          <w:rFonts w:ascii="Arial" w:cs="Arial" w:eastAsia="Arial" w:hAnsi="Arial"/>
          <w:sz w:val="18"/>
          <w:szCs w:val="18"/>
          <w:color w:val="auto"/>
        </w:rPr>
        <w:t>In October 2024, Monte Rosa AG and Novartis entered into a license agreement with Novartis, or the 2024 Novartis Agreement. Pursuant to the 2024 Novartis Agreement, we granted to Novartis an exclusive, royalty-bearing, sublicensable and transferable license to develop, manufacture, and commercialize VAV1 MGDs, including MRT-6160. We were responsible for completing the Phase 1 clinical study and Novartis is responsible for all subsequent development and commercial activities starting at Phase 2. Development and commercial activities governed by the Novartis Agreement will be overseen by a Development Committee and a Commercialization Committee.</w:t>
      </w:r>
    </w:p>
    <w:p>
      <w:pPr>
        <w:spacing w:after="0" w:line="68" w:lineRule="exact"/>
        <w:rPr>
          <w:sz w:val="20"/>
          <w:szCs w:val="20"/>
          <w:color w:val="auto"/>
        </w:rPr>
      </w:pPr>
    </w:p>
    <w:p>
      <w:pPr>
        <w:ind w:right="60"/>
        <w:spacing w:after="0" w:line="239" w:lineRule="auto"/>
        <w:rPr>
          <w:sz w:val="20"/>
          <w:szCs w:val="20"/>
          <w:color w:val="auto"/>
        </w:rPr>
      </w:pPr>
      <w:r>
        <w:rPr>
          <w:rFonts w:ascii="Arial" w:cs="Arial" w:eastAsia="Arial" w:hAnsi="Arial"/>
          <w:sz w:val="18"/>
          <w:szCs w:val="18"/>
          <w:color w:val="auto"/>
        </w:rPr>
        <w:t>In December 2024, we received a $150 million non-refundable upfront payment. Pursuant to the 2024 Novartis Agreement, we are eligible to receive from Novartis up to $2.1 billion in development, regulatory, and sales milestones, beginning upon initiation of Phase 2 studies including (a) potential development and regulatory milestone payments, exceeding $1.5 billion if multiple indications achieve regulatory approval in multiple territories, (b) potential sales milestone payments in connection with sales outside of the U.S., and tiered royalties on sales outside of the U.S. Novartis will be responsible for costs associated with Phase 2 clinical studies. We and Novartis also agreed to a net profit and loss sharing arrangement prior to the initiation of Phase 3 clinical trials, pursuant to which we could co-fund any global clinical development from Phase 3 onwards and will share 30% of any profits and losses associated with the manufacturing and commercialization of the licensed products in the U.S. We have defined opportunities to opt out of the net profit and loss sharing arrangement. In such case, sales in the U.S. would be entitled to the potential sales milestone payments and tiered royalties as sales outside of the U.S. Any costs for any co-funded development and commercialization activities are subject to budgets reviewed by us and Novartis.</w:t>
      </w:r>
    </w:p>
    <w:p>
      <w:pPr>
        <w:spacing w:after="0" w:line="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2025 Novartis license agreement</w:t>
      </w:r>
    </w:p>
    <w:p>
      <w:pPr>
        <w:spacing w:after="0" w:line="102" w:lineRule="exact"/>
        <w:rPr>
          <w:sz w:val="20"/>
          <w:szCs w:val="20"/>
          <w:color w:val="auto"/>
        </w:rPr>
      </w:pPr>
    </w:p>
    <w:p>
      <w:pPr>
        <w:ind w:right="160"/>
        <w:spacing w:after="0"/>
        <w:rPr>
          <w:sz w:val="20"/>
          <w:szCs w:val="20"/>
          <w:color w:val="auto"/>
        </w:rPr>
      </w:pPr>
      <w:r>
        <w:rPr>
          <w:rFonts w:ascii="Arial" w:cs="Arial" w:eastAsia="Arial" w:hAnsi="Arial"/>
          <w:sz w:val="18"/>
          <w:szCs w:val="18"/>
          <w:color w:val="auto"/>
        </w:rPr>
        <w:t>In September 2025, Monte Rosa AG entered into a collaboration, option, and license agreement with Novartis, or the 2025 Novartis Agreement. Pursuant to the 2025 Novartis Agreement, we granted to Novartis an exclusive, royalty-bearing, sublicensable and transferable license to degraders for one I&amp;I program, or the First Licensed Program, and the exclusive option to obtain exclusive, royalty-bearing, sublicensable and transferable licenses with respect to two programs from our growing preclinical immunology portfolio, or the Options, and the programs, or the Optioned I&amp;I Programs. Such Options are individually exercisable at Novartis’ discretion until a program meets criteria for investigational new drug application-filing-readiness. On a program-by-program basis, if Novartis does not exercise an Option, all rights with</w:t>
      </w:r>
    </w:p>
    <w:p>
      <w:pPr>
        <w:spacing w:after="0" w:line="2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8" w:right="339" w:bottom="1440" w:gutter="0" w:footer="0" w:header="0"/>
        </w:sectPr>
      </w:pPr>
    </w:p>
    <w:bookmarkStart w:id="24" w:name="page25"/>
    <w:bookmarkEnd w:id="24"/>
    <w:p>
      <w:pPr>
        <w:ind w:right="140"/>
        <w:spacing w:after="0" w:line="242" w:lineRule="auto"/>
        <w:rPr>
          <w:sz w:val="20"/>
          <w:szCs w:val="20"/>
          <w:color w:val="auto"/>
        </w:rPr>
      </w:pPr>
      <w:r>
        <w:rPr>
          <w:rFonts w:ascii="Arial" w:cs="Arial" w:eastAsia="Arial" w:hAnsi="Arial"/>
          <w:sz w:val="18"/>
          <w:szCs w:val="18"/>
          <w:color w:val="auto"/>
        </w:rPr>
        <w:t>respect to such program are retained by us; if Novartis does exercise its Option, such program becomes a Licensed Program, or together with the First Licensed Program, the Licensed Programs. Under the 2025 Novartis Agreement, we will apply our proprietary AI/ML-enabled QuEEN™ engine for the discovery and development of degraders for the First Licensed Program and the Optioned I&amp;I Programs. The Licensed Programs will be further developed and commercialized by Novartis, unless otherwise agreed to by the parties in accordance with the 2025 Novartis Agreement. Research activities for the Licensed Programs governed by the Agreement will be overseen by a Joint Research Committee.</w:t>
      </w:r>
    </w:p>
    <w:p>
      <w:pPr>
        <w:spacing w:after="0" w:line="71" w:lineRule="exact"/>
        <w:rPr>
          <w:sz w:val="20"/>
          <w:szCs w:val="20"/>
          <w:color w:val="auto"/>
        </w:rPr>
      </w:pPr>
    </w:p>
    <w:p>
      <w:pPr>
        <w:spacing w:after="0" w:line="239" w:lineRule="auto"/>
        <w:rPr>
          <w:sz w:val="20"/>
          <w:szCs w:val="20"/>
          <w:color w:val="auto"/>
        </w:rPr>
      </w:pPr>
      <w:r>
        <w:rPr>
          <w:rFonts w:ascii="Arial" w:cs="Arial" w:eastAsia="Arial" w:hAnsi="Arial"/>
          <w:sz w:val="18"/>
          <w:szCs w:val="18"/>
          <w:color w:val="auto"/>
        </w:rPr>
        <w:t>In September 2025, the Company received a $ 120.0 million non-refundable upfront payment from Novartis. Pursuant to the 2025 Novartis Agreement, the Company is entitled to receive from Novartis payments to maintain the Options totaling up to $60.0 million, and is eligible to receive from Novartis (1) preclinical milestone payments relating to the First Licensed Program and option exercise payments related to the Options of up to $180.0 million, (2) up to $5.4 billion in clinical development, regulatory, and sales milestones relating to the First Licensed Program and the two Optioned I&amp;I Programs, beginning upon initiation of Phase 1 studies, including (a) potential development and regulatory milestone payments up to $2.2 billion if regulatory approval is achieved for multiple indications in multiple territories and (b) potential sales milestone payments up to $3.2 billion, allocated across licensed products, and (3) tiered royalties on global net sales in the high-single to low double-digit range for the First Licensed Program and in the low double-digit range for the two Optioned I&amp;I Programs. The Company will be responsible for costs related to research activities, while Novartis will be responsible for costs related to development and commercialization activities.</w:t>
      </w:r>
    </w:p>
    <w:p>
      <w:pPr>
        <w:spacing w:after="0" w:line="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Research and development expenses</w:t>
      </w:r>
    </w:p>
    <w:p>
      <w:pPr>
        <w:spacing w:after="0" w:line="102" w:lineRule="exact"/>
        <w:rPr>
          <w:sz w:val="20"/>
          <w:szCs w:val="20"/>
          <w:color w:val="auto"/>
        </w:rPr>
      </w:pPr>
    </w:p>
    <w:p>
      <w:pPr>
        <w:spacing w:after="0"/>
        <w:rPr>
          <w:sz w:val="20"/>
          <w:szCs w:val="20"/>
          <w:color w:val="auto"/>
        </w:rPr>
      </w:pPr>
      <w:r>
        <w:rPr>
          <w:rFonts w:ascii="Arial" w:cs="Arial" w:eastAsia="Arial" w:hAnsi="Arial"/>
          <w:sz w:val="18"/>
          <w:szCs w:val="18"/>
          <w:color w:val="auto"/>
        </w:rPr>
        <w:t>Our research and development expenses include:</w:t>
      </w:r>
    </w:p>
    <w:p>
      <w:pPr>
        <w:spacing w:after="0" w:line="104" w:lineRule="exact"/>
        <w:rPr>
          <w:sz w:val="20"/>
          <w:szCs w:val="20"/>
          <w:color w:val="auto"/>
        </w:rPr>
      </w:pPr>
    </w:p>
    <w:p>
      <w:pPr>
        <w:ind w:left="260" w:right="120" w:hanging="252"/>
        <w:spacing w:after="0" w:line="270" w:lineRule="auto"/>
        <w:tabs>
          <w:tab w:leader="none" w:pos="260" w:val="left"/>
        </w:tabs>
        <w:numPr>
          <w:ilvl w:val="0"/>
          <w:numId w:val="9"/>
        </w:numPr>
        <w:rPr>
          <w:rFonts w:ascii="Times New Roman" w:cs="Times New Roman" w:eastAsia="Times New Roman" w:hAnsi="Times New Roman"/>
          <w:sz w:val="18"/>
          <w:szCs w:val="18"/>
          <w:color w:val="auto"/>
        </w:rPr>
      </w:pPr>
      <w:r>
        <w:rPr>
          <w:rFonts w:ascii="Arial" w:cs="Arial" w:eastAsia="Arial" w:hAnsi="Arial"/>
          <w:sz w:val="18"/>
          <w:szCs w:val="18"/>
          <w:color w:val="auto"/>
        </w:rPr>
        <w:t>expenses incurred under agreements with consultants, third-party service providers that conduct research and development activities on our behalf;</w:t>
      </w:r>
    </w:p>
    <w:p>
      <w:pPr>
        <w:spacing w:after="0" w:line="46" w:lineRule="exact"/>
        <w:rPr>
          <w:rFonts w:ascii="Times New Roman" w:cs="Times New Roman" w:eastAsia="Times New Roman" w:hAnsi="Times New Roman"/>
          <w:sz w:val="18"/>
          <w:szCs w:val="18"/>
          <w:color w:val="auto"/>
        </w:rPr>
      </w:pPr>
    </w:p>
    <w:p>
      <w:pPr>
        <w:ind w:left="260" w:hanging="252"/>
        <w:spacing w:after="0"/>
        <w:tabs>
          <w:tab w:leader="none" w:pos="260" w:val="left"/>
        </w:tabs>
        <w:numPr>
          <w:ilvl w:val="0"/>
          <w:numId w:val="9"/>
        </w:numPr>
        <w:rPr>
          <w:rFonts w:ascii="Times New Roman" w:cs="Times New Roman" w:eastAsia="Times New Roman" w:hAnsi="Times New Roman"/>
          <w:sz w:val="18"/>
          <w:szCs w:val="18"/>
          <w:color w:val="auto"/>
        </w:rPr>
      </w:pPr>
      <w:r>
        <w:rPr>
          <w:rFonts w:ascii="Arial" w:cs="Arial" w:eastAsia="Arial" w:hAnsi="Arial"/>
          <w:sz w:val="18"/>
          <w:szCs w:val="18"/>
          <w:color w:val="auto"/>
        </w:rPr>
        <w:t>personnel costs, which include salaries, benefits, pension and stock-based compensation;</w:t>
      </w:r>
    </w:p>
    <w:p>
      <w:pPr>
        <w:spacing w:after="0" w:line="116" w:lineRule="exact"/>
        <w:rPr>
          <w:rFonts w:ascii="Times New Roman" w:cs="Times New Roman" w:eastAsia="Times New Roman" w:hAnsi="Times New Roman"/>
          <w:sz w:val="18"/>
          <w:szCs w:val="18"/>
          <w:color w:val="auto"/>
        </w:rPr>
      </w:pPr>
    </w:p>
    <w:p>
      <w:pPr>
        <w:ind w:left="260" w:hanging="252"/>
        <w:spacing w:after="0"/>
        <w:tabs>
          <w:tab w:leader="none" w:pos="260" w:val="left"/>
        </w:tabs>
        <w:numPr>
          <w:ilvl w:val="0"/>
          <w:numId w:val="9"/>
        </w:numPr>
        <w:rPr>
          <w:rFonts w:ascii="Times New Roman" w:cs="Times New Roman" w:eastAsia="Times New Roman" w:hAnsi="Times New Roman"/>
          <w:sz w:val="18"/>
          <w:szCs w:val="18"/>
          <w:color w:val="auto"/>
        </w:rPr>
      </w:pPr>
      <w:r>
        <w:rPr>
          <w:rFonts w:ascii="Arial" w:cs="Arial" w:eastAsia="Arial" w:hAnsi="Arial"/>
          <w:sz w:val="18"/>
          <w:szCs w:val="18"/>
          <w:color w:val="auto"/>
        </w:rPr>
        <w:t>laboratory and vendor expenses related to the execution of preclinical and clinical studies;</w:t>
      </w:r>
    </w:p>
    <w:p>
      <w:pPr>
        <w:spacing w:after="0" w:line="116" w:lineRule="exact"/>
        <w:rPr>
          <w:rFonts w:ascii="Times New Roman" w:cs="Times New Roman" w:eastAsia="Times New Roman" w:hAnsi="Times New Roman"/>
          <w:sz w:val="18"/>
          <w:szCs w:val="18"/>
          <w:color w:val="auto"/>
        </w:rPr>
      </w:pPr>
    </w:p>
    <w:p>
      <w:pPr>
        <w:ind w:left="260" w:hanging="252"/>
        <w:spacing w:after="0"/>
        <w:tabs>
          <w:tab w:leader="none" w:pos="260" w:val="left"/>
        </w:tabs>
        <w:numPr>
          <w:ilvl w:val="0"/>
          <w:numId w:val="9"/>
        </w:numPr>
        <w:rPr>
          <w:rFonts w:ascii="Times New Roman" w:cs="Times New Roman" w:eastAsia="Times New Roman" w:hAnsi="Times New Roman"/>
          <w:sz w:val="18"/>
          <w:szCs w:val="18"/>
          <w:color w:val="auto"/>
        </w:rPr>
      </w:pPr>
      <w:r>
        <w:rPr>
          <w:rFonts w:ascii="Arial" w:cs="Arial" w:eastAsia="Arial" w:hAnsi="Arial"/>
          <w:sz w:val="18"/>
          <w:szCs w:val="18"/>
          <w:color w:val="auto"/>
        </w:rPr>
        <w:t>laboratory supplies and materials used for internal research and development activities; and</w:t>
      </w:r>
    </w:p>
    <w:p>
      <w:pPr>
        <w:spacing w:after="0" w:line="116" w:lineRule="exact"/>
        <w:rPr>
          <w:rFonts w:ascii="Times New Roman" w:cs="Times New Roman" w:eastAsia="Times New Roman" w:hAnsi="Times New Roman"/>
          <w:sz w:val="18"/>
          <w:szCs w:val="18"/>
          <w:color w:val="auto"/>
        </w:rPr>
      </w:pPr>
    </w:p>
    <w:p>
      <w:pPr>
        <w:ind w:left="260" w:hanging="252"/>
        <w:spacing w:after="0"/>
        <w:tabs>
          <w:tab w:leader="none" w:pos="260" w:val="left"/>
        </w:tabs>
        <w:numPr>
          <w:ilvl w:val="0"/>
          <w:numId w:val="9"/>
        </w:numPr>
        <w:rPr>
          <w:rFonts w:ascii="Times New Roman" w:cs="Times New Roman" w:eastAsia="Times New Roman" w:hAnsi="Times New Roman"/>
          <w:sz w:val="18"/>
          <w:szCs w:val="18"/>
          <w:color w:val="auto"/>
        </w:rPr>
      </w:pPr>
      <w:r>
        <w:rPr>
          <w:rFonts w:ascii="Arial" w:cs="Arial" w:eastAsia="Arial" w:hAnsi="Arial"/>
          <w:sz w:val="18"/>
          <w:szCs w:val="18"/>
          <w:color w:val="auto"/>
        </w:rPr>
        <w:t>facilities and equipment costs.</w:t>
      </w:r>
    </w:p>
    <w:p>
      <w:pPr>
        <w:spacing w:after="0" w:line="122" w:lineRule="exact"/>
        <w:rPr>
          <w:sz w:val="20"/>
          <w:szCs w:val="20"/>
          <w:color w:val="auto"/>
        </w:rPr>
      </w:pPr>
    </w:p>
    <w:p>
      <w:pPr>
        <w:ind w:right="20"/>
        <w:spacing w:after="0" w:line="234" w:lineRule="auto"/>
        <w:rPr>
          <w:sz w:val="20"/>
          <w:szCs w:val="20"/>
          <w:color w:val="auto"/>
        </w:rPr>
      </w:pPr>
      <w:r>
        <w:rPr>
          <w:rFonts w:ascii="Arial" w:cs="Arial" w:eastAsia="Arial" w:hAnsi="Arial"/>
          <w:sz w:val="17"/>
          <w:szCs w:val="17"/>
          <w:color w:val="auto"/>
        </w:rPr>
        <w:t>Most of our research and development expenses have been related to the development of our QuEEN</w:t>
      </w:r>
      <w:r>
        <w:rPr>
          <w:rFonts w:ascii="Arial" w:cs="Arial" w:eastAsia="Arial" w:hAnsi="Arial"/>
          <w:sz w:val="23"/>
          <w:szCs w:val="23"/>
          <w:color w:val="auto"/>
          <w:vertAlign w:val="superscript"/>
        </w:rPr>
        <w:t>TM</w:t>
      </w:r>
      <w:r>
        <w:rPr>
          <w:rFonts w:ascii="Arial" w:cs="Arial" w:eastAsia="Arial" w:hAnsi="Arial"/>
          <w:sz w:val="17"/>
          <w:szCs w:val="17"/>
          <w:color w:val="auto"/>
        </w:rPr>
        <w:t xml:space="preserve"> discovery engine and advancement of our GSPT1, NEK7, and VAV1 programs, and advancement of our disclosed and undisclosed programs including for CDK2 and CCNE1.</w:t>
      </w:r>
    </w:p>
    <w:p>
      <w:pPr>
        <w:spacing w:after="0" w:line="72" w:lineRule="exact"/>
        <w:rPr>
          <w:sz w:val="20"/>
          <w:szCs w:val="20"/>
          <w:color w:val="auto"/>
        </w:rPr>
      </w:pPr>
    </w:p>
    <w:p>
      <w:pPr>
        <w:ind w:right="80"/>
        <w:spacing w:after="0" w:line="253" w:lineRule="auto"/>
        <w:rPr>
          <w:sz w:val="20"/>
          <w:szCs w:val="20"/>
          <w:color w:val="auto"/>
        </w:rPr>
      </w:pPr>
      <w:r>
        <w:rPr>
          <w:rFonts w:ascii="Arial" w:cs="Arial" w:eastAsia="Arial" w:hAnsi="Arial"/>
          <w:sz w:val="18"/>
          <w:szCs w:val="18"/>
          <w:color w:val="auto"/>
        </w:rPr>
        <w:t>We expense all research and development costs in the periods in which they are incurred. Costs for certain research and development activities are recognized based on an evaluation of the progress to completion of specific tasks using information and data provided to us by our vendors and third-party service providers.</w:t>
      </w:r>
    </w:p>
    <w:p>
      <w:pPr>
        <w:spacing w:after="0" w:line="61" w:lineRule="exact"/>
        <w:rPr>
          <w:sz w:val="20"/>
          <w:szCs w:val="20"/>
          <w:color w:val="auto"/>
        </w:rPr>
      </w:pPr>
    </w:p>
    <w:p>
      <w:pPr>
        <w:ind w:right="20"/>
        <w:spacing w:after="0" w:line="242" w:lineRule="auto"/>
        <w:rPr>
          <w:sz w:val="20"/>
          <w:szCs w:val="20"/>
          <w:color w:val="auto"/>
        </w:rPr>
      </w:pPr>
      <w:r>
        <w:rPr>
          <w:rFonts w:ascii="Arial" w:cs="Arial" w:eastAsia="Arial" w:hAnsi="Arial"/>
          <w:sz w:val="18"/>
          <w:szCs w:val="18"/>
          <w:color w:val="auto"/>
        </w:rPr>
        <w:t>We expect our research and development expenses to increase substantially for the foreseeable future as we continue to invest in research and development activities related to developing our product candidates, including investments in manufacturing, as we advance our programs and conduct clinical trials. The process of conducting the necessary clinical research to obtain regulatory approval is costly and time-consuming, and the successful development of our product candidates is highly uncertain. As a result, we are unable to determine the duration and completion costs of our research and development projects, the costs of related clinical development costs or when and to what extent we will generate revenue from the commercialization and sale of any of our product candidates.</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General and administrative expenses</w:t>
      </w:r>
    </w:p>
    <w:p>
      <w:pPr>
        <w:spacing w:after="0" w:line="102" w:lineRule="exact"/>
        <w:rPr>
          <w:sz w:val="20"/>
          <w:szCs w:val="20"/>
          <w:color w:val="auto"/>
        </w:rPr>
      </w:pPr>
    </w:p>
    <w:p>
      <w:pPr>
        <w:ind w:right="20"/>
        <w:spacing w:after="0" w:line="244" w:lineRule="auto"/>
        <w:rPr>
          <w:sz w:val="20"/>
          <w:szCs w:val="20"/>
          <w:color w:val="auto"/>
        </w:rPr>
      </w:pPr>
      <w:r>
        <w:rPr>
          <w:rFonts w:ascii="Arial" w:cs="Arial" w:eastAsia="Arial" w:hAnsi="Arial"/>
          <w:sz w:val="18"/>
          <w:szCs w:val="18"/>
          <w:color w:val="auto"/>
        </w:rPr>
        <w:t>Our general and administrative expenses consist primarily of personnel costs and other expenses for outside professional services, including legal fees relating to patent and corporate matters, professional fees for accounting, auditing, tax and administrative consulting services, insurance costs and other operating costs. We expect our general and administrative expenses to increase over the next several years to support our continued research and development activities, manufacturing activities, and the potential commercialization of our product candidates and development of commercial infrastructure.</w:t>
      </w:r>
    </w:p>
    <w:p>
      <w:pPr>
        <w:spacing w:after="0" w:line="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Non-operating income and (expense)</w:t>
      </w:r>
    </w:p>
    <w:p>
      <w:pPr>
        <w:spacing w:after="0" w:line="102"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Our non-operating income and (expense) includes (i) interest earned on our investments, including principally U.S. government-backed money-market funds and marketable securities; (ii) gains and losses on transactions of our Swiss subsidiary denominated in currencies other than the U.S. Dollar; and (iii) proceeds from the sale of fixed assets.</w:t>
      </w:r>
    </w:p>
    <w:p>
      <w:pPr>
        <w:spacing w:after="0" w:line="16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20" w:right="359" w:bottom="1440" w:gutter="0" w:footer="0" w:header="0"/>
        </w:sectPr>
      </w:pPr>
    </w:p>
    <w:bookmarkStart w:id="25" w:name="page26"/>
    <w:bookmarkEnd w:id="25"/>
    <w:p>
      <w:pPr>
        <w:spacing w:after="0"/>
        <w:rPr>
          <w:sz w:val="20"/>
          <w:szCs w:val="20"/>
          <w:color w:val="auto"/>
        </w:rPr>
      </w:pPr>
      <w:r>
        <w:rPr>
          <w:rFonts w:ascii="Arial" w:cs="Arial" w:eastAsia="Arial" w:hAnsi="Arial"/>
          <w:sz w:val="22"/>
          <w:szCs w:val="22"/>
          <w:b w:val="1"/>
          <w:bCs w:val="1"/>
          <w:color w:val="auto"/>
        </w:rPr>
        <w:t>Results of operations for the three months ended March 31, 2026 and 2025</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color w:val="auto"/>
        </w:rPr>
        <w:t>The following sets forth our results of operations (in thousands):</w:t>
      </w:r>
    </w:p>
    <w:p>
      <w:pPr>
        <w:spacing w:after="0" w:line="102"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4700" w:type="dxa"/>
            <w:vAlign w:val="bottom"/>
            <w:tcBorders>
              <w:top w:val="single" w:sz="8" w:color="auto"/>
            </w:tcBorders>
          </w:tcPr>
          <w:p>
            <w:pPr>
              <w:spacing w:after="0"/>
              <w:rPr>
                <w:sz w:val="16"/>
                <w:szCs w:val="16"/>
                <w:color w:val="auto"/>
              </w:rPr>
            </w:pPr>
          </w:p>
        </w:tc>
        <w:tc>
          <w:tcPr>
            <w:tcW w:w="1940" w:type="dxa"/>
            <w:vAlign w:val="bottom"/>
            <w:tcBorders>
              <w:top w:val="single" w:sz="8" w:color="auto"/>
            </w:tcBorders>
          </w:tcPr>
          <w:p>
            <w:pPr>
              <w:spacing w:after="0"/>
              <w:rPr>
                <w:sz w:val="16"/>
                <w:szCs w:val="16"/>
                <w:color w:val="auto"/>
              </w:rPr>
            </w:pPr>
          </w:p>
        </w:tc>
        <w:tc>
          <w:tcPr>
            <w:tcW w:w="280" w:type="dxa"/>
            <w:vAlign w:val="bottom"/>
            <w:tcBorders>
              <w:top w:val="single" w:sz="8" w:color="auto"/>
            </w:tcBorders>
          </w:tcPr>
          <w:p>
            <w:pPr>
              <w:spacing w:after="0"/>
              <w:rPr>
                <w:sz w:val="16"/>
                <w:szCs w:val="16"/>
                <w:color w:val="auto"/>
              </w:rPr>
            </w:pPr>
          </w:p>
        </w:tc>
        <w:tc>
          <w:tcPr>
            <w:tcW w:w="2760" w:type="dxa"/>
            <w:vAlign w:val="bottom"/>
            <w:tcBorders>
              <w:top w:val="single" w:sz="8" w:color="auto"/>
            </w:tcBorders>
            <w:gridSpan w:val="3"/>
          </w:tcPr>
          <w:p>
            <w:pPr>
              <w:jc w:val="right"/>
              <w:ind w:right="739"/>
              <w:spacing w:after="0"/>
              <w:rPr>
                <w:sz w:val="20"/>
                <w:szCs w:val="20"/>
                <w:color w:val="auto"/>
              </w:rPr>
            </w:pPr>
            <w:r>
              <w:rPr>
                <w:rFonts w:ascii="Arial" w:cs="Arial" w:eastAsia="Arial" w:hAnsi="Arial"/>
                <w:sz w:val="16"/>
                <w:szCs w:val="16"/>
                <w:b w:val="1"/>
                <w:bCs w:val="1"/>
                <w:color w:val="auto"/>
              </w:rPr>
              <w:t>Three months ended</w:t>
            </w:r>
          </w:p>
        </w:tc>
        <w:tc>
          <w:tcPr>
            <w:tcW w:w="240" w:type="dxa"/>
            <w:vAlign w:val="bottom"/>
            <w:tcBorders>
              <w:top w:val="single" w:sz="8" w:color="auto"/>
            </w:tcBorders>
          </w:tcPr>
          <w:p>
            <w:pPr>
              <w:spacing w:after="0"/>
              <w:rPr>
                <w:sz w:val="16"/>
                <w:szCs w:val="16"/>
                <w:color w:val="auto"/>
              </w:rPr>
            </w:pPr>
          </w:p>
        </w:tc>
        <w:tc>
          <w:tcPr>
            <w:tcW w:w="1320" w:type="dxa"/>
            <w:vAlign w:val="bottom"/>
            <w:tcBorders>
              <w:top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4700" w:type="dxa"/>
            <w:vAlign w:val="bottom"/>
          </w:tcPr>
          <w:p>
            <w:pPr>
              <w:spacing w:after="0"/>
              <w:rPr>
                <w:sz w:val="17"/>
                <w:szCs w:val="17"/>
                <w:color w:val="auto"/>
              </w:rPr>
            </w:pPr>
          </w:p>
        </w:tc>
        <w:tc>
          <w:tcPr>
            <w:tcW w:w="194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680" w:type="dxa"/>
            <w:vAlign w:val="bottom"/>
            <w:tcBorders>
              <w:bottom w:val="single" w:sz="8" w:color="auto"/>
            </w:tcBorders>
            <w:gridSpan w:val="2"/>
          </w:tcPr>
          <w:p>
            <w:pPr>
              <w:jc w:val="right"/>
              <w:ind w:right="59"/>
              <w:spacing w:after="0"/>
              <w:rPr>
                <w:sz w:val="20"/>
                <w:szCs w:val="20"/>
                <w:color w:val="auto"/>
              </w:rPr>
            </w:pPr>
            <w:r>
              <w:rPr>
                <w:rFonts w:ascii="Arial" w:cs="Arial" w:eastAsia="Arial" w:hAnsi="Arial"/>
                <w:sz w:val="16"/>
                <w:szCs w:val="16"/>
                <w:b w:val="1"/>
                <w:bCs w:val="1"/>
                <w:color w:val="auto"/>
              </w:rPr>
              <w:t>March 31,</w:t>
            </w:r>
          </w:p>
        </w:tc>
        <w:tc>
          <w:tcPr>
            <w:tcW w:w="1080" w:type="dxa"/>
            <w:vAlign w:val="bottom"/>
            <w:tcBorders>
              <w:bottom w:val="single" w:sz="8" w:color="auto"/>
            </w:tcBorders>
          </w:tcPr>
          <w:p>
            <w:pPr>
              <w:spacing w:after="0"/>
              <w:rPr>
                <w:sz w:val="17"/>
                <w:szCs w:val="17"/>
                <w:color w:val="auto"/>
              </w:rPr>
            </w:pPr>
          </w:p>
        </w:tc>
        <w:tc>
          <w:tcPr>
            <w:tcW w:w="240" w:type="dxa"/>
            <w:vAlign w:val="bottom"/>
          </w:tcPr>
          <w:p>
            <w:pPr>
              <w:spacing w:after="0"/>
              <w:rPr>
                <w:sz w:val="17"/>
                <w:szCs w:val="17"/>
                <w:color w:val="auto"/>
              </w:rPr>
            </w:pPr>
          </w:p>
        </w:tc>
        <w:tc>
          <w:tcPr>
            <w:tcW w:w="1320" w:type="dxa"/>
            <w:vAlign w:val="bottom"/>
            <w:vMerge w:val="restart"/>
          </w:tcPr>
          <w:p>
            <w:pPr>
              <w:jc w:val="right"/>
              <w:ind w:right="159"/>
              <w:spacing w:after="0"/>
              <w:rPr>
                <w:sz w:val="20"/>
                <w:szCs w:val="20"/>
                <w:color w:val="auto"/>
              </w:rPr>
            </w:pPr>
            <w:r>
              <w:rPr>
                <w:rFonts w:ascii="Arial" w:cs="Arial" w:eastAsia="Arial" w:hAnsi="Arial"/>
                <w:sz w:val="16"/>
                <w:szCs w:val="16"/>
                <w:b w:val="1"/>
                <w:bCs w:val="1"/>
                <w:color w:val="auto"/>
              </w:rPr>
              <w:t>Dollar change</w:t>
            </w:r>
          </w:p>
        </w:tc>
        <w:tc>
          <w:tcPr>
            <w:tcW w:w="0" w:type="dxa"/>
            <w:vAlign w:val="bottom"/>
          </w:tcPr>
          <w:p>
            <w:pPr>
              <w:spacing w:after="0"/>
              <w:rPr>
                <w:sz w:val="1"/>
                <w:szCs w:val="1"/>
                <w:color w:val="auto"/>
              </w:rPr>
            </w:pPr>
          </w:p>
        </w:tc>
      </w:tr>
      <w:tr>
        <w:trPr>
          <w:trHeight w:val="183"/>
        </w:trPr>
        <w:tc>
          <w:tcPr>
            <w:tcW w:w="4700" w:type="dxa"/>
            <w:vAlign w:val="bottom"/>
            <w:tcBorders>
              <w:bottom w:val="single" w:sz="8" w:color="auto"/>
            </w:tcBorders>
          </w:tcPr>
          <w:p>
            <w:pPr>
              <w:spacing w:after="0"/>
              <w:rPr>
                <w:sz w:val="15"/>
                <w:szCs w:val="15"/>
                <w:color w:val="auto"/>
              </w:rPr>
            </w:pPr>
          </w:p>
        </w:tc>
        <w:tc>
          <w:tcPr>
            <w:tcW w:w="1940" w:type="dxa"/>
            <w:vAlign w:val="bottom"/>
            <w:tcBorders>
              <w:bottom w:val="single" w:sz="8" w:color="auto"/>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tcPr>
          <w:p>
            <w:pPr>
              <w:jc w:val="right"/>
              <w:ind w:right="579"/>
              <w:spacing w:after="0" w:line="183" w:lineRule="exact"/>
              <w:rPr>
                <w:sz w:val="20"/>
                <w:szCs w:val="20"/>
                <w:color w:val="auto"/>
              </w:rPr>
            </w:pPr>
            <w:r>
              <w:rPr>
                <w:rFonts w:ascii="Arial" w:cs="Arial" w:eastAsia="Arial" w:hAnsi="Arial"/>
                <w:sz w:val="16"/>
                <w:szCs w:val="16"/>
                <w:b w:val="1"/>
                <w:bCs w:val="1"/>
                <w:color w:val="auto"/>
              </w:rPr>
              <w:t>2026</w:t>
            </w:r>
          </w:p>
        </w:tc>
        <w:tc>
          <w:tcPr>
            <w:tcW w:w="46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ind w:right="519"/>
              <w:spacing w:after="0" w:line="183" w:lineRule="exact"/>
              <w:rPr>
                <w:sz w:val="20"/>
                <w:szCs w:val="20"/>
                <w:color w:val="auto"/>
              </w:rPr>
            </w:pPr>
            <w:r>
              <w:rPr>
                <w:rFonts w:ascii="Arial" w:cs="Arial" w:eastAsia="Arial" w:hAnsi="Arial"/>
                <w:sz w:val="16"/>
                <w:szCs w:val="16"/>
                <w:b w:val="1"/>
                <w:bCs w:val="1"/>
                <w:color w:val="auto"/>
              </w:rPr>
              <w:t>2025</w:t>
            </w:r>
          </w:p>
        </w:tc>
        <w:tc>
          <w:tcPr>
            <w:tcW w:w="240" w:type="dxa"/>
            <w:vAlign w:val="bottom"/>
            <w:tcBorders>
              <w:bottom w:val="single" w:sz="8" w:color="auto"/>
            </w:tcBorders>
          </w:tcPr>
          <w:p>
            <w:pPr>
              <w:spacing w:after="0"/>
              <w:rPr>
                <w:sz w:val="15"/>
                <w:szCs w:val="15"/>
                <w:color w:val="auto"/>
              </w:rPr>
            </w:pPr>
          </w:p>
        </w:tc>
        <w:tc>
          <w:tcPr>
            <w:tcW w:w="132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4700" w:type="dxa"/>
            <w:vAlign w:val="bottom"/>
            <w:shd w:val="clear" w:color="auto" w:fill="CFF0FC"/>
          </w:tcPr>
          <w:p>
            <w:pPr>
              <w:spacing w:after="0" w:line="183" w:lineRule="exact"/>
              <w:rPr>
                <w:sz w:val="20"/>
                <w:szCs w:val="20"/>
                <w:color w:val="auto"/>
              </w:rPr>
            </w:pPr>
            <w:r>
              <w:rPr>
                <w:rFonts w:ascii="Arial" w:cs="Arial" w:eastAsia="Arial" w:hAnsi="Arial"/>
                <w:sz w:val="16"/>
                <w:szCs w:val="16"/>
                <w:color w:val="auto"/>
              </w:rPr>
              <w:t>Collaboration revenue</w:t>
            </w:r>
          </w:p>
        </w:tc>
        <w:tc>
          <w:tcPr>
            <w:tcW w:w="2220" w:type="dxa"/>
            <w:vAlign w:val="bottom"/>
            <w:gridSpan w:val="2"/>
            <w:shd w:val="clear" w:color="auto" w:fill="CFF0FC"/>
          </w:tcPr>
          <w:p>
            <w:pPr>
              <w:jc w:val="right"/>
              <w:ind w:right="200"/>
              <w:spacing w:after="0" w:line="183" w:lineRule="exact"/>
              <w:rPr>
                <w:sz w:val="20"/>
                <w:szCs w:val="20"/>
                <w:color w:val="auto"/>
              </w:rPr>
            </w:pPr>
            <w:r>
              <w:rPr>
                <w:rFonts w:ascii="Arial" w:cs="Arial" w:eastAsia="Arial" w:hAnsi="Arial"/>
                <w:sz w:val="16"/>
                <w:szCs w:val="16"/>
                <w:color w:val="auto"/>
              </w:rPr>
              <w:t>$</w:t>
            </w:r>
          </w:p>
        </w:tc>
        <w:tc>
          <w:tcPr>
            <w:tcW w:w="1220" w:type="dxa"/>
            <w:vAlign w:val="bottom"/>
            <w:shd w:val="clear" w:color="auto" w:fill="CFF0FC"/>
          </w:tcPr>
          <w:p>
            <w:pPr>
              <w:jc w:val="right"/>
              <w:ind w:right="99"/>
              <w:spacing w:after="0" w:line="183" w:lineRule="exact"/>
              <w:rPr>
                <w:sz w:val="20"/>
                <w:szCs w:val="20"/>
                <w:color w:val="auto"/>
              </w:rPr>
            </w:pPr>
            <w:r>
              <w:rPr>
                <w:rFonts w:ascii="Arial" w:cs="Arial" w:eastAsia="Arial" w:hAnsi="Arial"/>
                <w:sz w:val="16"/>
                <w:szCs w:val="16"/>
                <w:color w:val="auto"/>
              </w:rPr>
              <w:t>4,210</w:t>
            </w:r>
          </w:p>
        </w:tc>
        <w:tc>
          <w:tcPr>
            <w:tcW w:w="460" w:type="dxa"/>
            <w:vAlign w:val="bottom"/>
            <w:shd w:val="clear" w:color="auto" w:fill="CFF0FC"/>
          </w:tcPr>
          <w:p>
            <w:pPr>
              <w:jc w:val="right"/>
              <w:ind w:right="179"/>
              <w:spacing w:after="0" w:line="183" w:lineRule="exact"/>
              <w:rPr>
                <w:sz w:val="20"/>
                <w:szCs w:val="20"/>
                <w:color w:val="auto"/>
              </w:rPr>
            </w:pPr>
            <w:r>
              <w:rPr>
                <w:rFonts w:ascii="Arial" w:cs="Arial" w:eastAsia="Arial" w:hAnsi="Arial"/>
                <w:sz w:val="16"/>
                <w:szCs w:val="16"/>
                <w:color w:val="auto"/>
              </w:rPr>
              <w:t>$</w:t>
            </w:r>
          </w:p>
        </w:tc>
        <w:tc>
          <w:tcPr>
            <w:tcW w:w="1080" w:type="dxa"/>
            <w:vAlign w:val="bottom"/>
            <w:shd w:val="clear" w:color="auto" w:fill="CFF0FC"/>
          </w:tcPr>
          <w:p>
            <w:pPr>
              <w:jc w:val="right"/>
              <w:ind w:right="39"/>
              <w:spacing w:after="0" w:line="183" w:lineRule="exact"/>
              <w:rPr>
                <w:sz w:val="20"/>
                <w:szCs w:val="20"/>
                <w:color w:val="auto"/>
              </w:rPr>
            </w:pPr>
            <w:r>
              <w:rPr>
                <w:rFonts w:ascii="Arial" w:cs="Arial" w:eastAsia="Arial" w:hAnsi="Arial"/>
                <w:sz w:val="16"/>
                <w:szCs w:val="16"/>
                <w:color w:val="auto"/>
              </w:rPr>
              <w:t>84,929</w:t>
            </w:r>
          </w:p>
        </w:tc>
        <w:tc>
          <w:tcPr>
            <w:tcW w:w="240" w:type="dxa"/>
            <w:vAlign w:val="bottom"/>
            <w:shd w:val="clear" w:color="auto" w:fill="CFF0FC"/>
          </w:tcPr>
          <w:p>
            <w:pPr>
              <w:jc w:val="right"/>
              <w:spacing w:after="0" w:line="183" w:lineRule="exact"/>
              <w:rPr>
                <w:sz w:val="20"/>
                <w:szCs w:val="20"/>
                <w:color w:val="auto"/>
              </w:rPr>
            </w:pPr>
            <w:r>
              <w:rPr>
                <w:rFonts w:ascii="Arial" w:cs="Arial" w:eastAsia="Arial" w:hAnsi="Arial"/>
                <w:sz w:val="16"/>
                <w:szCs w:val="16"/>
                <w:color w:val="auto"/>
              </w:rPr>
              <w:t>$</w:t>
            </w:r>
          </w:p>
        </w:tc>
        <w:tc>
          <w:tcPr>
            <w:tcW w:w="1320" w:type="dxa"/>
            <w:vAlign w:val="bottom"/>
            <w:shd w:val="clear" w:color="auto" w:fill="CFF0FC"/>
          </w:tcPr>
          <w:p>
            <w:pPr>
              <w:jc w:val="right"/>
              <w:spacing w:after="0" w:line="183" w:lineRule="exact"/>
              <w:rPr>
                <w:sz w:val="20"/>
                <w:szCs w:val="20"/>
                <w:color w:val="auto"/>
              </w:rPr>
            </w:pPr>
            <w:r>
              <w:rPr>
                <w:rFonts w:ascii="Arial" w:cs="Arial" w:eastAsia="Arial" w:hAnsi="Arial"/>
                <w:sz w:val="16"/>
                <w:szCs w:val="16"/>
                <w:color w:val="auto"/>
              </w:rPr>
              <w:t>(80,719)</w:t>
            </w:r>
          </w:p>
        </w:tc>
        <w:tc>
          <w:tcPr>
            <w:tcW w:w="0" w:type="dxa"/>
            <w:vAlign w:val="bottom"/>
          </w:tcPr>
          <w:p>
            <w:pPr>
              <w:spacing w:after="0"/>
              <w:rPr>
                <w:sz w:val="1"/>
                <w:szCs w:val="1"/>
                <w:color w:val="auto"/>
              </w:rPr>
            </w:pPr>
          </w:p>
        </w:tc>
      </w:tr>
      <w:tr>
        <w:trPr>
          <w:trHeight w:val="189"/>
        </w:trPr>
        <w:tc>
          <w:tcPr>
            <w:tcW w:w="4700" w:type="dxa"/>
            <w:vAlign w:val="bottom"/>
          </w:tcPr>
          <w:p>
            <w:pPr>
              <w:spacing w:after="0"/>
              <w:rPr>
                <w:sz w:val="20"/>
                <w:szCs w:val="20"/>
                <w:color w:val="auto"/>
              </w:rPr>
            </w:pPr>
            <w:r>
              <w:rPr>
                <w:rFonts w:ascii="Arial" w:cs="Arial" w:eastAsia="Arial" w:hAnsi="Arial"/>
                <w:sz w:val="16"/>
                <w:szCs w:val="16"/>
                <w:color w:val="auto"/>
              </w:rPr>
              <w:t>Operating expenses:</w:t>
            </w:r>
          </w:p>
        </w:tc>
        <w:tc>
          <w:tcPr>
            <w:tcW w:w="19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700" w:type="dxa"/>
            <w:vAlign w:val="bottom"/>
            <w:shd w:val="clear" w:color="auto" w:fill="CFF0FC"/>
          </w:tcPr>
          <w:p>
            <w:pPr>
              <w:ind w:left="120"/>
              <w:spacing w:after="0"/>
              <w:rPr>
                <w:sz w:val="20"/>
                <w:szCs w:val="20"/>
                <w:color w:val="auto"/>
              </w:rPr>
            </w:pPr>
            <w:r>
              <w:rPr>
                <w:rFonts w:ascii="Arial" w:cs="Arial" w:eastAsia="Arial" w:hAnsi="Arial"/>
                <w:sz w:val="16"/>
                <w:szCs w:val="16"/>
                <w:color w:val="auto"/>
              </w:rPr>
              <w:t>Research and development</w:t>
            </w:r>
          </w:p>
        </w:tc>
        <w:tc>
          <w:tcPr>
            <w:tcW w:w="2220" w:type="dxa"/>
            <w:vAlign w:val="bottom"/>
            <w:gridSpan w:val="2"/>
            <w:shd w:val="clear" w:color="auto" w:fill="CFF0FC"/>
          </w:tcPr>
          <w:p>
            <w:pPr>
              <w:jc w:val="right"/>
              <w:ind w:right="200"/>
              <w:spacing w:after="0"/>
              <w:rPr>
                <w:sz w:val="20"/>
                <w:szCs w:val="20"/>
                <w:color w:val="auto"/>
              </w:rPr>
            </w:pPr>
            <w:r>
              <w:rPr>
                <w:rFonts w:ascii="Arial" w:cs="Arial" w:eastAsia="Arial" w:hAnsi="Arial"/>
                <w:sz w:val="16"/>
                <w:szCs w:val="16"/>
                <w:color w:val="auto"/>
              </w:rPr>
              <w:t>$</w:t>
            </w:r>
          </w:p>
        </w:tc>
        <w:tc>
          <w:tcPr>
            <w:tcW w:w="1220" w:type="dxa"/>
            <w:vAlign w:val="bottom"/>
            <w:shd w:val="clear" w:color="auto" w:fill="CFF0FC"/>
          </w:tcPr>
          <w:p>
            <w:pPr>
              <w:jc w:val="right"/>
              <w:ind w:right="99"/>
              <w:spacing w:after="0"/>
              <w:rPr>
                <w:sz w:val="20"/>
                <w:szCs w:val="20"/>
                <w:color w:val="auto"/>
              </w:rPr>
            </w:pPr>
            <w:r>
              <w:rPr>
                <w:rFonts w:ascii="Arial" w:cs="Arial" w:eastAsia="Arial" w:hAnsi="Arial"/>
                <w:sz w:val="16"/>
                <w:szCs w:val="16"/>
                <w:color w:val="auto"/>
              </w:rPr>
              <w:t>44,069</w:t>
            </w:r>
          </w:p>
        </w:tc>
        <w:tc>
          <w:tcPr>
            <w:tcW w:w="460" w:type="dxa"/>
            <w:vAlign w:val="bottom"/>
            <w:shd w:val="clear" w:color="auto" w:fill="CFF0FC"/>
          </w:tcPr>
          <w:p>
            <w:pPr>
              <w:jc w:val="right"/>
              <w:ind w:right="179"/>
              <w:spacing w:after="0"/>
              <w:rPr>
                <w:sz w:val="20"/>
                <w:szCs w:val="20"/>
                <w:color w:val="auto"/>
              </w:rPr>
            </w:pPr>
            <w:r>
              <w:rPr>
                <w:rFonts w:ascii="Arial" w:cs="Arial" w:eastAsia="Arial" w:hAnsi="Arial"/>
                <w:sz w:val="16"/>
                <w:szCs w:val="16"/>
                <w:color w:val="auto"/>
              </w:rPr>
              <w:t>$</w:t>
            </w:r>
          </w:p>
        </w:tc>
        <w:tc>
          <w:tcPr>
            <w:tcW w:w="108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32,190</w:t>
            </w:r>
          </w:p>
        </w:tc>
        <w:tc>
          <w:tcPr>
            <w:tcW w:w="2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32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11,879</w:t>
            </w:r>
          </w:p>
        </w:tc>
        <w:tc>
          <w:tcPr>
            <w:tcW w:w="0" w:type="dxa"/>
            <w:vAlign w:val="bottom"/>
          </w:tcPr>
          <w:p>
            <w:pPr>
              <w:spacing w:after="0"/>
              <w:rPr>
                <w:sz w:val="1"/>
                <w:szCs w:val="1"/>
                <w:color w:val="auto"/>
              </w:rPr>
            </w:pPr>
          </w:p>
        </w:tc>
      </w:tr>
      <w:tr>
        <w:trPr>
          <w:trHeight w:val="189"/>
        </w:trPr>
        <w:tc>
          <w:tcPr>
            <w:tcW w:w="4700" w:type="dxa"/>
            <w:vAlign w:val="bottom"/>
          </w:tcPr>
          <w:p>
            <w:pPr>
              <w:ind w:left="120"/>
              <w:spacing w:after="0"/>
              <w:rPr>
                <w:sz w:val="20"/>
                <w:szCs w:val="20"/>
                <w:color w:val="auto"/>
              </w:rPr>
            </w:pPr>
            <w:r>
              <w:rPr>
                <w:rFonts w:ascii="Arial" w:cs="Arial" w:eastAsia="Arial" w:hAnsi="Arial"/>
                <w:sz w:val="16"/>
                <w:szCs w:val="16"/>
                <w:color w:val="auto"/>
              </w:rPr>
              <w:t>General and administrative</w:t>
            </w:r>
          </w:p>
        </w:tc>
        <w:tc>
          <w:tcPr>
            <w:tcW w:w="194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10,175</w:t>
            </w:r>
          </w:p>
        </w:tc>
        <w:tc>
          <w:tcPr>
            <w:tcW w:w="46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8,703</w:t>
            </w:r>
          </w:p>
        </w:tc>
        <w:tc>
          <w:tcPr>
            <w:tcW w:w="24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1,472</w:t>
            </w:r>
          </w:p>
        </w:tc>
        <w:tc>
          <w:tcPr>
            <w:tcW w:w="0" w:type="dxa"/>
            <w:vAlign w:val="bottom"/>
          </w:tcPr>
          <w:p>
            <w:pPr>
              <w:spacing w:after="0"/>
              <w:rPr>
                <w:sz w:val="1"/>
                <w:szCs w:val="1"/>
                <w:color w:val="auto"/>
              </w:rPr>
            </w:pPr>
          </w:p>
        </w:tc>
      </w:tr>
      <w:tr>
        <w:trPr>
          <w:trHeight w:val="183"/>
        </w:trPr>
        <w:tc>
          <w:tcPr>
            <w:tcW w:w="4700" w:type="dxa"/>
            <w:vAlign w:val="bottom"/>
            <w:tcBorders>
              <w:bottom w:val="single" w:sz="8" w:color="CFF0FC"/>
            </w:tcBorders>
            <w:shd w:val="clear" w:color="auto" w:fill="CFF0FC"/>
          </w:tcPr>
          <w:p>
            <w:pPr>
              <w:spacing w:after="0" w:line="183" w:lineRule="exact"/>
              <w:rPr>
                <w:sz w:val="20"/>
                <w:szCs w:val="20"/>
                <w:color w:val="auto"/>
              </w:rPr>
            </w:pPr>
            <w:r>
              <w:rPr>
                <w:rFonts w:ascii="Arial" w:cs="Arial" w:eastAsia="Arial" w:hAnsi="Arial"/>
                <w:sz w:val="16"/>
                <w:szCs w:val="16"/>
                <w:color w:val="auto"/>
              </w:rPr>
              <w:t>Total operating expenses</w:t>
            </w:r>
          </w:p>
        </w:tc>
        <w:tc>
          <w:tcPr>
            <w:tcW w:w="1940" w:type="dxa"/>
            <w:vAlign w:val="bottom"/>
            <w:tcBorders>
              <w:bottom w:val="single" w:sz="8" w:color="CFF0FC"/>
            </w:tcBorders>
            <w:shd w:val="clear" w:color="auto" w:fill="CFF0FC"/>
          </w:tcPr>
          <w:p>
            <w:pPr>
              <w:spacing w:after="0"/>
              <w:rPr>
                <w:sz w:val="15"/>
                <w:szCs w:val="15"/>
                <w:color w:val="auto"/>
              </w:rPr>
            </w:pPr>
          </w:p>
        </w:tc>
        <w:tc>
          <w:tcPr>
            <w:tcW w:w="280" w:type="dxa"/>
            <w:vAlign w:val="bottom"/>
            <w:tcBorders>
              <w:bottom w:val="single" w:sz="8" w:color="auto"/>
            </w:tcBorders>
            <w:shd w:val="clear" w:color="auto" w:fill="CFF0FC"/>
          </w:tcPr>
          <w:p>
            <w:pPr>
              <w:spacing w:after="0"/>
              <w:rPr>
                <w:sz w:val="15"/>
                <w:szCs w:val="15"/>
                <w:color w:val="auto"/>
              </w:rPr>
            </w:pPr>
          </w:p>
        </w:tc>
        <w:tc>
          <w:tcPr>
            <w:tcW w:w="1220" w:type="dxa"/>
            <w:vAlign w:val="bottom"/>
            <w:tcBorders>
              <w:bottom w:val="single" w:sz="8" w:color="auto"/>
            </w:tcBorders>
            <w:shd w:val="clear" w:color="auto" w:fill="CFF0FC"/>
          </w:tcPr>
          <w:p>
            <w:pPr>
              <w:jc w:val="right"/>
              <w:ind w:right="99"/>
              <w:spacing w:after="0" w:line="183" w:lineRule="exact"/>
              <w:rPr>
                <w:sz w:val="20"/>
                <w:szCs w:val="20"/>
                <w:color w:val="auto"/>
              </w:rPr>
            </w:pPr>
            <w:r>
              <w:rPr>
                <w:rFonts w:ascii="Arial" w:cs="Arial" w:eastAsia="Arial" w:hAnsi="Arial"/>
                <w:sz w:val="16"/>
                <w:szCs w:val="16"/>
                <w:color w:val="auto"/>
              </w:rPr>
              <w:t>54,244</w:t>
            </w:r>
          </w:p>
        </w:tc>
        <w:tc>
          <w:tcPr>
            <w:tcW w:w="460" w:type="dxa"/>
            <w:vAlign w:val="bottom"/>
            <w:tcBorders>
              <w:bottom w:val="single" w:sz="8" w:color="auto"/>
            </w:tcBorders>
            <w:shd w:val="clear" w:color="auto" w:fill="CFF0FC"/>
          </w:tcPr>
          <w:p>
            <w:pPr>
              <w:spacing w:after="0"/>
              <w:rPr>
                <w:sz w:val="15"/>
                <w:szCs w:val="15"/>
                <w:color w:val="auto"/>
              </w:rPr>
            </w:pPr>
          </w:p>
        </w:tc>
        <w:tc>
          <w:tcPr>
            <w:tcW w:w="1080" w:type="dxa"/>
            <w:vAlign w:val="bottom"/>
            <w:tcBorders>
              <w:bottom w:val="single" w:sz="8" w:color="auto"/>
            </w:tcBorders>
            <w:shd w:val="clear" w:color="auto" w:fill="CFF0FC"/>
          </w:tcPr>
          <w:p>
            <w:pPr>
              <w:jc w:val="right"/>
              <w:ind w:right="39"/>
              <w:spacing w:after="0" w:line="183" w:lineRule="exact"/>
              <w:rPr>
                <w:sz w:val="20"/>
                <w:szCs w:val="20"/>
                <w:color w:val="auto"/>
              </w:rPr>
            </w:pPr>
            <w:r>
              <w:rPr>
                <w:rFonts w:ascii="Arial" w:cs="Arial" w:eastAsia="Arial" w:hAnsi="Arial"/>
                <w:sz w:val="16"/>
                <w:szCs w:val="16"/>
                <w:color w:val="auto"/>
              </w:rPr>
              <w:t>40,893</w:t>
            </w:r>
          </w:p>
        </w:tc>
        <w:tc>
          <w:tcPr>
            <w:tcW w:w="240" w:type="dxa"/>
            <w:vAlign w:val="bottom"/>
            <w:tcBorders>
              <w:bottom w:val="single" w:sz="8" w:color="auto"/>
            </w:tcBorders>
            <w:shd w:val="clear" w:color="auto" w:fill="CFF0FC"/>
          </w:tcPr>
          <w:p>
            <w:pPr>
              <w:spacing w:after="0"/>
              <w:rPr>
                <w:sz w:val="15"/>
                <w:szCs w:val="15"/>
                <w:color w:val="auto"/>
              </w:rPr>
            </w:pPr>
          </w:p>
        </w:tc>
        <w:tc>
          <w:tcPr>
            <w:tcW w:w="1320" w:type="dxa"/>
            <w:vAlign w:val="bottom"/>
            <w:tcBorders>
              <w:bottom w:val="single" w:sz="8" w:color="auto"/>
            </w:tcBorders>
            <w:shd w:val="clear" w:color="auto" w:fill="CFF0FC"/>
          </w:tcPr>
          <w:p>
            <w:pPr>
              <w:jc w:val="right"/>
              <w:ind w:right="39"/>
              <w:spacing w:after="0" w:line="183" w:lineRule="exact"/>
              <w:rPr>
                <w:sz w:val="20"/>
                <w:szCs w:val="20"/>
                <w:color w:val="auto"/>
              </w:rPr>
            </w:pPr>
            <w:r>
              <w:rPr>
                <w:rFonts w:ascii="Arial" w:cs="Arial" w:eastAsia="Arial" w:hAnsi="Arial"/>
                <w:sz w:val="16"/>
                <w:szCs w:val="16"/>
                <w:color w:val="auto"/>
              </w:rPr>
              <w:t>13,351</w:t>
            </w:r>
          </w:p>
        </w:tc>
        <w:tc>
          <w:tcPr>
            <w:tcW w:w="0" w:type="dxa"/>
            <w:vAlign w:val="bottom"/>
          </w:tcPr>
          <w:p>
            <w:pPr>
              <w:spacing w:after="0"/>
              <w:rPr>
                <w:sz w:val="1"/>
                <w:szCs w:val="1"/>
                <w:color w:val="auto"/>
              </w:rPr>
            </w:pPr>
          </w:p>
        </w:tc>
      </w:tr>
      <w:tr>
        <w:trPr>
          <w:trHeight w:val="183"/>
        </w:trPr>
        <w:tc>
          <w:tcPr>
            <w:tcW w:w="4700" w:type="dxa"/>
            <w:vAlign w:val="bottom"/>
          </w:tcPr>
          <w:p>
            <w:pPr>
              <w:spacing w:after="0" w:line="183" w:lineRule="exact"/>
              <w:rPr>
                <w:sz w:val="20"/>
                <w:szCs w:val="20"/>
                <w:color w:val="auto"/>
              </w:rPr>
            </w:pPr>
            <w:r>
              <w:rPr>
                <w:rFonts w:ascii="Arial" w:cs="Arial" w:eastAsia="Arial" w:hAnsi="Arial"/>
                <w:sz w:val="16"/>
                <w:szCs w:val="16"/>
                <w:color w:val="auto"/>
              </w:rPr>
              <w:t>(Loss) income from operations</w:t>
            </w:r>
          </w:p>
        </w:tc>
        <w:tc>
          <w:tcPr>
            <w:tcW w:w="19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220" w:type="dxa"/>
            <w:vAlign w:val="bottom"/>
          </w:tcPr>
          <w:p>
            <w:pPr>
              <w:jc w:val="right"/>
              <w:ind w:right="39"/>
              <w:spacing w:after="0" w:line="183" w:lineRule="exact"/>
              <w:rPr>
                <w:sz w:val="20"/>
                <w:szCs w:val="20"/>
                <w:color w:val="auto"/>
              </w:rPr>
            </w:pPr>
            <w:r>
              <w:rPr>
                <w:rFonts w:ascii="Arial" w:cs="Arial" w:eastAsia="Arial" w:hAnsi="Arial"/>
                <w:sz w:val="16"/>
                <w:szCs w:val="16"/>
                <w:color w:val="auto"/>
              </w:rPr>
              <w:t>(50,034)</w:t>
            </w:r>
          </w:p>
        </w:tc>
        <w:tc>
          <w:tcPr>
            <w:tcW w:w="460" w:type="dxa"/>
            <w:vAlign w:val="bottom"/>
          </w:tcPr>
          <w:p>
            <w:pPr>
              <w:spacing w:after="0"/>
              <w:rPr>
                <w:sz w:val="15"/>
                <w:szCs w:val="15"/>
                <w:color w:val="auto"/>
              </w:rPr>
            </w:pPr>
          </w:p>
        </w:tc>
        <w:tc>
          <w:tcPr>
            <w:tcW w:w="1080" w:type="dxa"/>
            <w:vAlign w:val="bottom"/>
          </w:tcPr>
          <w:p>
            <w:pPr>
              <w:jc w:val="right"/>
              <w:ind w:right="39"/>
              <w:spacing w:after="0" w:line="183" w:lineRule="exact"/>
              <w:rPr>
                <w:sz w:val="20"/>
                <w:szCs w:val="20"/>
                <w:color w:val="auto"/>
              </w:rPr>
            </w:pPr>
            <w:r>
              <w:rPr>
                <w:rFonts w:ascii="Arial" w:cs="Arial" w:eastAsia="Arial" w:hAnsi="Arial"/>
                <w:sz w:val="16"/>
                <w:szCs w:val="16"/>
                <w:color w:val="auto"/>
              </w:rPr>
              <w:t>44,036</w:t>
            </w:r>
          </w:p>
        </w:tc>
        <w:tc>
          <w:tcPr>
            <w:tcW w:w="240" w:type="dxa"/>
            <w:vAlign w:val="bottom"/>
          </w:tcPr>
          <w:p>
            <w:pPr>
              <w:spacing w:after="0"/>
              <w:rPr>
                <w:sz w:val="15"/>
                <w:szCs w:val="15"/>
                <w:color w:val="auto"/>
              </w:rPr>
            </w:pPr>
          </w:p>
        </w:tc>
        <w:tc>
          <w:tcPr>
            <w:tcW w:w="1320" w:type="dxa"/>
            <w:vAlign w:val="bottom"/>
          </w:tcPr>
          <w:p>
            <w:pPr>
              <w:jc w:val="right"/>
              <w:spacing w:after="0" w:line="183" w:lineRule="exact"/>
              <w:rPr>
                <w:sz w:val="20"/>
                <w:szCs w:val="20"/>
                <w:color w:val="auto"/>
              </w:rPr>
            </w:pPr>
            <w:r>
              <w:rPr>
                <w:rFonts w:ascii="Arial" w:cs="Arial" w:eastAsia="Arial" w:hAnsi="Arial"/>
                <w:sz w:val="16"/>
                <w:szCs w:val="16"/>
                <w:color w:val="auto"/>
              </w:rPr>
              <w:t>(94,070)</w:t>
            </w:r>
          </w:p>
        </w:tc>
        <w:tc>
          <w:tcPr>
            <w:tcW w:w="0" w:type="dxa"/>
            <w:vAlign w:val="bottom"/>
          </w:tcPr>
          <w:p>
            <w:pPr>
              <w:spacing w:after="0"/>
              <w:rPr>
                <w:sz w:val="1"/>
                <w:szCs w:val="1"/>
                <w:color w:val="auto"/>
              </w:rPr>
            </w:pPr>
          </w:p>
        </w:tc>
      </w:tr>
      <w:tr>
        <w:trPr>
          <w:trHeight w:val="189"/>
        </w:trPr>
        <w:tc>
          <w:tcPr>
            <w:tcW w:w="4700" w:type="dxa"/>
            <w:vAlign w:val="bottom"/>
            <w:tcBorders>
              <w:bottom w:val="single" w:sz="8" w:color="CFF0FC"/>
            </w:tcBorders>
            <w:shd w:val="clear" w:color="auto" w:fill="CFF0FC"/>
          </w:tcPr>
          <w:p>
            <w:pPr>
              <w:ind w:left="120"/>
              <w:spacing w:after="0"/>
              <w:rPr>
                <w:sz w:val="20"/>
                <w:szCs w:val="20"/>
                <w:color w:val="auto"/>
              </w:rPr>
            </w:pPr>
            <w:r>
              <w:rPr>
                <w:rFonts w:ascii="Arial" w:cs="Arial" w:eastAsia="Arial" w:hAnsi="Arial"/>
                <w:sz w:val="16"/>
                <w:szCs w:val="16"/>
                <w:color w:val="auto"/>
              </w:rPr>
              <w:t>Other income</w:t>
            </w:r>
          </w:p>
        </w:tc>
        <w:tc>
          <w:tcPr>
            <w:tcW w:w="1940" w:type="dxa"/>
            <w:vAlign w:val="bottom"/>
            <w:tcBorders>
              <w:bottom w:val="single" w:sz="8" w:color="CFF0FC"/>
            </w:tcBorders>
            <w:shd w:val="clear" w:color="auto" w:fill="CFF0FC"/>
          </w:tcPr>
          <w:p>
            <w:pPr>
              <w:spacing w:after="0"/>
              <w:rPr>
                <w:sz w:val="16"/>
                <w:szCs w:val="16"/>
                <w:color w:val="auto"/>
              </w:rPr>
            </w:pPr>
          </w:p>
        </w:tc>
        <w:tc>
          <w:tcPr>
            <w:tcW w:w="280" w:type="dxa"/>
            <w:vAlign w:val="bottom"/>
            <w:tcBorders>
              <w:bottom w:val="single" w:sz="8" w:color="auto"/>
            </w:tcBorders>
            <w:shd w:val="clear" w:color="auto" w:fill="CFF0FC"/>
          </w:tcPr>
          <w:p>
            <w:pPr>
              <w:spacing w:after="0"/>
              <w:rPr>
                <w:sz w:val="16"/>
                <w:szCs w:val="16"/>
                <w:color w:val="auto"/>
              </w:rPr>
            </w:pPr>
          </w:p>
        </w:tc>
        <w:tc>
          <w:tcPr>
            <w:tcW w:w="1220" w:type="dxa"/>
            <w:vAlign w:val="bottom"/>
            <w:tcBorders>
              <w:bottom w:val="single" w:sz="8" w:color="auto"/>
            </w:tcBorders>
            <w:shd w:val="clear" w:color="auto" w:fill="CFF0FC"/>
          </w:tcPr>
          <w:p>
            <w:pPr>
              <w:jc w:val="right"/>
              <w:ind w:right="99"/>
              <w:spacing w:after="0"/>
              <w:rPr>
                <w:sz w:val="20"/>
                <w:szCs w:val="20"/>
                <w:color w:val="auto"/>
              </w:rPr>
            </w:pPr>
            <w:r>
              <w:rPr>
                <w:rFonts w:ascii="Arial" w:cs="Arial" w:eastAsia="Arial" w:hAnsi="Arial"/>
                <w:sz w:val="16"/>
                <w:szCs w:val="16"/>
                <w:color w:val="auto"/>
              </w:rPr>
              <w:t>5,583</w:t>
            </w:r>
          </w:p>
        </w:tc>
        <w:tc>
          <w:tcPr>
            <w:tcW w:w="460" w:type="dxa"/>
            <w:vAlign w:val="bottom"/>
            <w:tcBorders>
              <w:bottom w:val="single" w:sz="8" w:color="auto"/>
            </w:tcBorders>
            <w:shd w:val="clear" w:color="auto" w:fill="CFF0FC"/>
          </w:tcPr>
          <w:p>
            <w:pPr>
              <w:spacing w:after="0"/>
              <w:rPr>
                <w:sz w:val="16"/>
                <w:szCs w:val="16"/>
                <w:color w:val="auto"/>
              </w:rPr>
            </w:pPr>
          </w:p>
        </w:tc>
        <w:tc>
          <w:tcPr>
            <w:tcW w:w="1080" w:type="dxa"/>
            <w:vAlign w:val="bottom"/>
            <w:tcBorders>
              <w:bottom w:val="single" w:sz="8" w:color="auto"/>
            </w:tcBorders>
            <w:shd w:val="clear" w:color="auto" w:fill="CFF0FC"/>
          </w:tcPr>
          <w:p>
            <w:pPr>
              <w:jc w:val="right"/>
              <w:ind w:right="39"/>
              <w:spacing w:after="0"/>
              <w:rPr>
                <w:sz w:val="20"/>
                <w:szCs w:val="20"/>
                <w:color w:val="auto"/>
              </w:rPr>
            </w:pPr>
            <w:r>
              <w:rPr>
                <w:rFonts w:ascii="Arial" w:cs="Arial" w:eastAsia="Arial" w:hAnsi="Arial"/>
                <w:sz w:val="16"/>
                <w:szCs w:val="16"/>
                <w:color w:val="auto"/>
              </w:rPr>
              <w:t>3,671</w:t>
            </w:r>
          </w:p>
        </w:tc>
        <w:tc>
          <w:tcPr>
            <w:tcW w:w="240" w:type="dxa"/>
            <w:vAlign w:val="bottom"/>
            <w:tcBorders>
              <w:bottom w:val="single" w:sz="8" w:color="auto"/>
            </w:tcBorders>
            <w:shd w:val="clear" w:color="auto" w:fill="CFF0FC"/>
          </w:tcPr>
          <w:p>
            <w:pPr>
              <w:spacing w:after="0"/>
              <w:rPr>
                <w:sz w:val="16"/>
                <w:szCs w:val="16"/>
                <w:color w:val="auto"/>
              </w:rPr>
            </w:pPr>
          </w:p>
        </w:tc>
        <w:tc>
          <w:tcPr>
            <w:tcW w:w="1320" w:type="dxa"/>
            <w:vAlign w:val="bottom"/>
            <w:tcBorders>
              <w:bottom w:val="single" w:sz="8" w:color="auto"/>
            </w:tcBorders>
            <w:shd w:val="clear" w:color="auto" w:fill="CFF0FC"/>
          </w:tcPr>
          <w:p>
            <w:pPr>
              <w:jc w:val="right"/>
              <w:ind w:right="39"/>
              <w:spacing w:after="0"/>
              <w:rPr>
                <w:sz w:val="20"/>
                <w:szCs w:val="20"/>
                <w:color w:val="auto"/>
              </w:rPr>
            </w:pPr>
            <w:r>
              <w:rPr>
                <w:rFonts w:ascii="Arial" w:cs="Arial" w:eastAsia="Arial" w:hAnsi="Arial"/>
                <w:sz w:val="16"/>
                <w:szCs w:val="16"/>
                <w:color w:val="auto"/>
              </w:rPr>
              <w:t>1,912</w:t>
            </w:r>
          </w:p>
        </w:tc>
        <w:tc>
          <w:tcPr>
            <w:tcW w:w="0" w:type="dxa"/>
            <w:vAlign w:val="bottom"/>
          </w:tcPr>
          <w:p>
            <w:pPr>
              <w:spacing w:after="0"/>
              <w:rPr>
                <w:sz w:val="1"/>
                <w:szCs w:val="1"/>
                <w:color w:val="auto"/>
              </w:rPr>
            </w:pPr>
          </w:p>
        </w:tc>
      </w:tr>
      <w:tr>
        <w:trPr>
          <w:trHeight w:val="183"/>
        </w:trPr>
        <w:tc>
          <w:tcPr>
            <w:tcW w:w="4700" w:type="dxa"/>
            <w:vAlign w:val="bottom"/>
          </w:tcPr>
          <w:p>
            <w:pPr>
              <w:spacing w:after="0" w:line="183" w:lineRule="exact"/>
              <w:rPr>
                <w:sz w:val="20"/>
                <w:szCs w:val="20"/>
                <w:color w:val="auto"/>
              </w:rPr>
            </w:pPr>
            <w:r>
              <w:rPr>
                <w:rFonts w:ascii="Arial" w:cs="Arial" w:eastAsia="Arial" w:hAnsi="Arial"/>
                <w:sz w:val="16"/>
                <w:szCs w:val="16"/>
                <w:color w:val="auto"/>
              </w:rPr>
              <w:t>Net (loss) income before income taxes</w:t>
            </w:r>
          </w:p>
        </w:tc>
        <w:tc>
          <w:tcPr>
            <w:tcW w:w="19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220" w:type="dxa"/>
            <w:vAlign w:val="bottom"/>
          </w:tcPr>
          <w:p>
            <w:pPr>
              <w:jc w:val="right"/>
              <w:ind w:right="39"/>
              <w:spacing w:after="0" w:line="183" w:lineRule="exact"/>
              <w:rPr>
                <w:sz w:val="20"/>
                <w:szCs w:val="20"/>
                <w:color w:val="auto"/>
              </w:rPr>
            </w:pPr>
            <w:r>
              <w:rPr>
                <w:rFonts w:ascii="Arial" w:cs="Arial" w:eastAsia="Arial" w:hAnsi="Arial"/>
                <w:sz w:val="16"/>
                <w:szCs w:val="16"/>
                <w:color w:val="auto"/>
              </w:rPr>
              <w:t>(44,451)</w:t>
            </w:r>
          </w:p>
        </w:tc>
        <w:tc>
          <w:tcPr>
            <w:tcW w:w="460" w:type="dxa"/>
            <w:vAlign w:val="bottom"/>
          </w:tcPr>
          <w:p>
            <w:pPr>
              <w:spacing w:after="0"/>
              <w:rPr>
                <w:sz w:val="15"/>
                <w:szCs w:val="15"/>
                <w:color w:val="auto"/>
              </w:rPr>
            </w:pPr>
          </w:p>
        </w:tc>
        <w:tc>
          <w:tcPr>
            <w:tcW w:w="1080" w:type="dxa"/>
            <w:vAlign w:val="bottom"/>
          </w:tcPr>
          <w:p>
            <w:pPr>
              <w:jc w:val="right"/>
              <w:ind w:right="39"/>
              <w:spacing w:after="0" w:line="183" w:lineRule="exact"/>
              <w:rPr>
                <w:sz w:val="20"/>
                <w:szCs w:val="20"/>
                <w:color w:val="auto"/>
              </w:rPr>
            </w:pPr>
            <w:r>
              <w:rPr>
                <w:rFonts w:ascii="Arial" w:cs="Arial" w:eastAsia="Arial" w:hAnsi="Arial"/>
                <w:sz w:val="16"/>
                <w:szCs w:val="16"/>
                <w:color w:val="auto"/>
              </w:rPr>
              <w:t>47,707</w:t>
            </w:r>
          </w:p>
        </w:tc>
        <w:tc>
          <w:tcPr>
            <w:tcW w:w="240" w:type="dxa"/>
            <w:vAlign w:val="bottom"/>
          </w:tcPr>
          <w:p>
            <w:pPr>
              <w:spacing w:after="0"/>
              <w:rPr>
                <w:sz w:val="15"/>
                <w:szCs w:val="15"/>
                <w:color w:val="auto"/>
              </w:rPr>
            </w:pPr>
          </w:p>
        </w:tc>
        <w:tc>
          <w:tcPr>
            <w:tcW w:w="1320" w:type="dxa"/>
            <w:vAlign w:val="bottom"/>
          </w:tcPr>
          <w:p>
            <w:pPr>
              <w:jc w:val="right"/>
              <w:spacing w:after="0" w:line="183" w:lineRule="exact"/>
              <w:rPr>
                <w:sz w:val="20"/>
                <w:szCs w:val="20"/>
                <w:color w:val="auto"/>
              </w:rPr>
            </w:pPr>
            <w:r>
              <w:rPr>
                <w:rFonts w:ascii="Arial" w:cs="Arial" w:eastAsia="Arial" w:hAnsi="Arial"/>
                <w:sz w:val="16"/>
                <w:szCs w:val="16"/>
                <w:color w:val="auto"/>
              </w:rPr>
              <w:t>(92,158)</w:t>
            </w:r>
          </w:p>
        </w:tc>
        <w:tc>
          <w:tcPr>
            <w:tcW w:w="0" w:type="dxa"/>
            <w:vAlign w:val="bottom"/>
          </w:tcPr>
          <w:p>
            <w:pPr>
              <w:spacing w:after="0"/>
              <w:rPr>
                <w:sz w:val="1"/>
                <w:szCs w:val="1"/>
                <w:color w:val="auto"/>
              </w:rPr>
            </w:pPr>
          </w:p>
        </w:tc>
      </w:tr>
      <w:tr>
        <w:trPr>
          <w:trHeight w:val="189"/>
        </w:trPr>
        <w:tc>
          <w:tcPr>
            <w:tcW w:w="4700" w:type="dxa"/>
            <w:vAlign w:val="bottom"/>
            <w:tcBorders>
              <w:bottom w:val="single" w:sz="8" w:color="CFF0FC"/>
            </w:tcBorders>
            <w:shd w:val="clear" w:color="auto" w:fill="CFF0FC"/>
          </w:tcPr>
          <w:p>
            <w:pPr>
              <w:ind w:left="120"/>
              <w:spacing w:after="0"/>
              <w:rPr>
                <w:sz w:val="20"/>
                <w:szCs w:val="20"/>
                <w:color w:val="auto"/>
              </w:rPr>
            </w:pPr>
            <w:r>
              <w:rPr>
                <w:rFonts w:ascii="Arial" w:cs="Arial" w:eastAsia="Arial" w:hAnsi="Arial"/>
                <w:sz w:val="16"/>
                <w:szCs w:val="16"/>
                <w:color w:val="auto"/>
              </w:rPr>
              <w:t>Income tax provision</w:t>
            </w:r>
          </w:p>
        </w:tc>
        <w:tc>
          <w:tcPr>
            <w:tcW w:w="1940" w:type="dxa"/>
            <w:vAlign w:val="bottom"/>
            <w:tcBorders>
              <w:bottom w:val="single" w:sz="8" w:color="CFF0FC"/>
            </w:tcBorders>
            <w:shd w:val="clear" w:color="auto" w:fill="CFF0FC"/>
          </w:tcPr>
          <w:p>
            <w:pPr>
              <w:spacing w:after="0"/>
              <w:rPr>
                <w:sz w:val="16"/>
                <w:szCs w:val="16"/>
                <w:color w:val="auto"/>
              </w:rPr>
            </w:pPr>
          </w:p>
        </w:tc>
        <w:tc>
          <w:tcPr>
            <w:tcW w:w="280" w:type="dxa"/>
            <w:vAlign w:val="bottom"/>
            <w:tcBorders>
              <w:bottom w:val="single" w:sz="8" w:color="auto"/>
            </w:tcBorders>
            <w:shd w:val="clear" w:color="auto" w:fill="CFF0FC"/>
          </w:tcPr>
          <w:p>
            <w:pPr>
              <w:spacing w:after="0"/>
              <w:rPr>
                <w:sz w:val="16"/>
                <w:szCs w:val="16"/>
                <w:color w:val="auto"/>
              </w:rPr>
            </w:pPr>
          </w:p>
        </w:tc>
        <w:tc>
          <w:tcPr>
            <w:tcW w:w="1220" w:type="dxa"/>
            <w:vAlign w:val="bottom"/>
            <w:tcBorders>
              <w:bottom w:val="single" w:sz="8" w:color="auto"/>
            </w:tcBorders>
            <w:shd w:val="clear" w:color="auto" w:fill="CFF0FC"/>
          </w:tcPr>
          <w:p>
            <w:pPr>
              <w:jc w:val="right"/>
              <w:ind w:right="39"/>
              <w:spacing w:after="0"/>
              <w:rPr>
                <w:sz w:val="20"/>
                <w:szCs w:val="20"/>
                <w:color w:val="auto"/>
              </w:rPr>
            </w:pPr>
            <w:r>
              <w:rPr>
                <w:rFonts w:ascii="Arial" w:cs="Arial" w:eastAsia="Arial" w:hAnsi="Arial"/>
                <w:sz w:val="16"/>
                <w:szCs w:val="16"/>
                <w:color w:val="auto"/>
              </w:rPr>
              <w:t>(52)</w:t>
            </w:r>
          </w:p>
        </w:tc>
        <w:tc>
          <w:tcPr>
            <w:tcW w:w="460" w:type="dxa"/>
            <w:vAlign w:val="bottom"/>
            <w:tcBorders>
              <w:bottom w:val="single" w:sz="8" w:color="auto"/>
            </w:tcBorders>
            <w:shd w:val="clear" w:color="auto" w:fill="CFF0FC"/>
          </w:tcPr>
          <w:p>
            <w:pPr>
              <w:spacing w:after="0"/>
              <w:rPr>
                <w:sz w:val="16"/>
                <w:szCs w:val="16"/>
                <w:color w:val="auto"/>
              </w:rPr>
            </w:pPr>
          </w:p>
        </w:tc>
        <w:tc>
          <w:tcPr>
            <w:tcW w:w="10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(822)</w:t>
            </w:r>
          </w:p>
        </w:tc>
        <w:tc>
          <w:tcPr>
            <w:tcW w:w="240" w:type="dxa"/>
            <w:vAlign w:val="bottom"/>
            <w:tcBorders>
              <w:bottom w:val="single" w:sz="8" w:color="auto"/>
            </w:tcBorders>
            <w:shd w:val="clear" w:color="auto" w:fill="CFF0FC"/>
          </w:tcPr>
          <w:p>
            <w:pPr>
              <w:spacing w:after="0"/>
              <w:rPr>
                <w:sz w:val="16"/>
                <w:szCs w:val="16"/>
                <w:color w:val="auto"/>
              </w:rPr>
            </w:pPr>
          </w:p>
        </w:tc>
        <w:tc>
          <w:tcPr>
            <w:tcW w:w="1320" w:type="dxa"/>
            <w:vAlign w:val="bottom"/>
            <w:tcBorders>
              <w:bottom w:val="single" w:sz="8" w:color="auto"/>
            </w:tcBorders>
            <w:shd w:val="clear" w:color="auto" w:fill="CFF0FC"/>
          </w:tcPr>
          <w:p>
            <w:pPr>
              <w:jc w:val="right"/>
              <w:ind w:right="39"/>
              <w:spacing w:after="0"/>
              <w:rPr>
                <w:sz w:val="20"/>
                <w:szCs w:val="20"/>
                <w:color w:val="auto"/>
              </w:rPr>
            </w:pPr>
            <w:r>
              <w:rPr>
                <w:rFonts w:ascii="Arial" w:cs="Arial" w:eastAsia="Arial" w:hAnsi="Arial"/>
                <w:sz w:val="16"/>
                <w:szCs w:val="16"/>
                <w:color w:val="auto"/>
              </w:rPr>
              <w:t>770</w:t>
            </w:r>
          </w:p>
        </w:tc>
        <w:tc>
          <w:tcPr>
            <w:tcW w:w="0" w:type="dxa"/>
            <w:vAlign w:val="bottom"/>
          </w:tcPr>
          <w:p>
            <w:pPr>
              <w:spacing w:after="0"/>
              <w:rPr>
                <w:sz w:val="1"/>
                <w:szCs w:val="1"/>
                <w:color w:val="auto"/>
              </w:rPr>
            </w:pPr>
          </w:p>
        </w:tc>
      </w:tr>
      <w:tr>
        <w:trPr>
          <w:trHeight w:val="183"/>
        </w:trPr>
        <w:tc>
          <w:tcPr>
            <w:tcW w:w="4700" w:type="dxa"/>
            <w:vAlign w:val="bottom"/>
            <w:tcBorders>
              <w:bottom w:val="single" w:sz="8" w:color="auto"/>
            </w:tcBorders>
          </w:tcPr>
          <w:p>
            <w:pPr>
              <w:spacing w:after="0" w:line="183" w:lineRule="exact"/>
              <w:rPr>
                <w:sz w:val="20"/>
                <w:szCs w:val="20"/>
                <w:color w:val="auto"/>
              </w:rPr>
            </w:pPr>
            <w:r>
              <w:rPr>
                <w:rFonts w:ascii="Arial" w:cs="Arial" w:eastAsia="Arial" w:hAnsi="Arial"/>
                <w:sz w:val="16"/>
                <w:szCs w:val="16"/>
                <w:color w:val="auto"/>
              </w:rPr>
              <w:t>Net (loss) income</w:t>
            </w:r>
          </w:p>
        </w:tc>
        <w:tc>
          <w:tcPr>
            <w:tcW w:w="2220" w:type="dxa"/>
            <w:vAlign w:val="bottom"/>
            <w:tcBorders>
              <w:bottom w:val="single" w:sz="8" w:color="auto"/>
            </w:tcBorders>
            <w:gridSpan w:val="2"/>
          </w:tcPr>
          <w:p>
            <w:pPr>
              <w:jc w:val="right"/>
              <w:ind w:right="200"/>
              <w:spacing w:after="0" w:line="183" w:lineRule="exact"/>
              <w:rPr>
                <w:sz w:val="20"/>
                <w:szCs w:val="20"/>
                <w:color w:val="auto"/>
              </w:rPr>
            </w:pPr>
            <w:r>
              <w:rPr>
                <w:rFonts w:ascii="Arial" w:cs="Arial" w:eastAsia="Arial" w:hAnsi="Arial"/>
                <w:sz w:val="16"/>
                <w:szCs w:val="16"/>
                <w:color w:val="auto"/>
              </w:rPr>
              <w:t>$</w:t>
            </w:r>
          </w:p>
        </w:tc>
        <w:tc>
          <w:tcPr>
            <w:tcW w:w="1220" w:type="dxa"/>
            <w:vAlign w:val="bottom"/>
            <w:tcBorders>
              <w:bottom w:val="single" w:sz="8" w:color="auto"/>
            </w:tcBorders>
          </w:tcPr>
          <w:p>
            <w:pPr>
              <w:jc w:val="right"/>
              <w:ind w:right="39"/>
              <w:spacing w:after="0" w:line="183" w:lineRule="exact"/>
              <w:rPr>
                <w:sz w:val="20"/>
                <w:szCs w:val="20"/>
                <w:color w:val="auto"/>
              </w:rPr>
            </w:pPr>
            <w:r>
              <w:rPr>
                <w:rFonts w:ascii="Arial" w:cs="Arial" w:eastAsia="Arial" w:hAnsi="Arial"/>
                <w:sz w:val="16"/>
                <w:szCs w:val="16"/>
                <w:color w:val="auto"/>
              </w:rPr>
              <w:t>(44,503)</w:t>
            </w:r>
          </w:p>
        </w:tc>
        <w:tc>
          <w:tcPr>
            <w:tcW w:w="460" w:type="dxa"/>
            <w:vAlign w:val="bottom"/>
            <w:tcBorders>
              <w:bottom w:val="single" w:sz="8" w:color="auto"/>
            </w:tcBorders>
          </w:tcPr>
          <w:p>
            <w:pPr>
              <w:jc w:val="right"/>
              <w:ind w:right="179"/>
              <w:spacing w:after="0" w:line="183" w:lineRule="exact"/>
              <w:rPr>
                <w:sz w:val="20"/>
                <w:szCs w:val="20"/>
                <w:color w:val="auto"/>
              </w:rPr>
            </w:pPr>
            <w:r>
              <w:rPr>
                <w:rFonts w:ascii="Arial" w:cs="Arial" w:eastAsia="Arial" w:hAnsi="Arial"/>
                <w:sz w:val="16"/>
                <w:szCs w:val="16"/>
                <w:color w:val="auto"/>
              </w:rPr>
              <w:t>$</w:t>
            </w:r>
          </w:p>
        </w:tc>
        <w:tc>
          <w:tcPr>
            <w:tcW w:w="1080" w:type="dxa"/>
            <w:vAlign w:val="bottom"/>
            <w:tcBorders>
              <w:bottom w:val="single" w:sz="8" w:color="auto"/>
            </w:tcBorders>
          </w:tcPr>
          <w:p>
            <w:pPr>
              <w:jc w:val="right"/>
              <w:ind w:right="39"/>
              <w:spacing w:after="0" w:line="183" w:lineRule="exact"/>
              <w:rPr>
                <w:sz w:val="20"/>
                <w:szCs w:val="20"/>
                <w:color w:val="auto"/>
              </w:rPr>
            </w:pPr>
            <w:r>
              <w:rPr>
                <w:rFonts w:ascii="Arial" w:cs="Arial" w:eastAsia="Arial" w:hAnsi="Arial"/>
                <w:sz w:val="16"/>
                <w:szCs w:val="16"/>
                <w:color w:val="auto"/>
              </w:rPr>
              <w:t>46,885</w:t>
            </w:r>
          </w:p>
        </w:tc>
        <w:tc>
          <w:tcPr>
            <w:tcW w:w="24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w:t>
            </w:r>
          </w:p>
        </w:tc>
        <w:tc>
          <w:tcPr>
            <w:tcW w:w="132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(91,388)</w:t>
            </w:r>
          </w:p>
        </w:tc>
        <w:tc>
          <w:tcPr>
            <w:tcW w:w="0" w:type="dxa"/>
            <w:vAlign w:val="bottom"/>
          </w:tcPr>
          <w:p>
            <w:pPr>
              <w:spacing w:after="0"/>
              <w:rPr>
                <w:sz w:val="1"/>
                <w:szCs w:val="1"/>
                <w:color w:val="auto"/>
              </w:rPr>
            </w:pPr>
          </w:p>
        </w:tc>
      </w:tr>
    </w:tbl>
    <w:p>
      <w:pPr>
        <w:spacing w:after="0" w:line="9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Collaboration revenue</w:t>
      </w:r>
    </w:p>
    <w:p>
      <w:pPr>
        <w:spacing w:after="0" w:line="102" w:lineRule="exact"/>
        <w:rPr>
          <w:sz w:val="20"/>
          <w:szCs w:val="20"/>
          <w:color w:val="auto"/>
        </w:rPr>
      </w:pPr>
    </w:p>
    <w:p>
      <w:pPr>
        <w:ind w:right="580"/>
        <w:spacing w:after="0" w:line="271" w:lineRule="auto"/>
        <w:rPr>
          <w:sz w:val="20"/>
          <w:szCs w:val="20"/>
          <w:color w:val="auto"/>
        </w:rPr>
      </w:pPr>
      <w:r>
        <w:rPr>
          <w:rFonts w:ascii="Arial" w:cs="Arial" w:eastAsia="Arial" w:hAnsi="Arial"/>
          <w:sz w:val="18"/>
          <w:szCs w:val="18"/>
          <w:color w:val="auto"/>
        </w:rPr>
        <w:t>Collaboration revenue of $4.2 million and $84.9 million for the three months ended March 31, 2026 and 2025, respectively, represents revenue recorded under our collaboration and license agreements with Roche and Novartis.</w:t>
      </w:r>
    </w:p>
    <w:p>
      <w:pPr>
        <w:spacing w:after="0" w:line="4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Research and development expenses</w:t>
      </w:r>
    </w:p>
    <w:p>
      <w:pPr>
        <w:spacing w:after="0" w:line="102" w:lineRule="exact"/>
        <w:rPr>
          <w:sz w:val="20"/>
          <w:szCs w:val="20"/>
          <w:color w:val="auto"/>
        </w:rPr>
      </w:pPr>
    </w:p>
    <w:p>
      <w:pPr>
        <w:ind w:right="60"/>
        <w:spacing w:after="0" w:line="253" w:lineRule="auto"/>
        <w:rPr>
          <w:sz w:val="20"/>
          <w:szCs w:val="20"/>
          <w:color w:val="auto"/>
        </w:rPr>
      </w:pPr>
      <w:r>
        <w:rPr>
          <w:rFonts w:ascii="Arial" w:cs="Arial" w:eastAsia="Arial" w:hAnsi="Arial"/>
          <w:sz w:val="18"/>
          <w:szCs w:val="18"/>
          <w:color w:val="auto"/>
        </w:rPr>
        <w:t>We use our personnel and infrastructure resources across the breadth of our research and development activities, which are directed toward identifying and developing product candidates. As such, we do not track all of our internal research and development expenses on a program-by-program basis.</w:t>
      </w:r>
    </w:p>
    <w:p>
      <w:pPr>
        <w:spacing w:after="0" w:line="48"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our research and development expense (in thousands):</w:t>
      </w:r>
    </w:p>
    <w:tbl>
      <w:tblPr>
        <w:tblLayout w:type="fixed"/>
        <w:tblInd w:w="0" w:type="dxa"/>
        <w:tblCellMar>
          <w:top w:w="0" w:type="dxa"/>
          <w:left w:w="0" w:type="dxa"/>
          <w:bottom w:w="0" w:type="dxa"/>
          <w:right w:w="0" w:type="dxa"/>
        </w:tblCellMar>
      </w:tblPr>
      <w:tr>
        <w:trPr>
          <w:trHeight w:val="195"/>
        </w:trPr>
        <w:tc>
          <w:tcPr>
            <w:tcW w:w="5440" w:type="dxa"/>
            <w:vAlign w:val="bottom"/>
            <w:tcBorders>
              <w:top w:val="single" w:sz="8" w:color="auto"/>
            </w:tcBorders>
          </w:tcPr>
          <w:p>
            <w:pPr>
              <w:spacing w:after="0"/>
              <w:rPr>
                <w:sz w:val="16"/>
                <w:szCs w:val="16"/>
                <w:color w:val="auto"/>
              </w:rPr>
            </w:pPr>
          </w:p>
        </w:tc>
        <w:tc>
          <w:tcPr>
            <w:tcW w:w="1020" w:type="dxa"/>
            <w:vAlign w:val="bottom"/>
            <w:tcBorders>
              <w:top w:val="single" w:sz="8" w:color="auto"/>
            </w:tcBorders>
          </w:tcPr>
          <w:p>
            <w:pPr>
              <w:spacing w:after="0"/>
              <w:rPr>
                <w:sz w:val="16"/>
                <w:szCs w:val="16"/>
                <w:color w:val="auto"/>
              </w:rPr>
            </w:pPr>
          </w:p>
        </w:tc>
        <w:tc>
          <w:tcPr>
            <w:tcW w:w="1620" w:type="dxa"/>
            <w:vAlign w:val="bottom"/>
            <w:tcBorders>
              <w:top w:val="single" w:sz="8" w:color="auto"/>
            </w:tcBorders>
            <w:gridSpan w:val="2"/>
          </w:tcPr>
          <w:p>
            <w:pPr>
              <w:jc w:val="right"/>
              <w:spacing w:after="0"/>
              <w:rPr>
                <w:sz w:val="20"/>
                <w:szCs w:val="20"/>
                <w:color w:val="auto"/>
              </w:rPr>
            </w:pPr>
            <w:r>
              <w:rPr>
                <w:rFonts w:ascii="Arial" w:cs="Arial" w:eastAsia="Arial" w:hAnsi="Arial"/>
                <w:sz w:val="16"/>
                <w:szCs w:val="16"/>
                <w:b w:val="1"/>
                <w:bCs w:val="1"/>
                <w:color w:val="auto"/>
              </w:rPr>
              <w:t>Three months ended</w:t>
            </w:r>
          </w:p>
        </w:tc>
        <w:tc>
          <w:tcPr>
            <w:tcW w:w="1180" w:type="dxa"/>
            <w:vAlign w:val="bottom"/>
            <w:tcBorders>
              <w:top w:val="single" w:sz="8" w:color="auto"/>
            </w:tcBorders>
          </w:tcPr>
          <w:p>
            <w:pPr>
              <w:spacing w:after="0"/>
              <w:rPr>
                <w:sz w:val="16"/>
                <w:szCs w:val="16"/>
                <w:color w:val="auto"/>
              </w:rPr>
            </w:pPr>
          </w:p>
        </w:tc>
        <w:tc>
          <w:tcPr>
            <w:tcW w:w="380" w:type="dxa"/>
            <w:vAlign w:val="bottom"/>
            <w:tcBorders>
              <w:top w:val="single" w:sz="8" w:color="auto"/>
            </w:tcBorders>
          </w:tcPr>
          <w:p>
            <w:pPr>
              <w:spacing w:after="0"/>
              <w:rPr>
                <w:sz w:val="16"/>
                <w:szCs w:val="16"/>
                <w:color w:val="auto"/>
              </w:rPr>
            </w:pPr>
          </w:p>
        </w:tc>
        <w:tc>
          <w:tcPr>
            <w:tcW w:w="1600" w:type="dxa"/>
            <w:vAlign w:val="bottom"/>
            <w:tcBorders>
              <w:top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5440" w:type="dxa"/>
            <w:vAlign w:val="bottom"/>
          </w:tcPr>
          <w:p>
            <w:pPr>
              <w:spacing w:after="0"/>
              <w:rPr>
                <w:sz w:val="17"/>
                <w:szCs w:val="17"/>
                <w:color w:val="auto"/>
              </w:rPr>
            </w:pPr>
          </w:p>
        </w:tc>
        <w:tc>
          <w:tcPr>
            <w:tcW w:w="1020" w:type="dxa"/>
            <w:vAlign w:val="bottom"/>
            <w:tcBorders>
              <w:bottom w:val="single" w:sz="8" w:color="auto"/>
            </w:tcBorders>
          </w:tcPr>
          <w:p>
            <w:pPr>
              <w:spacing w:after="0"/>
              <w:rPr>
                <w:sz w:val="17"/>
                <w:szCs w:val="17"/>
                <w:color w:val="auto"/>
              </w:rPr>
            </w:pPr>
          </w:p>
        </w:tc>
        <w:tc>
          <w:tcPr>
            <w:tcW w:w="1620" w:type="dxa"/>
            <w:vAlign w:val="bottom"/>
            <w:tcBorders>
              <w:bottom w:val="single" w:sz="8" w:color="auto"/>
            </w:tcBorders>
            <w:gridSpan w:val="2"/>
          </w:tcPr>
          <w:p>
            <w:pPr>
              <w:jc w:val="right"/>
              <w:ind w:right="339"/>
              <w:spacing w:after="0"/>
              <w:rPr>
                <w:sz w:val="20"/>
                <w:szCs w:val="20"/>
                <w:color w:val="auto"/>
              </w:rPr>
            </w:pPr>
            <w:r>
              <w:rPr>
                <w:rFonts w:ascii="Arial" w:cs="Arial" w:eastAsia="Arial" w:hAnsi="Arial"/>
                <w:sz w:val="16"/>
                <w:szCs w:val="16"/>
                <w:b w:val="1"/>
                <w:bCs w:val="1"/>
                <w:color w:val="auto"/>
              </w:rPr>
              <w:t>March 31,</w:t>
            </w:r>
          </w:p>
        </w:tc>
        <w:tc>
          <w:tcPr>
            <w:tcW w:w="1180" w:type="dxa"/>
            <w:vAlign w:val="bottom"/>
            <w:tcBorders>
              <w:bottom w:val="single" w:sz="8" w:color="auto"/>
            </w:tcBorders>
          </w:tcPr>
          <w:p>
            <w:pPr>
              <w:spacing w:after="0"/>
              <w:rPr>
                <w:sz w:val="17"/>
                <w:szCs w:val="17"/>
                <w:color w:val="auto"/>
              </w:rPr>
            </w:pPr>
          </w:p>
        </w:tc>
        <w:tc>
          <w:tcPr>
            <w:tcW w:w="380" w:type="dxa"/>
            <w:vAlign w:val="bottom"/>
          </w:tcPr>
          <w:p>
            <w:pPr>
              <w:spacing w:after="0"/>
              <w:rPr>
                <w:sz w:val="17"/>
                <w:szCs w:val="17"/>
                <w:color w:val="auto"/>
              </w:rPr>
            </w:pPr>
          </w:p>
        </w:tc>
        <w:tc>
          <w:tcPr>
            <w:tcW w:w="1600" w:type="dxa"/>
            <w:vAlign w:val="bottom"/>
            <w:vMerge w:val="restart"/>
          </w:tcPr>
          <w:p>
            <w:pPr>
              <w:jc w:val="right"/>
              <w:ind w:right="339"/>
              <w:spacing w:after="0"/>
              <w:rPr>
                <w:sz w:val="20"/>
                <w:szCs w:val="20"/>
                <w:color w:val="auto"/>
              </w:rPr>
            </w:pPr>
            <w:r>
              <w:rPr>
                <w:rFonts w:ascii="Arial" w:cs="Arial" w:eastAsia="Arial" w:hAnsi="Arial"/>
                <w:sz w:val="16"/>
                <w:szCs w:val="16"/>
                <w:b w:val="1"/>
                <w:bCs w:val="1"/>
                <w:color w:val="auto"/>
              </w:rPr>
              <w:t>Dollar change</w:t>
            </w:r>
          </w:p>
        </w:tc>
        <w:tc>
          <w:tcPr>
            <w:tcW w:w="0" w:type="dxa"/>
            <w:vAlign w:val="bottom"/>
          </w:tcPr>
          <w:p>
            <w:pPr>
              <w:spacing w:after="0"/>
              <w:rPr>
                <w:sz w:val="1"/>
                <w:szCs w:val="1"/>
                <w:color w:val="auto"/>
              </w:rPr>
            </w:pPr>
          </w:p>
        </w:tc>
      </w:tr>
      <w:tr>
        <w:trPr>
          <w:trHeight w:val="183"/>
        </w:trPr>
        <w:tc>
          <w:tcPr>
            <w:tcW w:w="544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6"/>
                <w:szCs w:val="16"/>
                <w:b w:val="1"/>
                <w:bCs w:val="1"/>
                <w:color w:val="auto"/>
              </w:rPr>
              <w:t>2026</w:t>
            </w:r>
          </w:p>
        </w:tc>
        <w:tc>
          <w:tcPr>
            <w:tcW w:w="84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jc w:val="right"/>
              <w:ind w:right="699"/>
              <w:spacing w:after="0" w:line="183" w:lineRule="exact"/>
              <w:rPr>
                <w:sz w:val="20"/>
                <w:szCs w:val="20"/>
                <w:color w:val="auto"/>
              </w:rPr>
            </w:pPr>
            <w:r>
              <w:rPr>
                <w:rFonts w:ascii="Arial" w:cs="Arial" w:eastAsia="Arial" w:hAnsi="Arial"/>
                <w:sz w:val="16"/>
                <w:szCs w:val="16"/>
                <w:b w:val="1"/>
                <w:bCs w:val="1"/>
                <w:color w:val="auto"/>
              </w:rPr>
              <w:t>2025</w:t>
            </w:r>
          </w:p>
        </w:tc>
        <w:tc>
          <w:tcPr>
            <w:tcW w:w="380" w:type="dxa"/>
            <w:vAlign w:val="bottom"/>
            <w:tcBorders>
              <w:bottom w:val="single" w:sz="8" w:color="auto"/>
            </w:tcBorders>
          </w:tcPr>
          <w:p>
            <w:pPr>
              <w:spacing w:after="0"/>
              <w:rPr>
                <w:sz w:val="15"/>
                <w:szCs w:val="15"/>
                <w:color w:val="auto"/>
              </w:rPr>
            </w:pPr>
          </w:p>
        </w:tc>
        <w:tc>
          <w:tcPr>
            <w:tcW w:w="160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5440" w:type="dxa"/>
            <w:vAlign w:val="bottom"/>
            <w:shd w:val="clear" w:color="auto" w:fill="CFF0FC"/>
          </w:tcPr>
          <w:p>
            <w:pPr>
              <w:spacing w:after="0" w:line="183" w:lineRule="exact"/>
              <w:rPr>
                <w:sz w:val="20"/>
                <w:szCs w:val="20"/>
                <w:color w:val="auto"/>
              </w:rPr>
            </w:pPr>
            <w:r>
              <w:rPr>
                <w:rFonts w:ascii="Arial" w:cs="Arial" w:eastAsia="Arial" w:hAnsi="Arial"/>
                <w:sz w:val="16"/>
                <w:szCs w:val="16"/>
                <w:color w:val="auto"/>
              </w:rPr>
              <w:t>External research and development expense:</w:t>
            </w:r>
          </w:p>
        </w:tc>
        <w:tc>
          <w:tcPr>
            <w:tcW w:w="1020" w:type="dxa"/>
            <w:vAlign w:val="bottom"/>
            <w:shd w:val="clear" w:color="auto" w:fill="CFF0FC"/>
          </w:tcPr>
          <w:p>
            <w:pPr>
              <w:spacing w:after="0"/>
              <w:rPr>
                <w:sz w:val="15"/>
                <w:szCs w:val="15"/>
                <w:color w:val="auto"/>
              </w:rPr>
            </w:pPr>
          </w:p>
        </w:tc>
        <w:tc>
          <w:tcPr>
            <w:tcW w:w="840" w:type="dxa"/>
            <w:vAlign w:val="bottom"/>
            <w:shd w:val="clear" w:color="auto" w:fill="CFF0FC"/>
          </w:tcPr>
          <w:p>
            <w:pPr>
              <w:spacing w:after="0"/>
              <w:rPr>
                <w:sz w:val="15"/>
                <w:szCs w:val="15"/>
                <w:color w:val="auto"/>
              </w:rPr>
            </w:pPr>
          </w:p>
        </w:tc>
        <w:tc>
          <w:tcPr>
            <w:tcW w:w="780" w:type="dxa"/>
            <w:vAlign w:val="bottom"/>
            <w:shd w:val="clear" w:color="auto" w:fill="CFF0FC"/>
          </w:tcPr>
          <w:p>
            <w:pPr>
              <w:spacing w:after="0"/>
              <w:rPr>
                <w:sz w:val="15"/>
                <w:szCs w:val="15"/>
                <w:color w:val="auto"/>
              </w:rPr>
            </w:pPr>
          </w:p>
        </w:tc>
        <w:tc>
          <w:tcPr>
            <w:tcW w:w="1180" w:type="dxa"/>
            <w:vAlign w:val="bottom"/>
            <w:shd w:val="clear" w:color="auto" w:fill="CFF0FC"/>
          </w:tcPr>
          <w:p>
            <w:pPr>
              <w:spacing w:after="0"/>
              <w:rPr>
                <w:sz w:val="15"/>
                <w:szCs w:val="15"/>
                <w:color w:val="auto"/>
              </w:rPr>
            </w:pPr>
          </w:p>
        </w:tc>
        <w:tc>
          <w:tcPr>
            <w:tcW w:w="380" w:type="dxa"/>
            <w:vAlign w:val="bottom"/>
            <w:shd w:val="clear" w:color="auto" w:fill="CFF0FC"/>
          </w:tcPr>
          <w:p>
            <w:pPr>
              <w:spacing w:after="0"/>
              <w:rPr>
                <w:sz w:val="15"/>
                <w:szCs w:val="15"/>
                <w:color w:val="auto"/>
              </w:rPr>
            </w:pPr>
          </w:p>
        </w:tc>
        <w:tc>
          <w:tcPr>
            <w:tcW w:w="16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5440" w:type="dxa"/>
            <w:vAlign w:val="bottom"/>
          </w:tcPr>
          <w:p>
            <w:pPr>
              <w:ind w:left="100"/>
              <w:spacing w:after="0"/>
              <w:rPr>
                <w:sz w:val="20"/>
                <w:szCs w:val="20"/>
                <w:color w:val="auto"/>
              </w:rPr>
            </w:pPr>
            <w:r>
              <w:rPr>
                <w:rFonts w:ascii="Arial" w:cs="Arial" w:eastAsia="Arial" w:hAnsi="Arial"/>
                <w:sz w:val="16"/>
                <w:szCs w:val="16"/>
                <w:color w:val="auto"/>
              </w:rPr>
              <w:t>MRT-2359</w:t>
            </w:r>
          </w:p>
        </w:tc>
        <w:tc>
          <w:tcPr>
            <w:tcW w:w="1020" w:type="dxa"/>
            <w:vAlign w:val="bottom"/>
          </w:tcPr>
          <w:p>
            <w:pPr>
              <w:jc w:val="right"/>
              <w:ind w:right="862"/>
              <w:spacing w:after="0"/>
              <w:rPr>
                <w:sz w:val="20"/>
                <w:szCs w:val="20"/>
                <w:color w:val="auto"/>
              </w:rPr>
            </w:pPr>
            <w:r>
              <w:rPr>
                <w:rFonts w:ascii="Arial" w:cs="Arial" w:eastAsia="Arial" w:hAnsi="Arial"/>
                <w:sz w:val="15"/>
                <w:szCs w:val="15"/>
                <w:color w:val="auto"/>
                <w:w w:val="71"/>
              </w:rPr>
              <w:t>$</w:t>
            </w:r>
          </w:p>
        </w:tc>
        <w:tc>
          <w:tcPr>
            <w:tcW w:w="840" w:type="dxa"/>
            <w:vAlign w:val="bottom"/>
          </w:tcPr>
          <w:p>
            <w:pPr>
              <w:jc w:val="right"/>
              <w:ind w:right="79"/>
              <w:spacing w:after="0"/>
              <w:rPr>
                <w:sz w:val="20"/>
                <w:szCs w:val="20"/>
                <w:color w:val="auto"/>
              </w:rPr>
            </w:pPr>
            <w:r>
              <w:rPr>
                <w:rFonts w:ascii="Arial" w:cs="Arial" w:eastAsia="Arial" w:hAnsi="Arial"/>
                <w:sz w:val="16"/>
                <w:szCs w:val="16"/>
                <w:color w:val="auto"/>
              </w:rPr>
              <w:t>2,381</w:t>
            </w:r>
          </w:p>
        </w:tc>
        <w:tc>
          <w:tcPr>
            <w:tcW w:w="780" w:type="dxa"/>
            <w:vAlign w:val="bottom"/>
          </w:tcPr>
          <w:p>
            <w:pPr>
              <w:jc w:val="right"/>
              <w:ind w:right="439"/>
              <w:spacing w:after="0"/>
              <w:rPr>
                <w:sz w:val="20"/>
                <w:szCs w:val="20"/>
                <w:color w:val="auto"/>
              </w:rPr>
            </w:pPr>
            <w:r>
              <w:rPr>
                <w:rFonts w:ascii="Arial" w:cs="Arial" w:eastAsia="Arial" w:hAnsi="Arial"/>
                <w:sz w:val="16"/>
                <w:szCs w:val="16"/>
                <w:color w:val="auto"/>
              </w:rPr>
              <w:t>$</w:t>
            </w:r>
          </w:p>
        </w:tc>
        <w:tc>
          <w:tcPr>
            <w:tcW w:w="1180" w:type="dxa"/>
            <w:vAlign w:val="bottom"/>
          </w:tcPr>
          <w:p>
            <w:pPr>
              <w:jc w:val="right"/>
              <w:ind w:right="39"/>
              <w:spacing w:after="0"/>
              <w:rPr>
                <w:sz w:val="20"/>
                <w:szCs w:val="20"/>
                <w:color w:val="auto"/>
              </w:rPr>
            </w:pPr>
            <w:r>
              <w:rPr>
                <w:rFonts w:ascii="Arial" w:cs="Arial" w:eastAsia="Arial" w:hAnsi="Arial"/>
                <w:sz w:val="16"/>
                <w:szCs w:val="16"/>
                <w:color w:val="auto"/>
              </w:rPr>
              <w:t>1,945</w:t>
            </w:r>
          </w:p>
        </w:tc>
        <w:tc>
          <w:tcPr>
            <w:tcW w:w="38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600" w:type="dxa"/>
            <w:vAlign w:val="bottom"/>
          </w:tcPr>
          <w:p>
            <w:pPr>
              <w:jc w:val="right"/>
              <w:ind w:right="39"/>
              <w:spacing w:after="0"/>
              <w:rPr>
                <w:sz w:val="20"/>
                <w:szCs w:val="20"/>
                <w:color w:val="auto"/>
              </w:rPr>
            </w:pPr>
            <w:r>
              <w:rPr>
                <w:rFonts w:ascii="Arial" w:cs="Arial" w:eastAsia="Arial" w:hAnsi="Arial"/>
                <w:sz w:val="16"/>
                <w:szCs w:val="16"/>
                <w:color w:val="auto"/>
              </w:rPr>
              <w:t>436</w:t>
            </w:r>
          </w:p>
        </w:tc>
        <w:tc>
          <w:tcPr>
            <w:tcW w:w="0" w:type="dxa"/>
            <w:vAlign w:val="bottom"/>
          </w:tcPr>
          <w:p>
            <w:pPr>
              <w:spacing w:after="0"/>
              <w:rPr>
                <w:sz w:val="1"/>
                <w:szCs w:val="1"/>
                <w:color w:val="auto"/>
              </w:rPr>
            </w:pPr>
          </w:p>
        </w:tc>
      </w:tr>
      <w:tr>
        <w:trPr>
          <w:trHeight w:val="189"/>
        </w:trPr>
        <w:tc>
          <w:tcPr>
            <w:tcW w:w="5440" w:type="dxa"/>
            <w:vAlign w:val="bottom"/>
            <w:shd w:val="clear" w:color="auto" w:fill="CFF0FC"/>
          </w:tcPr>
          <w:p>
            <w:pPr>
              <w:ind w:left="100"/>
              <w:spacing w:after="0"/>
              <w:rPr>
                <w:sz w:val="20"/>
                <w:szCs w:val="20"/>
                <w:color w:val="auto"/>
              </w:rPr>
            </w:pPr>
            <w:r>
              <w:rPr>
                <w:rFonts w:ascii="Arial" w:cs="Arial" w:eastAsia="Arial" w:hAnsi="Arial"/>
                <w:sz w:val="16"/>
                <w:szCs w:val="16"/>
                <w:color w:val="auto"/>
              </w:rPr>
              <w:t>MRT-6160</w:t>
            </w:r>
          </w:p>
        </w:tc>
        <w:tc>
          <w:tcPr>
            <w:tcW w:w="1020" w:type="dxa"/>
            <w:vAlign w:val="bottom"/>
            <w:shd w:val="clear" w:color="auto" w:fill="CFF0FC"/>
          </w:tcPr>
          <w:p>
            <w:pPr>
              <w:spacing w:after="0"/>
              <w:rPr>
                <w:sz w:val="16"/>
                <w:szCs w:val="16"/>
                <w:color w:val="auto"/>
              </w:rPr>
            </w:pPr>
          </w:p>
        </w:tc>
        <w:tc>
          <w:tcPr>
            <w:tcW w:w="840" w:type="dxa"/>
            <w:vAlign w:val="bottom"/>
            <w:shd w:val="clear" w:color="auto" w:fill="CFF0FC"/>
          </w:tcPr>
          <w:p>
            <w:pPr>
              <w:jc w:val="right"/>
              <w:ind w:right="79"/>
              <w:spacing w:after="0"/>
              <w:rPr>
                <w:sz w:val="20"/>
                <w:szCs w:val="20"/>
                <w:color w:val="auto"/>
              </w:rPr>
            </w:pPr>
            <w:r>
              <w:rPr>
                <w:rFonts w:ascii="Arial" w:cs="Arial" w:eastAsia="Arial" w:hAnsi="Arial"/>
                <w:sz w:val="16"/>
                <w:szCs w:val="16"/>
                <w:color w:val="auto"/>
              </w:rPr>
              <w:t>11</w:t>
            </w:r>
          </w:p>
        </w:tc>
        <w:tc>
          <w:tcPr>
            <w:tcW w:w="780" w:type="dxa"/>
            <w:vAlign w:val="bottom"/>
            <w:shd w:val="clear" w:color="auto" w:fill="CFF0FC"/>
          </w:tcPr>
          <w:p>
            <w:pPr>
              <w:spacing w:after="0"/>
              <w:rPr>
                <w:sz w:val="16"/>
                <w:szCs w:val="16"/>
                <w:color w:val="auto"/>
              </w:rPr>
            </w:pPr>
          </w:p>
        </w:tc>
        <w:tc>
          <w:tcPr>
            <w:tcW w:w="118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3,981</w:t>
            </w:r>
          </w:p>
        </w:tc>
        <w:tc>
          <w:tcPr>
            <w:tcW w:w="380" w:type="dxa"/>
            <w:vAlign w:val="bottom"/>
            <w:shd w:val="clear" w:color="auto" w:fill="CFF0FC"/>
          </w:tcPr>
          <w:p>
            <w:pPr>
              <w:spacing w:after="0"/>
              <w:rPr>
                <w:sz w:val="16"/>
                <w:szCs w:val="16"/>
                <w:color w:val="auto"/>
              </w:rPr>
            </w:pPr>
          </w:p>
        </w:tc>
        <w:tc>
          <w:tcPr>
            <w:tcW w:w="16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(3,970)</w:t>
            </w:r>
          </w:p>
        </w:tc>
        <w:tc>
          <w:tcPr>
            <w:tcW w:w="0" w:type="dxa"/>
            <w:vAlign w:val="bottom"/>
          </w:tcPr>
          <w:p>
            <w:pPr>
              <w:spacing w:after="0"/>
              <w:rPr>
                <w:sz w:val="1"/>
                <w:szCs w:val="1"/>
                <w:color w:val="auto"/>
              </w:rPr>
            </w:pPr>
          </w:p>
        </w:tc>
      </w:tr>
      <w:tr>
        <w:trPr>
          <w:trHeight w:val="189"/>
        </w:trPr>
        <w:tc>
          <w:tcPr>
            <w:tcW w:w="5440" w:type="dxa"/>
            <w:vAlign w:val="bottom"/>
          </w:tcPr>
          <w:p>
            <w:pPr>
              <w:ind w:left="100"/>
              <w:spacing w:after="0"/>
              <w:rPr>
                <w:sz w:val="20"/>
                <w:szCs w:val="20"/>
                <w:color w:val="auto"/>
              </w:rPr>
            </w:pPr>
            <w:r>
              <w:rPr>
                <w:rFonts w:ascii="Arial" w:cs="Arial" w:eastAsia="Arial" w:hAnsi="Arial"/>
                <w:sz w:val="16"/>
                <w:szCs w:val="16"/>
                <w:color w:val="auto"/>
              </w:rPr>
              <w:t>MRT-8102</w:t>
            </w:r>
          </w:p>
        </w:tc>
        <w:tc>
          <w:tcPr>
            <w:tcW w:w="1020" w:type="dxa"/>
            <w:vAlign w:val="bottom"/>
          </w:tcPr>
          <w:p>
            <w:pPr>
              <w:spacing w:after="0"/>
              <w:rPr>
                <w:sz w:val="16"/>
                <w:szCs w:val="16"/>
                <w:color w:val="auto"/>
              </w:rPr>
            </w:pPr>
          </w:p>
        </w:tc>
        <w:tc>
          <w:tcPr>
            <w:tcW w:w="840" w:type="dxa"/>
            <w:vAlign w:val="bottom"/>
          </w:tcPr>
          <w:p>
            <w:pPr>
              <w:jc w:val="right"/>
              <w:ind w:right="79"/>
              <w:spacing w:after="0"/>
              <w:rPr>
                <w:sz w:val="20"/>
                <w:szCs w:val="20"/>
                <w:color w:val="auto"/>
              </w:rPr>
            </w:pPr>
            <w:r>
              <w:rPr>
                <w:rFonts w:ascii="Arial" w:cs="Arial" w:eastAsia="Arial" w:hAnsi="Arial"/>
                <w:sz w:val="16"/>
                <w:szCs w:val="16"/>
                <w:color w:val="auto"/>
              </w:rPr>
              <w:t>6,781</w:t>
            </w:r>
          </w:p>
        </w:tc>
        <w:tc>
          <w:tcPr>
            <w:tcW w:w="780" w:type="dxa"/>
            <w:vAlign w:val="bottom"/>
          </w:tcPr>
          <w:p>
            <w:pPr>
              <w:spacing w:after="0"/>
              <w:rPr>
                <w:sz w:val="16"/>
                <w:szCs w:val="16"/>
                <w:color w:val="auto"/>
              </w:rPr>
            </w:pPr>
          </w:p>
        </w:tc>
        <w:tc>
          <w:tcPr>
            <w:tcW w:w="1180" w:type="dxa"/>
            <w:vAlign w:val="bottom"/>
          </w:tcPr>
          <w:p>
            <w:pPr>
              <w:jc w:val="right"/>
              <w:ind w:right="39"/>
              <w:spacing w:after="0"/>
              <w:rPr>
                <w:sz w:val="20"/>
                <w:szCs w:val="20"/>
                <w:color w:val="auto"/>
              </w:rPr>
            </w:pPr>
            <w:r>
              <w:rPr>
                <w:rFonts w:ascii="Arial" w:cs="Arial" w:eastAsia="Arial" w:hAnsi="Arial"/>
                <w:sz w:val="16"/>
                <w:szCs w:val="16"/>
                <w:color w:val="auto"/>
              </w:rPr>
              <w:t>1,882</w:t>
            </w:r>
          </w:p>
        </w:tc>
        <w:tc>
          <w:tcPr>
            <w:tcW w:w="380" w:type="dxa"/>
            <w:vAlign w:val="bottom"/>
          </w:tcPr>
          <w:p>
            <w:pPr>
              <w:spacing w:after="0"/>
              <w:rPr>
                <w:sz w:val="16"/>
                <w:szCs w:val="16"/>
                <w:color w:val="auto"/>
              </w:rPr>
            </w:pPr>
          </w:p>
        </w:tc>
        <w:tc>
          <w:tcPr>
            <w:tcW w:w="1600" w:type="dxa"/>
            <w:vAlign w:val="bottom"/>
          </w:tcPr>
          <w:p>
            <w:pPr>
              <w:jc w:val="right"/>
              <w:ind w:right="39"/>
              <w:spacing w:after="0"/>
              <w:rPr>
                <w:sz w:val="20"/>
                <w:szCs w:val="20"/>
                <w:color w:val="auto"/>
              </w:rPr>
            </w:pPr>
            <w:r>
              <w:rPr>
                <w:rFonts w:ascii="Arial" w:cs="Arial" w:eastAsia="Arial" w:hAnsi="Arial"/>
                <w:sz w:val="16"/>
                <w:szCs w:val="16"/>
                <w:color w:val="auto"/>
              </w:rPr>
              <w:t>4,899</w:t>
            </w:r>
          </w:p>
        </w:tc>
        <w:tc>
          <w:tcPr>
            <w:tcW w:w="0" w:type="dxa"/>
            <w:vAlign w:val="bottom"/>
          </w:tcPr>
          <w:p>
            <w:pPr>
              <w:spacing w:after="0"/>
              <w:rPr>
                <w:sz w:val="1"/>
                <w:szCs w:val="1"/>
                <w:color w:val="auto"/>
              </w:rPr>
            </w:pPr>
          </w:p>
        </w:tc>
      </w:tr>
      <w:tr>
        <w:trPr>
          <w:trHeight w:val="189"/>
        </w:trPr>
        <w:tc>
          <w:tcPr>
            <w:tcW w:w="5440" w:type="dxa"/>
            <w:vAlign w:val="bottom"/>
            <w:shd w:val="clear" w:color="auto" w:fill="CFF0FC"/>
          </w:tcPr>
          <w:p>
            <w:pPr>
              <w:ind w:left="100"/>
              <w:spacing w:after="0"/>
              <w:rPr>
                <w:sz w:val="20"/>
                <w:szCs w:val="20"/>
                <w:color w:val="auto"/>
              </w:rPr>
            </w:pPr>
            <w:r>
              <w:rPr>
                <w:rFonts w:ascii="Arial" w:cs="Arial" w:eastAsia="Arial" w:hAnsi="Arial"/>
                <w:sz w:val="16"/>
                <w:szCs w:val="16"/>
                <w:color w:val="auto"/>
              </w:rPr>
              <w:t>CCNE1</w:t>
            </w:r>
          </w:p>
        </w:tc>
        <w:tc>
          <w:tcPr>
            <w:tcW w:w="1020" w:type="dxa"/>
            <w:vAlign w:val="bottom"/>
            <w:shd w:val="clear" w:color="auto" w:fill="CFF0FC"/>
          </w:tcPr>
          <w:p>
            <w:pPr>
              <w:spacing w:after="0"/>
              <w:rPr>
                <w:sz w:val="16"/>
                <w:szCs w:val="16"/>
                <w:color w:val="auto"/>
              </w:rPr>
            </w:pPr>
          </w:p>
        </w:tc>
        <w:tc>
          <w:tcPr>
            <w:tcW w:w="840" w:type="dxa"/>
            <w:vAlign w:val="bottom"/>
            <w:shd w:val="clear" w:color="auto" w:fill="CFF0FC"/>
          </w:tcPr>
          <w:p>
            <w:pPr>
              <w:jc w:val="right"/>
              <w:ind w:right="79"/>
              <w:spacing w:after="0"/>
              <w:rPr>
                <w:sz w:val="20"/>
                <w:szCs w:val="20"/>
                <w:color w:val="auto"/>
              </w:rPr>
            </w:pPr>
            <w:r>
              <w:rPr>
                <w:rFonts w:ascii="Arial" w:cs="Arial" w:eastAsia="Arial" w:hAnsi="Arial"/>
                <w:sz w:val="16"/>
                <w:szCs w:val="16"/>
                <w:color w:val="auto"/>
              </w:rPr>
              <w:t>1,703</w:t>
            </w:r>
          </w:p>
        </w:tc>
        <w:tc>
          <w:tcPr>
            <w:tcW w:w="780" w:type="dxa"/>
            <w:vAlign w:val="bottom"/>
            <w:shd w:val="clear" w:color="auto" w:fill="CFF0FC"/>
          </w:tcPr>
          <w:p>
            <w:pPr>
              <w:spacing w:after="0"/>
              <w:rPr>
                <w:sz w:val="16"/>
                <w:szCs w:val="16"/>
                <w:color w:val="auto"/>
              </w:rPr>
            </w:pPr>
          </w:p>
        </w:tc>
        <w:tc>
          <w:tcPr>
            <w:tcW w:w="118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762</w:t>
            </w:r>
          </w:p>
        </w:tc>
        <w:tc>
          <w:tcPr>
            <w:tcW w:w="380" w:type="dxa"/>
            <w:vAlign w:val="bottom"/>
            <w:shd w:val="clear" w:color="auto" w:fill="CFF0FC"/>
          </w:tcPr>
          <w:p>
            <w:pPr>
              <w:spacing w:after="0"/>
              <w:rPr>
                <w:sz w:val="16"/>
                <w:szCs w:val="16"/>
                <w:color w:val="auto"/>
              </w:rPr>
            </w:pPr>
          </w:p>
        </w:tc>
        <w:tc>
          <w:tcPr>
            <w:tcW w:w="160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941</w:t>
            </w:r>
          </w:p>
        </w:tc>
        <w:tc>
          <w:tcPr>
            <w:tcW w:w="0" w:type="dxa"/>
            <w:vAlign w:val="bottom"/>
          </w:tcPr>
          <w:p>
            <w:pPr>
              <w:spacing w:after="0"/>
              <w:rPr>
                <w:sz w:val="1"/>
                <w:szCs w:val="1"/>
                <w:color w:val="auto"/>
              </w:rPr>
            </w:pPr>
          </w:p>
        </w:tc>
      </w:tr>
      <w:tr>
        <w:trPr>
          <w:trHeight w:val="189"/>
        </w:trPr>
        <w:tc>
          <w:tcPr>
            <w:tcW w:w="5440" w:type="dxa"/>
            <w:vAlign w:val="bottom"/>
          </w:tcPr>
          <w:p>
            <w:pPr>
              <w:ind w:left="100"/>
              <w:spacing w:after="0"/>
              <w:rPr>
                <w:sz w:val="20"/>
                <w:szCs w:val="20"/>
                <w:color w:val="auto"/>
              </w:rPr>
            </w:pPr>
            <w:r>
              <w:rPr>
                <w:rFonts w:ascii="Arial" w:cs="Arial" w:eastAsia="Arial" w:hAnsi="Arial"/>
                <w:sz w:val="16"/>
                <w:szCs w:val="16"/>
                <w:color w:val="auto"/>
              </w:rPr>
              <w:t>Other development and discovery programs</w:t>
            </w:r>
          </w:p>
        </w:tc>
        <w:tc>
          <w:tcPr>
            <w:tcW w:w="1020" w:type="dxa"/>
            <w:vAlign w:val="bottom"/>
          </w:tcPr>
          <w:p>
            <w:pPr>
              <w:spacing w:after="0"/>
              <w:rPr>
                <w:sz w:val="16"/>
                <w:szCs w:val="16"/>
                <w:color w:val="auto"/>
              </w:rPr>
            </w:pPr>
          </w:p>
        </w:tc>
        <w:tc>
          <w:tcPr>
            <w:tcW w:w="840" w:type="dxa"/>
            <w:vAlign w:val="bottom"/>
          </w:tcPr>
          <w:p>
            <w:pPr>
              <w:jc w:val="right"/>
              <w:ind w:right="79"/>
              <w:spacing w:after="0"/>
              <w:rPr>
                <w:sz w:val="20"/>
                <w:szCs w:val="20"/>
                <w:color w:val="auto"/>
              </w:rPr>
            </w:pPr>
            <w:r>
              <w:rPr>
                <w:rFonts w:ascii="Arial" w:cs="Arial" w:eastAsia="Arial" w:hAnsi="Arial"/>
                <w:sz w:val="16"/>
                <w:szCs w:val="16"/>
                <w:color w:val="auto"/>
              </w:rPr>
              <w:t>9,589</w:t>
            </w:r>
          </w:p>
        </w:tc>
        <w:tc>
          <w:tcPr>
            <w:tcW w:w="780" w:type="dxa"/>
            <w:vAlign w:val="bottom"/>
          </w:tcPr>
          <w:p>
            <w:pPr>
              <w:spacing w:after="0"/>
              <w:rPr>
                <w:sz w:val="16"/>
                <w:szCs w:val="16"/>
                <w:color w:val="auto"/>
              </w:rPr>
            </w:pPr>
          </w:p>
        </w:tc>
        <w:tc>
          <w:tcPr>
            <w:tcW w:w="1180" w:type="dxa"/>
            <w:vAlign w:val="bottom"/>
          </w:tcPr>
          <w:p>
            <w:pPr>
              <w:jc w:val="right"/>
              <w:ind w:right="39"/>
              <w:spacing w:after="0"/>
              <w:rPr>
                <w:sz w:val="20"/>
                <w:szCs w:val="20"/>
                <w:color w:val="auto"/>
              </w:rPr>
            </w:pPr>
            <w:r>
              <w:rPr>
                <w:rFonts w:ascii="Arial" w:cs="Arial" w:eastAsia="Arial" w:hAnsi="Arial"/>
                <w:sz w:val="16"/>
                <w:szCs w:val="16"/>
                <w:color w:val="auto"/>
              </w:rPr>
              <w:t>4,040</w:t>
            </w:r>
          </w:p>
        </w:tc>
        <w:tc>
          <w:tcPr>
            <w:tcW w:w="380" w:type="dxa"/>
            <w:vAlign w:val="bottom"/>
          </w:tcPr>
          <w:p>
            <w:pPr>
              <w:spacing w:after="0"/>
              <w:rPr>
                <w:sz w:val="16"/>
                <w:szCs w:val="16"/>
                <w:color w:val="auto"/>
              </w:rPr>
            </w:pPr>
          </w:p>
        </w:tc>
        <w:tc>
          <w:tcPr>
            <w:tcW w:w="1600" w:type="dxa"/>
            <w:vAlign w:val="bottom"/>
          </w:tcPr>
          <w:p>
            <w:pPr>
              <w:jc w:val="right"/>
              <w:ind w:right="39"/>
              <w:spacing w:after="0"/>
              <w:rPr>
                <w:sz w:val="20"/>
                <w:szCs w:val="20"/>
                <w:color w:val="auto"/>
              </w:rPr>
            </w:pPr>
            <w:r>
              <w:rPr>
                <w:rFonts w:ascii="Arial" w:cs="Arial" w:eastAsia="Arial" w:hAnsi="Arial"/>
                <w:sz w:val="16"/>
                <w:szCs w:val="16"/>
                <w:color w:val="auto"/>
              </w:rPr>
              <w:t>5,549</w:t>
            </w:r>
          </w:p>
        </w:tc>
        <w:tc>
          <w:tcPr>
            <w:tcW w:w="0" w:type="dxa"/>
            <w:vAlign w:val="bottom"/>
          </w:tcPr>
          <w:p>
            <w:pPr>
              <w:spacing w:after="0"/>
              <w:rPr>
                <w:sz w:val="1"/>
                <w:szCs w:val="1"/>
                <w:color w:val="auto"/>
              </w:rPr>
            </w:pPr>
          </w:p>
        </w:tc>
      </w:tr>
      <w:tr>
        <w:trPr>
          <w:trHeight w:val="189"/>
        </w:trPr>
        <w:tc>
          <w:tcPr>
            <w:tcW w:w="5440" w:type="dxa"/>
            <w:vAlign w:val="bottom"/>
            <w:shd w:val="clear" w:color="auto" w:fill="CFF0FC"/>
          </w:tcPr>
          <w:p>
            <w:pPr>
              <w:spacing w:after="0"/>
              <w:rPr>
                <w:sz w:val="20"/>
                <w:szCs w:val="20"/>
                <w:color w:val="auto"/>
              </w:rPr>
            </w:pPr>
            <w:r>
              <w:rPr>
                <w:rFonts w:ascii="Arial" w:cs="Arial" w:eastAsia="Arial" w:hAnsi="Arial"/>
                <w:sz w:val="16"/>
                <w:szCs w:val="16"/>
                <w:color w:val="auto"/>
              </w:rPr>
              <w:t>Personnel expense</w:t>
            </w:r>
          </w:p>
        </w:tc>
        <w:tc>
          <w:tcPr>
            <w:tcW w:w="1020" w:type="dxa"/>
            <w:vAlign w:val="bottom"/>
            <w:shd w:val="clear" w:color="auto" w:fill="CFF0FC"/>
          </w:tcPr>
          <w:p>
            <w:pPr>
              <w:spacing w:after="0"/>
              <w:rPr>
                <w:sz w:val="16"/>
                <w:szCs w:val="16"/>
                <w:color w:val="auto"/>
              </w:rPr>
            </w:pPr>
          </w:p>
        </w:tc>
        <w:tc>
          <w:tcPr>
            <w:tcW w:w="840" w:type="dxa"/>
            <w:vAlign w:val="bottom"/>
            <w:shd w:val="clear" w:color="auto" w:fill="CFF0FC"/>
          </w:tcPr>
          <w:p>
            <w:pPr>
              <w:jc w:val="right"/>
              <w:ind w:right="79"/>
              <w:spacing w:after="0"/>
              <w:rPr>
                <w:sz w:val="20"/>
                <w:szCs w:val="20"/>
                <w:color w:val="auto"/>
              </w:rPr>
            </w:pPr>
            <w:r>
              <w:rPr>
                <w:rFonts w:ascii="Arial" w:cs="Arial" w:eastAsia="Arial" w:hAnsi="Arial"/>
                <w:sz w:val="16"/>
                <w:szCs w:val="16"/>
                <w:color w:val="auto"/>
              </w:rPr>
              <w:t>13,493</w:t>
            </w:r>
          </w:p>
        </w:tc>
        <w:tc>
          <w:tcPr>
            <w:tcW w:w="780" w:type="dxa"/>
            <w:vAlign w:val="bottom"/>
            <w:shd w:val="clear" w:color="auto" w:fill="CFF0FC"/>
          </w:tcPr>
          <w:p>
            <w:pPr>
              <w:spacing w:after="0"/>
              <w:rPr>
                <w:sz w:val="16"/>
                <w:szCs w:val="16"/>
                <w:color w:val="auto"/>
              </w:rPr>
            </w:pPr>
          </w:p>
        </w:tc>
        <w:tc>
          <w:tcPr>
            <w:tcW w:w="118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11,352</w:t>
            </w:r>
          </w:p>
        </w:tc>
        <w:tc>
          <w:tcPr>
            <w:tcW w:w="380" w:type="dxa"/>
            <w:vAlign w:val="bottom"/>
            <w:shd w:val="clear" w:color="auto" w:fill="CFF0FC"/>
          </w:tcPr>
          <w:p>
            <w:pPr>
              <w:spacing w:after="0"/>
              <w:rPr>
                <w:sz w:val="16"/>
                <w:szCs w:val="16"/>
                <w:color w:val="auto"/>
              </w:rPr>
            </w:pPr>
          </w:p>
        </w:tc>
        <w:tc>
          <w:tcPr>
            <w:tcW w:w="160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2,141</w:t>
            </w:r>
          </w:p>
        </w:tc>
        <w:tc>
          <w:tcPr>
            <w:tcW w:w="0" w:type="dxa"/>
            <w:vAlign w:val="bottom"/>
          </w:tcPr>
          <w:p>
            <w:pPr>
              <w:spacing w:after="0"/>
              <w:rPr>
                <w:sz w:val="1"/>
                <w:szCs w:val="1"/>
                <w:color w:val="auto"/>
              </w:rPr>
            </w:pPr>
          </w:p>
        </w:tc>
      </w:tr>
      <w:tr>
        <w:trPr>
          <w:trHeight w:val="189"/>
        </w:trPr>
        <w:tc>
          <w:tcPr>
            <w:tcW w:w="5440" w:type="dxa"/>
            <w:vAlign w:val="bottom"/>
          </w:tcPr>
          <w:p>
            <w:pPr>
              <w:spacing w:after="0"/>
              <w:rPr>
                <w:sz w:val="20"/>
                <w:szCs w:val="20"/>
                <w:color w:val="auto"/>
              </w:rPr>
            </w:pPr>
            <w:r>
              <w:rPr>
                <w:rFonts w:ascii="Arial" w:cs="Arial" w:eastAsia="Arial" w:hAnsi="Arial"/>
                <w:sz w:val="16"/>
                <w:szCs w:val="16"/>
                <w:color w:val="auto"/>
              </w:rPr>
              <w:t>Overhead and administrative expense</w:t>
            </w:r>
          </w:p>
        </w:tc>
        <w:tc>
          <w:tcPr>
            <w:tcW w:w="102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10,111</w:t>
            </w:r>
          </w:p>
        </w:tc>
        <w:tc>
          <w:tcPr>
            <w:tcW w:w="78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8,228</w:t>
            </w:r>
          </w:p>
        </w:tc>
        <w:tc>
          <w:tcPr>
            <w:tcW w:w="380" w:type="dxa"/>
            <w:vAlign w:val="bottom"/>
            <w:tcBorders>
              <w:bottom w:val="single" w:sz="8" w:color="auto"/>
            </w:tcBorders>
          </w:tcPr>
          <w:p>
            <w:pPr>
              <w:spacing w:after="0"/>
              <w:rPr>
                <w:sz w:val="16"/>
                <w:szCs w:val="16"/>
                <w:color w:val="auto"/>
              </w:rPr>
            </w:pPr>
          </w:p>
        </w:tc>
        <w:tc>
          <w:tcPr>
            <w:tcW w:w="160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1,883</w:t>
            </w:r>
          </w:p>
        </w:tc>
        <w:tc>
          <w:tcPr>
            <w:tcW w:w="0" w:type="dxa"/>
            <w:vAlign w:val="bottom"/>
          </w:tcPr>
          <w:p>
            <w:pPr>
              <w:spacing w:after="0"/>
              <w:rPr>
                <w:sz w:val="1"/>
                <w:szCs w:val="1"/>
                <w:color w:val="auto"/>
              </w:rPr>
            </w:pPr>
          </w:p>
        </w:tc>
      </w:tr>
      <w:tr>
        <w:trPr>
          <w:trHeight w:val="183"/>
        </w:trPr>
        <w:tc>
          <w:tcPr>
            <w:tcW w:w="5440" w:type="dxa"/>
            <w:vAlign w:val="bottom"/>
            <w:tcBorders>
              <w:bottom w:val="single" w:sz="8" w:color="auto"/>
            </w:tcBorders>
            <w:shd w:val="clear" w:color="auto" w:fill="CFF0FC"/>
          </w:tcPr>
          <w:p>
            <w:pPr>
              <w:spacing w:after="0" w:line="183" w:lineRule="exact"/>
              <w:rPr>
                <w:sz w:val="20"/>
                <w:szCs w:val="20"/>
                <w:color w:val="auto"/>
              </w:rPr>
            </w:pPr>
            <w:r>
              <w:rPr>
                <w:rFonts w:ascii="Arial" w:cs="Arial" w:eastAsia="Arial" w:hAnsi="Arial"/>
                <w:sz w:val="16"/>
                <w:szCs w:val="16"/>
                <w:color w:val="auto"/>
              </w:rPr>
              <w:t>Total research and development expense</w:t>
            </w:r>
          </w:p>
        </w:tc>
        <w:tc>
          <w:tcPr>
            <w:tcW w:w="1020" w:type="dxa"/>
            <w:vAlign w:val="bottom"/>
            <w:tcBorders>
              <w:bottom w:val="single" w:sz="8" w:color="auto"/>
            </w:tcBorders>
            <w:shd w:val="clear" w:color="auto" w:fill="CFF0FC"/>
          </w:tcPr>
          <w:p>
            <w:pPr>
              <w:jc w:val="right"/>
              <w:ind w:right="862"/>
              <w:spacing w:after="0"/>
              <w:rPr>
                <w:sz w:val="20"/>
                <w:szCs w:val="20"/>
                <w:color w:val="auto"/>
              </w:rPr>
            </w:pPr>
            <w:r>
              <w:rPr>
                <w:rFonts w:ascii="Arial" w:cs="Arial" w:eastAsia="Arial" w:hAnsi="Arial"/>
                <w:sz w:val="15"/>
                <w:szCs w:val="15"/>
                <w:color w:val="auto"/>
                <w:w w:val="71"/>
              </w:rPr>
              <w:t>$</w:t>
            </w:r>
          </w:p>
        </w:tc>
        <w:tc>
          <w:tcPr>
            <w:tcW w:w="840" w:type="dxa"/>
            <w:vAlign w:val="bottom"/>
            <w:tcBorders>
              <w:bottom w:val="single" w:sz="8" w:color="auto"/>
            </w:tcBorders>
            <w:shd w:val="clear" w:color="auto" w:fill="CFF0FC"/>
          </w:tcPr>
          <w:p>
            <w:pPr>
              <w:jc w:val="right"/>
              <w:ind w:right="79"/>
              <w:spacing w:after="0" w:line="183" w:lineRule="exact"/>
              <w:rPr>
                <w:sz w:val="20"/>
                <w:szCs w:val="20"/>
                <w:color w:val="auto"/>
              </w:rPr>
            </w:pPr>
            <w:r>
              <w:rPr>
                <w:rFonts w:ascii="Arial" w:cs="Arial" w:eastAsia="Arial" w:hAnsi="Arial"/>
                <w:sz w:val="16"/>
                <w:szCs w:val="16"/>
                <w:color w:val="auto"/>
              </w:rPr>
              <w:t>44,069</w:t>
            </w:r>
          </w:p>
        </w:tc>
        <w:tc>
          <w:tcPr>
            <w:tcW w:w="780" w:type="dxa"/>
            <w:vAlign w:val="bottom"/>
            <w:tcBorders>
              <w:bottom w:val="single" w:sz="8" w:color="auto"/>
            </w:tcBorders>
            <w:shd w:val="clear" w:color="auto" w:fill="CFF0FC"/>
          </w:tcPr>
          <w:p>
            <w:pPr>
              <w:jc w:val="right"/>
              <w:ind w:right="439"/>
              <w:spacing w:after="0" w:line="183" w:lineRule="exact"/>
              <w:rPr>
                <w:sz w:val="20"/>
                <w:szCs w:val="20"/>
                <w:color w:val="auto"/>
              </w:rPr>
            </w:pPr>
            <w:r>
              <w:rPr>
                <w:rFonts w:ascii="Arial" w:cs="Arial" w:eastAsia="Arial" w:hAnsi="Arial"/>
                <w:sz w:val="16"/>
                <w:szCs w:val="16"/>
                <w:color w:val="auto"/>
              </w:rPr>
              <w:t>$</w:t>
            </w:r>
          </w:p>
        </w:tc>
        <w:tc>
          <w:tcPr>
            <w:tcW w:w="1180" w:type="dxa"/>
            <w:vAlign w:val="bottom"/>
            <w:tcBorders>
              <w:bottom w:val="single" w:sz="8" w:color="auto"/>
            </w:tcBorders>
            <w:shd w:val="clear" w:color="auto" w:fill="CFF0FC"/>
          </w:tcPr>
          <w:p>
            <w:pPr>
              <w:jc w:val="right"/>
              <w:ind w:right="39"/>
              <w:spacing w:after="0" w:line="183" w:lineRule="exact"/>
              <w:rPr>
                <w:sz w:val="20"/>
                <w:szCs w:val="20"/>
                <w:color w:val="auto"/>
              </w:rPr>
            </w:pPr>
            <w:r>
              <w:rPr>
                <w:rFonts w:ascii="Arial" w:cs="Arial" w:eastAsia="Arial" w:hAnsi="Arial"/>
                <w:sz w:val="16"/>
                <w:szCs w:val="16"/>
                <w:color w:val="auto"/>
              </w:rPr>
              <w:t>32,190</w:t>
            </w:r>
          </w:p>
        </w:tc>
        <w:tc>
          <w:tcPr>
            <w:tcW w:w="380" w:type="dxa"/>
            <w:vAlign w:val="bottom"/>
            <w:tcBorders>
              <w:bottom w:val="single" w:sz="8" w:color="auto"/>
            </w:tcBorders>
            <w:shd w:val="clear" w:color="auto" w:fill="CFF0FC"/>
          </w:tcPr>
          <w:p>
            <w:pPr>
              <w:jc w:val="right"/>
              <w:ind w:right="19"/>
              <w:spacing w:after="0" w:line="183" w:lineRule="exact"/>
              <w:rPr>
                <w:sz w:val="20"/>
                <w:szCs w:val="20"/>
                <w:color w:val="auto"/>
              </w:rPr>
            </w:pPr>
            <w:r>
              <w:rPr>
                <w:rFonts w:ascii="Arial" w:cs="Arial" w:eastAsia="Arial" w:hAnsi="Arial"/>
                <w:sz w:val="16"/>
                <w:szCs w:val="16"/>
                <w:color w:val="auto"/>
              </w:rPr>
              <w:t>$</w:t>
            </w:r>
          </w:p>
        </w:tc>
        <w:tc>
          <w:tcPr>
            <w:tcW w:w="1600" w:type="dxa"/>
            <w:vAlign w:val="bottom"/>
            <w:tcBorders>
              <w:bottom w:val="single" w:sz="8" w:color="auto"/>
            </w:tcBorders>
            <w:shd w:val="clear" w:color="auto" w:fill="CFF0FC"/>
          </w:tcPr>
          <w:p>
            <w:pPr>
              <w:jc w:val="right"/>
              <w:ind w:right="39"/>
              <w:spacing w:after="0" w:line="183" w:lineRule="exact"/>
              <w:rPr>
                <w:sz w:val="20"/>
                <w:szCs w:val="20"/>
                <w:color w:val="auto"/>
              </w:rPr>
            </w:pPr>
            <w:r>
              <w:rPr>
                <w:rFonts w:ascii="Arial" w:cs="Arial" w:eastAsia="Arial" w:hAnsi="Arial"/>
                <w:sz w:val="16"/>
                <w:szCs w:val="16"/>
                <w:color w:val="auto"/>
              </w:rPr>
              <w:t>11,879</w:t>
            </w:r>
          </w:p>
        </w:tc>
        <w:tc>
          <w:tcPr>
            <w:tcW w:w="0" w:type="dxa"/>
            <w:vAlign w:val="bottom"/>
          </w:tcPr>
          <w:p>
            <w:pPr>
              <w:spacing w:after="0"/>
              <w:rPr>
                <w:sz w:val="1"/>
                <w:szCs w:val="1"/>
                <w:color w:val="auto"/>
              </w:rPr>
            </w:pPr>
          </w:p>
        </w:tc>
      </w:tr>
    </w:tbl>
    <w:p>
      <w:pPr>
        <w:spacing w:after="0" w:line="89" w:lineRule="exact"/>
        <w:rPr>
          <w:sz w:val="20"/>
          <w:szCs w:val="20"/>
          <w:color w:val="auto"/>
        </w:rPr>
      </w:pPr>
    </w:p>
    <w:p>
      <w:pPr>
        <w:ind w:right="660"/>
        <w:spacing w:after="0" w:line="271" w:lineRule="auto"/>
        <w:rPr>
          <w:sz w:val="20"/>
          <w:szCs w:val="20"/>
          <w:color w:val="auto"/>
        </w:rPr>
      </w:pPr>
      <w:r>
        <w:rPr>
          <w:rFonts w:ascii="Arial" w:cs="Arial" w:eastAsia="Arial" w:hAnsi="Arial"/>
          <w:sz w:val="18"/>
          <w:szCs w:val="18"/>
          <w:color w:val="auto"/>
        </w:rPr>
        <w:t>As of March 31, 2026 and 2025, respectively, we had 129 and 112 employees engaged in research and development activities in our facilities in the U.S. and Switzerland.</w:t>
      </w:r>
    </w:p>
    <w:p>
      <w:pPr>
        <w:spacing w:after="0" w:line="46" w:lineRule="exact"/>
        <w:rPr>
          <w:sz w:val="20"/>
          <w:szCs w:val="20"/>
          <w:color w:val="auto"/>
        </w:rPr>
      </w:pPr>
    </w:p>
    <w:p>
      <w:pPr>
        <w:ind w:right="20"/>
        <w:spacing w:after="0" w:line="242" w:lineRule="auto"/>
        <w:rPr>
          <w:sz w:val="20"/>
          <w:szCs w:val="20"/>
          <w:color w:val="auto"/>
        </w:rPr>
      </w:pPr>
      <w:r>
        <w:rPr>
          <w:rFonts w:ascii="Arial" w:cs="Arial" w:eastAsia="Arial" w:hAnsi="Arial"/>
          <w:sz w:val="18"/>
          <w:szCs w:val="18"/>
          <w:color w:val="auto"/>
        </w:rPr>
        <w:t>Most of our research and development expenses were driven by the successful achievement of key research milestones in our research and development organization, including the continuation of the MRT-2359 and MRT-8102 clinical studies, the progression of our preclinical pipeline including research performed for our collaborations with Roche and Novartis, and the continued development of our QuEEN™ discovery engine, and reflect increased personnel expense and external R&amp;D costs to achieve these milestones. Research and development expenses for the three months ended March 31, 2026 and 2025 included non-cash stock-based compensation expense of $3.4 million and $3.1 million, respectively.</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General and administrative expenses</w:t>
      </w:r>
    </w:p>
    <w:p>
      <w:pPr>
        <w:spacing w:after="0" w:line="102" w:lineRule="exact"/>
        <w:rPr>
          <w:sz w:val="20"/>
          <w:szCs w:val="20"/>
          <w:color w:val="auto"/>
        </w:rPr>
      </w:pPr>
    </w:p>
    <w:p>
      <w:pPr>
        <w:spacing w:after="0"/>
        <w:rPr>
          <w:sz w:val="20"/>
          <w:szCs w:val="20"/>
          <w:color w:val="auto"/>
        </w:rPr>
      </w:pPr>
      <w:r>
        <w:rPr>
          <w:rFonts w:ascii="Arial" w:cs="Arial" w:eastAsia="Arial" w:hAnsi="Arial"/>
          <w:sz w:val="18"/>
          <w:szCs w:val="18"/>
          <w:color w:val="auto"/>
        </w:rPr>
        <w:t>General and administrative expenses to support our business activities were comprised of (in thousands):</w:t>
      </w:r>
    </w:p>
    <w:p>
      <w:pPr>
        <w:spacing w:after="0" w:line="102"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4840" w:type="dxa"/>
            <w:vAlign w:val="bottom"/>
            <w:tcBorders>
              <w:top w:val="single" w:sz="8" w:color="auto"/>
            </w:tcBorders>
          </w:tcPr>
          <w:p>
            <w:pPr>
              <w:spacing w:after="0"/>
              <w:rPr>
                <w:sz w:val="16"/>
                <w:szCs w:val="16"/>
                <w:color w:val="auto"/>
              </w:rPr>
            </w:pPr>
          </w:p>
        </w:tc>
        <w:tc>
          <w:tcPr>
            <w:tcW w:w="1800" w:type="dxa"/>
            <w:vAlign w:val="bottom"/>
            <w:tcBorders>
              <w:top w:val="single" w:sz="8" w:color="auto"/>
            </w:tcBorders>
          </w:tcPr>
          <w:p>
            <w:pPr>
              <w:spacing w:after="0"/>
              <w:rPr>
                <w:sz w:val="16"/>
                <w:szCs w:val="16"/>
                <w:color w:val="auto"/>
              </w:rPr>
            </w:pPr>
          </w:p>
        </w:tc>
        <w:tc>
          <w:tcPr>
            <w:tcW w:w="280" w:type="dxa"/>
            <w:vAlign w:val="bottom"/>
            <w:tcBorders>
              <w:top w:val="single" w:sz="8" w:color="auto"/>
            </w:tcBorders>
          </w:tcPr>
          <w:p>
            <w:pPr>
              <w:spacing w:after="0"/>
              <w:rPr>
                <w:sz w:val="16"/>
                <w:szCs w:val="16"/>
                <w:color w:val="auto"/>
              </w:rPr>
            </w:pPr>
          </w:p>
        </w:tc>
        <w:tc>
          <w:tcPr>
            <w:tcW w:w="2760" w:type="dxa"/>
            <w:vAlign w:val="bottom"/>
            <w:tcBorders>
              <w:top w:val="single" w:sz="8" w:color="auto"/>
            </w:tcBorders>
            <w:gridSpan w:val="3"/>
          </w:tcPr>
          <w:p>
            <w:pPr>
              <w:jc w:val="right"/>
              <w:ind w:right="739"/>
              <w:spacing w:after="0"/>
              <w:rPr>
                <w:sz w:val="20"/>
                <w:szCs w:val="20"/>
                <w:color w:val="auto"/>
              </w:rPr>
            </w:pPr>
            <w:r>
              <w:rPr>
                <w:rFonts w:ascii="Arial" w:cs="Arial" w:eastAsia="Arial" w:hAnsi="Arial"/>
                <w:sz w:val="16"/>
                <w:szCs w:val="16"/>
                <w:b w:val="1"/>
                <w:bCs w:val="1"/>
                <w:color w:val="auto"/>
              </w:rPr>
              <w:t>Three months ended</w:t>
            </w:r>
          </w:p>
        </w:tc>
        <w:tc>
          <w:tcPr>
            <w:tcW w:w="240" w:type="dxa"/>
            <w:vAlign w:val="bottom"/>
            <w:tcBorders>
              <w:top w:val="single" w:sz="8" w:color="auto"/>
            </w:tcBorders>
          </w:tcPr>
          <w:p>
            <w:pPr>
              <w:spacing w:after="0"/>
              <w:rPr>
                <w:sz w:val="16"/>
                <w:szCs w:val="16"/>
                <w:color w:val="auto"/>
              </w:rPr>
            </w:pPr>
          </w:p>
        </w:tc>
        <w:tc>
          <w:tcPr>
            <w:tcW w:w="1320" w:type="dxa"/>
            <w:vAlign w:val="bottom"/>
            <w:tcBorders>
              <w:top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4840" w:type="dxa"/>
            <w:vAlign w:val="bottom"/>
          </w:tcPr>
          <w:p>
            <w:pPr>
              <w:spacing w:after="0"/>
              <w:rPr>
                <w:sz w:val="17"/>
                <w:szCs w:val="17"/>
                <w:color w:val="auto"/>
              </w:rPr>
            </w:pPr>
          </w:p>
        </w:tc>
        <w:tc>
          <w:tcPr>
            <w:tcW w:w="180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680" w:type="dxa"/>
            <w:vAlign w:val="bottom"/>
            <w:tcBorders>
              <w:bottom w:val="single" w:sz="8" w:color="auto"/>
            </w:tcBorders>
            <w:gridSpan w:val="2"/>
          </w:tcPr>
          <w:p>
            <w:pPr>
              <w:jc w:val="right"/>
              <w:ind w:right="59"/>
              <w:spacing w:after="0"/>
              <w:rPr>
                <w:sz w:val="20"/>
                <w:szCs w:val="20"/>
                <w:color w:val="auto"/>
              </w:rPr>
            </w:pPr>
            <w:r>
              <w:rPr>
                <w:rFonts w:ascii="Arial" w:cs="Arial" w:eastAsia="Arial" w:hAnsi="Arial"/>
                <w:sz w:val="16"/>
                <w:szCs w:val="16"/>
                <w:b w:val="1"/>
                <w:bCs w:val="1"/>
                <w:color w:val="auto"/>
              </w:rPr>
              <w:t>March 31,</w:t>
            </w:r>
          </w:p>
        </w:tc>
        <w:tc>
          <w:tcPr>
            <w:tcW w:w="1080" w:type="dxa"/>
            <w:vAlign w:val="bottom"/>
            <w:tcBorders>
              <w:bottom w:val="single" w:sz="8" w:color="auto"/>
            </w:tcBorders>
          </w:tcPr>
          <w:p>
            <w:pPr>
              <w:spacing w:after="0"/>
              <w:rPr>
                <w:sz w:val="17"/>
                <w:szCs w:val="17"/>
                <w:color w:val="auto"/>
              </w:rPr>
            </w:pPr>
          </w:p>
        </w:tc>
        <w:tc>
          <w:tcPr>
            <w:tcW w:w="240" w:type="dxa"/>
            <w:vAlign w:val="bottom"/>
          </w:tcPr>
          <w:p>
            <w:pPr>
              <w:spacing w:after="0"/>
              <w:rPr>
                <w:sz w:val="17"/>
                <w:szCs w:val="17"/>
                <w:color w:val="auto"/>
              </w:rPr>
            </w:pPr>
          </w:p>
        </w:tc>
        <w:tc>
          <w:tcPr>
            <w:tcW w:w="1320" w:type="dxa"/>
            <w:vAlign w:val="bottom"/>
            <w:vMerge w:val="restart"/>
          </w:tcPr>
          <w:p>
            <w:pPr>
              <w:jc w:val="right"/>
              <w:ind w:right="159"/>
              <w:spacing w:after="0"/>
              <w:rPr>
                <w:sz w:val="20"/>
                <w:szCs w:val="20"/>
                <w:color w:val="auto"/>
              </w:rPr>
            </w:pPr>
            <w:r>
              <w:rPr>
                <w:rFonts w:ascii="Arial" w:cs="Arial" w:eastAsia="Arial" w:hAnsi="Arial"/>
                <w:sz w:val="16"/>
                <w:szCs w:val="16"/>
                <w:b w:val="1"/>
                <w:bCs w:val="1"/>
                <w:color w:val="auto"/>
              </w:rPr>
              <w:t>Dollar change</w:t>
            </w:r>
          </w:p>
        </w:tc>
        <w:tc>
          <w:tcPr>
            <w:tcW w:w="0" w:type="dxa"/>
            <w:vAlign w:val="bottom"/>
          </w:tcPr>
          <w:p>
            <w:pPr>
              <w:spacing w:after="0"/>
              <w:rPr>
                <w:sz w:val="1"/>
                <w:szCs w:val="1"/>
                <w:color w:val="auto"/>
              </w:rPr>
            </w:pPr>
          </w:p>
        </w:tc>
      </w:tr>
      <w:tr>
        <w:trPr>
          <w:trHeight w:val="182"/>
        </w:trPr>
        <w:tc>
          <w:tcPr>
            <w:tcW w:w="4840" w:type="dxa"/>
            <w:vAlign w:val="bottom"/>
            <w:tcBorders>
              <w:bottom w:val="single" w:sz="8" w:color="auto"/>
            </w:tcBorders>
          </w:tcPr>
          <w:p>
            <w:pPr>
              <w:spacing w:after="0"/>
              <w:rPr>
                <w:sz w:val="15"/>
                <w:szCs w:val="15"/>
                <w:color w:val="auto"/>
              </w:rPr>
            </w:pPr>
          </w:p>
        </w:tc>
        <w:tc>
          <w:tcPr>
            <w:tcW w:w="1800" w:type="dxa"/>
            <w:vAlign w:val="bottom"/>
            <w:tcBorders>
              <w:bottom w:val="single" w:sz="8" w:color="auto"/>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jc w:val="right"/>
              <w:ind w:right="539"/>
              <w:spacing w:after="0" w:line="183" w:lineRule="exact"/>
              <w:rPr>
                <w:sz w:val="20"/>
                <w:szCs w:val="20"/>
                <w:color w:val="auto"/>
              </w:rPr>
            </w:pPr>
            <w:r>
              <w:rPr>
                <w:rFonts w:ascii="Arial" w:cs="Arial" w:eastAsia="Arial" w:hAnsi="Arial"/>
                <w:sz w:val="16"/>
                <w:szCs w:val="16"/>
                <w:b w:val="1"/>
                <w:bCs w:val="1"/>
                <w:color w:val="auto"/>
              </w:rPr>
              <w:t>2026</w:t>
            </w:r>
          </w:p>
        </w:tc>
        <w:tc>
          <w:tcPr>
            <w:tcW w:w="50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ind w:right="519"/>
              <w:spacing w:after="0" w:line="183" w:lineRule="exact"/>
              <w:rPr>
                <w:sz w:val="20"/>
                <w:szCs w:val="20"/>
                <w:color w:val="auto"/>
              </w:rPr>
            </w:pPr>
            <w:r>
              <w:rPr>
                <w:rFonts w:ascii="Arial" w:cs="Arial" w:eastAsia="Arial" w:hAnsi="Arial"/>
                <w:sz w:val="16"/>
                <w:szCs w:val="16"/>
                <w:b w:val="1"/>
                <w:bCs w:val="1"/>
                <w:color w:val="auto"/>
              </w:rPr>
              <w:t>2025</w:t>
            </w:r>
          </w:p>
        </w:tc>
        <w:tc>
          <w:tcPr>
            <w:tcW w:w="240" w:type="dxa"/>
            <w:vAlign w:val="bottom"/>
            <w:tcBorders>
              <w:bottom w:val="single" w:sz="8" w:color="auto"/>
            </w:tcBorders>
          </w:tcPr>
          <w:p>
            <w:pPr>
              <w:spacing w:after="0"/>
              <w:rPr>
                <w:sz w:val="15"/>
                <w:szCs w:val="15"/>
                <w:color w:val="auto"/>
              </w:rPr>
            </w:pPr>
          </w:p>
        </w:tc>
        <w:tc>
          <w:tcPr>
            <w:tcW w:w="132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4840" w:type="dxa"/>
            <w:vAlign w:val="bottom"/>
            <w:shd w:val="clear" w:color="auto" w:fill="CFF0FC"/>
          </w:tcPr>
          <w:p>
            <w:pPr>
              <w:spacing w:after="0" w:line="183" w:lineRule="exact"/>
              <w:rPr>
                <w:sz w:val="20"/>
                <w:szCs w:val="20"/>
                <w:color w:val="auto"/>
              </w:rPr>
            </w:pPr>
            <w:r>
              <w:rPr>
                <w:rFonts w:ascii="Arial" w:cs="Arial" w:eastAsia="Arial" w:hAnsi="Arial"/>
                <w:sz w:val="16"/>
                <w:szCs w:val="16"/>
                <w:color w:val="auto"/>
              </w:rPr>
              <w:t>Personnel costs</w:t>
            </w:r>
          </w:p>
        </w:tc>
        <w:tc>
          <w:tcPr>
            <w:tcW w:w="2080" w:type="dxa"/>
            <w:vAlign w:val="bottom"/>
            <w:gridSpan w:val="2"/>
            <w:shd w:val="clear" w:color="auto" w:fill="CFF0FC"/>
          </w:tcPr>
          <w:p>
            <w:pPr>
              <w:jc w:val="right"/>
              <w:ind w:right="200"/>
              <w:spacing w:after="0" w:line="183" w:lineRule="exact"/>
              <w:rPr>
                <w:sz w:val="20"/>
                <w:szCs w:val="20"/>
                <w:color w:val="auto"/>
              </w:rPr>
            </w:pPr>
            <w:r>
              <w:rPr>
                <w:rFonts w:ascii="Arial" w:cs="Arial" w:eastAsia="Arial" w:hAnsi="Arial"/>
                <w:sz w:val="16"/>
                <w:szCs w:val="16"/>
                <w:color w:val="auto"/>
              </w:rPr>
              <w:t>$</w:t>
            </w:r>
          </w:p>
        </w:tc>
        <w:tc>
          <w:tcPr>
            <w:tcW w:w="1180" w:type="dxa"/>
            <w:vAlign w:val="bottom"/>
            <w:shd w:val="clear" w:color="auto" w:fill="CFF0FC"/>
          </w:tcPr>
          <w:p>
            <w:pPr>
              <w:jc w:val="right"/>
              <w:ind w:right="59"/>
              <w:spacing w:after="0" w:line="183" w:lineRule="exact"/>
              <w:rPr>
                <w:sz w:val="20"/>
                <w:szCs w:val="20"/>
                <w:color w:val="auto"/>
              </w:rPr>
            </w:pPr>
            <w:r>
              <w:rPr>
                <w:rFonts w:ascii="Arial" w:cs="Arial" w:eastAsia="Arial" w:hAnsi="Arial"/>
                <w:sz w:val="16"/>
                <w:szCs w:val="16"/>
                <w:color w:val="auto"/>
              </w:rPr>
              <w:t>6,420</w:t>
            </w:r>
          </w:p>
        </w:tc>
        <w:tc>
          <w:tcPr>
            <w:tcW w:w="500" w:type="dxa"/>
            <w:vAlign w:val="bottom"/>
            <w:shd w:val="clear" w:color="auto" w:fill="CFF0FC"/>
          </w:tcPr>
          <w:p>
            <w:pPr>
              <w:jc w:val="right"/>
              <w:ind w:right="179"/>
              <w:spacing w:after="0" w:line="183" w:lineRule="exact"/>
              <w:rPr>
                <w:sz w:val="20"/>
                <w:szCs w:val="20"/>
                <w:color w:val="auto"/>
              </w:rPr>
            </w:pPr>
            <w:r>
              <w:rPr>
                <w:rFonts w:ascii="Arial" w:cs="Arial" w:eastAsia="Arial" w:hAnsi="Arial"/>
                <w:sz w:val="16"/>
                <w:szCs w:val="16"/>
                <w:color w:val="auto"/>
              </w:rPr>
              <w:t>$</w:t>
            </w:r>
          </w:p>
        </w:tc>
        <w:tc>
          <w:tcPr>
            <w:tcW w:w="1080" w:type="dxa"/>
            <w:vAlign w:val="bottom"/>
            <w:shd w:val="clear" w:color="auto" w:fill="CFF0FC"/>
          </w:tcPr>
          <w:p>
            <w:pPr>
              <w:jc w:val="right"/>
              <w:ind w:right="39"/>
              <w:spacing w:after="0" w:line="183" w:lineRule="exact"/>
              <w:rPr>
                <w:sz w:val="20"/>
                <w:szCs w:val="20"/>
                <w:color w:val="auto"/>
              </w:rPr>
            </w:pPr>
            <w:r>
              <w:rPr>
                <w:rFonts w:ascii="Arial" w:cs="Arial" w:eastAsia="Arial" w:hAnsi="Arial"/>
                <w:sz w:val="16"/>
                <w:szCs w:val="16"/>
                <w:color w:val="auto"/>
              </w:rPr>
              <w:t>5,679</w:t>
            </w:r>
          </w:p>
        </w:tc>
        <w:tc>
          <w:tcPr>
            <w:tcW w:w="240" w:type="dxa"/>
            <w:vAlign w:val="bottom"/>
            <w:shd w:val="clear" w:color="auto" w:fill="CFF0FC"/>
          </w:tcPr>
          <w:p>
            <w:pPr>
              <w:jc w:val="right"/>
              <w:spacing w:after="0" w:line="183" w:lineRule="exact"/>
              <w:rPr>
                <w:sz w:val="20"/>
                <w:szCs w:val="20"/>
                <w:color w:val="auto"/>
              </w:rPr>
            </w:pPr>
            <w:r>
              <w:rPr>
                <w:rFonts w:ascii="Arial" w:cs="Arial" w:eastAsia="Arial" w:hAnsi="Arial"/>
                <w:sz w:val="16"/>
                <w:szCs w:val="16"/>
                <w:color w:val="auto"/>
              </w:rPr>
              <w:t>$</w:t>
            </w:r>
          </w:p>
        </w:tc>
        <w:tc>
          <w:tcPr>
            <w:tcW w:w="1320" w:type="dxa"/>
            <w:vAlign w:val="bottom"/>
            <w:shd w:val="clear" w:color="auto" w:fill="CFF0FC"/>
          </w:tcPr>
          <w:p>
            <w:pPr>
              <w:jc w:val="right"/>
              <w:ind w:right="39"/>
              <w:spacing w:after="0" w:line="183" w:lineRule="exact"/>
              <w:rPr>
                <w:sz w:val="20"/>
                <w:szCs w:val="20"/>
                <w:color w:val="auto"/>
              </w:rPr>
            </w:pPr>
            <w:r>
              <w:rPr>
                <w:rFonts w:ascii="Arial" w:cs="Arial" w:eastAsia="Arial" w:hAnsi="Arial"/>
                <w:sz w:val="16"/>
                <w:szCs w:val="16"/>
                <w:color w:val="auto"/>
              </w:rPr>
              <w:t>741</w:t>
            </w:r>
          </w:p>
        </w:tc>
        <w:tc>
          <w:tcPr>
            <w:tcW w:w="0" w:type="dxa"/>
            <w:vAlign w:val="bottom"/>
          </w:tcPr>
          <w:p>
            <w:pPr>
              <w:spacing w:after="0"/>
              <w:rPr>
                <w:sz w:val="1"/>
                <w:szCs w:val="1"/>
                <w:color w:val="auto"/>
              </w:rPr>
            </w:pPr>
          </w:p>
        </w:tc>
      </w:tr>
      <w:tr>
        <w:trPr>
          <w:trHeight w:val="189"/>
        </w:trPr>
        <w:tc>
          <w:tcPr>
            <w:tcW w:w="4840" w:type="dxa"/>
            <w:vAlign w:val="bottom"/>
          </w:tcPr>
          <w:p>
            <w:pPr>
              <w:spacing w:after="0"/>
              <w:rPr>
                <w:sz w:val="20"/>
                <w:szCs w:val="20"/>
                <w:color w:val="auto"/>
              </w:rPr>
            </w:pPr>
            <w:r>
              <w:rPr>
                <w:rFonts w:ascii="Arial" w:cs="Arial" w:eastAsia="Arial" w:hAnsi="Arial"/>
                <w:sz w:val="16"/>
                <w:szCs w:val="16"/>
                <w:color w:val="auto"/>
              </w:rPr>
              <w:t>Professional services</w:t>
            </w:r>
          </w:p>
        </w:tc>
        <w:tc>
          <w:tcPr>
            <w:tcW w:w="18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180" w:type="dxa"/>
            <w:vAlign w:val="bottom"/>
          </w:tcPr>
          <w:p>
            <w:pPr>
              <w:jc w:val="right"/>
              <w:ind w:right="59"/>
              <w:spacing w:after="0"/>
              <w:rPr>
                <w:sz w:val="20"/>
                <w:szCs w:val="20"/>
                <w:color w:val="auto"/>
              </w:rPr>
            </w:pPr>
            <w:r>
              <w:rPr>
                <w:rFonts w:ascii="Arial" w:cs="Arial" w:eastAsia="Arial" w:hAnsi="Arial"/>
                <w:sz w:val="16"/>
                <w:szCs w:val="16"/>
                <w:color w:val="auto"/>
              </w:rPr>
              <w:t>2,143</w:t>
            </w:r>
          </w:p>
        </w:tc>
        <w:tc>
          <w:tcPr>
            <w:tcW w:w="500" w:type="dxa"/>
            <w:vAlign w:val="bottom"/>
          </w:tcPr>
          <w:p>
            <w:pPr>
              <w:spacing w:after="0"/>
              <w:rPr>
                <w:sz w:val="16"/>
                <w:szCs w:val="16"/>
                <w:color w:val="auto"/>
              </w:rPr>
            </w:pPr>
          </w:p>
        </w:tc>
        <w:tc>
          <w:tcPr>
            <w:tcW w:w="1080" w:type="dxa"/>
            <w:vAlign w:val="bottom"/>
          </w:tcPr>
          <w:p>
            <w:pPr>
              <w:jc w:val="right"/>
              <w:ind w:right="39"/>
              <w:spacing w:after="0"/>
              <w:rPr>
                <w:sz w:val="20"/>
                <w:szCs w:val="20"/>
                <w:color w:val="auto"/>
              </w:rPr>
            </w:pPr>
            <w:r>
              <w:rPr>
                <w:rFonts w:ascii="Arial" w:cs="Arial" w:eastAsia="Arial" w:hAnsi="Arial"/>
                <w:sz w:val="16"/>
                <w:szCs w:val="16"/>
                <w:color w:val="auto"/>
              </w:rPr>
              <w:t>1,478</w:t>
            </w:r>
          </w:p>
        </w:tc>
        <w:tc>
          <w:tcPr>
            <w:tcW w:w="240" w:type="dxa"/>
            <w:vAlign w:val="bottom"/>
          </w:tcPr>
          <w:p>
            <w:pPr>
              <w:spacing w:after="0"/>
              <w:rPr>
                <w:sz w:val="16"/>
                <w:szCs w:val="16"/>
                <w:color w:val="auto"/>
              </w:rPr>
            </w:pPr>
          </w:p>
        </w:tc>
        <w:tc>
          <w:tcPr>
            <w:tcW w:w="1320" w:type="dxa"/>
            <w:vAlign w:val="bottom"/>
          </w:tcPr>
          <w:p>
            <w:pPr>
              <w:jc w:val="right"/>
              <w:ind w:right="39"/>
              <w:spacing w:after="0"/>
              <w:rPr>
                <w:sz w:val="20"/>
                <w:szCs w:val="20"/>
                <w:color w:val="auto"/>
              </w:rPr>
            </w:pPr>
            <w:r>
              <w:rPr>
                <w:rFonts w:ascii="Arial" w:cs="Arial" w:eastAsia="Arial" w:hAnsi="Arial"/>
                <w:sz w:val="16"/>
                <w:szCs w:val="16"/>
                <w:color w:val="auto"/>
              </w:rPr>
              <w:t>665</w:t>
            </w:r>
          </w:p>
        </w:tc>
        <w:tc>
          <w:tcPr>
            <w:tcW w:w="0" w:type="dxa"/>
            <w:vAlign w:val="bottom"/>
          </w:tcPr>
          <w:p>
            <w:pPr>
              <w:spacing w:after="0"/>
              <w:rPr>
                <w:sz w:val="1"/>
                <w:szCs w:val="1"/>
                <w:color w:val="auto"/>
              </w:rPr>
            </w:pPr>
          </w:p>
        </w:tc>
      </w:tr>
      <w:tr>
        <w:trPr>
          <w:trHeight w:val="189"/>
        </w:trPr>
        <w:tc>
          <w:tcPr>
            <w:tcW w:w="484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6"/>
                <w:szCs w:val="16"/>
                <w:color w:val="auto"/>
              </w:rPr>
              <w:t>Facility costs and other expenses</w:t>
            </w:r>
          </w:p>
        </w:tc>
        <w:tc>
          <w:tcPr>
            <w:tcW w:w="1800" w:type="dxa"/>
            <w:vAlign w:val="bottom"/>
            <w:tcBorders>
              <w:bottom w:val="single" w:sz="8" w:color="CFF0FC"/>
            </w:tcBorders>
            <w:shd w:val="clear" w:color="auto" w:fill="CFF0FC"/>
          </w:tcPr>
          <w:p>
            <w:pPr>
              <w:spacing w:after="0"/>
              <w:rPr>
                <w:sz w:val="16"/>
                <w:szCs w:val="16"/>
                <w:color w:val="auto"/>
              </w:rPr>
            </w:pPr>
          </w:p>
        </w:tc>
        <w:tc>
          <w:tcPr>
            <w:tcW w:w="280" w:type="dxa"/>
            <w:vAlign w:val="bottom"/>
            <w:tcBorders>
              <w:bottom w:val="single" w:sz="8" w:color="auto"/>
            </w:tcBorders>
            <w:shd w:val="clear" w:color="auto" w:fill="CFF0FC"/>
          </w:tcPr>
          <w:p>
            <w:pPr>
              <w:spacing w:after="0"/>
              <w:rPr>
                <w:sz w:val="16"/>
                <w:szCs w:val="16"/>
                <w:color w:val="auto"/>
              </w:rPr>
            </w:pPr>
          </w:p>
        </w:tc>
        <w:tc>
          <w:tcPr>
            <w:tcW w:w="1180" w:type="dxa"/>
            <w:vAlign w:val="bottom"/>
            <w:tcBorders>
              <w:bottom w:val="single" w:sz="8" w:color="auto"/>
            </w:tcBorders>
            <w:shd w:val="clear" w:color="auto" w:fill="CFF0FC"/>
          </w:tcPr>
          <w:p>
            <w:pPr>
              <w:jc w:val="right"/>
              <w:ind w:right="59"/>
              <w:spacing w:after="0"/>
              <w:rPr>
                <w:sz w:val="20"/>
                <w:szCs w:val="20"/>
                <w:color w:val="auto"/>
              </w:rPr>
            </w:pPr>
            <w:r>
              <w:rPr>
                <w:rFonts w:ascii="Arial" w:cs="Arial" w:eastAsia="Arial" w:hAnsi="Arial"/>
                <w:sz w:val="16"/>
                <w:szCs w:val="16"/>
                <w:color w:val="auto"/>
              </w:rPr>
              <w:t>1,612</w:t>
            </w:r>
          </w:p>
        </w:tc>
        <w:tc>
          <w:tcPr>
            <w:tcW w:w="500" w:type="dxa"/>
            <w:vAlign w:val="bottom"/>
            <w:tcBorders>
              <w:bottom w:val="single" w:sz="8" w:color="auto"/>
            </w:tcBorders>
            <w:shd w:val="clear" w:color="auto" w:fill="CFF0FC"/>
          </w:tcPr>
          <w:p>
            <w:pPr>
              <w:spacing w:after="0"/>
              <w:rPr>
                <w:sz w:val="16"/>
                <w:szCs w:val="16"/>
                <w:color w:val="auto"/>
              </w:rPr>
            </w:pPr>
          </w:p>
        </w:tc>
        <w:tc>
          <w:tcPr>
            <w:tcW w:w="1080" w:type="dxa"/>
            <w:vAlign w:val="bottom"/>
            <w:tcBorders>
              <w:bottom w:val="single" w:sz="8" w:color="auto"/>
            </w:tcBorders>
            <w:shd w:val="clear" w:color="auto" w:fill="CFF0FC"/>
          </w:tcPr>
          <w:p>
            <w:pPr>
              <w:jc w:val="right"/>
              <w:ind w:right="39"/>
              <w:spacing w:after="0"/>
              <w:rPr>
                <w:sz w:val="20"/>
                <w:szCs w:val="20"/>
                <w:color w:val="auto"/>
              </w:rPr>
            </w:pPr>
            <w:r>
              <w:rPr>
                <w:rFonts w:ascii="Arial" w:cs="Arial" w:eastAsia="Arial" w:hAnsi="Arial"/>
                <w:sz w:val="16"/>
                <w:szCs w:val="16"/>
                <w:color w:val="auto"/>
              </w:rPr>
              <w:t>1,546</w:t>
            </w:r>
          </w:p>
        </w:tc>
        <w:tc>
          <w:tcPr>
            <w:tcW w:w="240" w:type="dxa"/>
            <w:vAlign w:val="bottom"/>
            <w:tcBorders>
              <w:bottom w:val="single" w:sz="8" w:color="auto"/>
            </w:tcBorders>
            <w:shd w:val="clear" w:color="auto" w:fill="CFF0FC"/>
          </w:tcPr>
          <w:p>
            <w:pPr>
              <w:spacing w:after="0"/>
              <w:rPr>
                <w:sz w:val="16"/>
                <w:szCs w:val="16"/>
                <w:color w:val="auto"/>
              </w:rPr>
            </w:pPr>
          </w:p>
        </w:tc>
        <w:tc>
          <w:tcPr>
            <w:tcW w:w="1320" w:type="dxa"/>
            <w:vAlign w:val="bottom"/>
            <w:tcBorders>
              <w:bottom w:val="single" w:sz="8" w:color="auto"/>
            </w:tcBorders>
            <w:shd w:val="clear" w:color="auto" w:fill="CFF0FC"/>
          </w:tcPr>
          <w:p>
            <w:pPr>
              <w:jc w:val="right"/>
              <w:ind w:right="39"/>
              <w:spacing w:after="0"/>
              <w:rPr>
                <w:sz w:val="20"/>
                <w:szCs w:val="20"/>
                <w:color w:val="auto"/>
              </w:rPr>
            </w:pPr>
            <w:r>
              <w:rPr>
                <w:rFonts w:ascii="Arial" w:cs="Arial" w:eastAsia="Arial" w:hAnsi="Arial"/>
                <w:sz w:val="16"/>
                <w:szCs w:val="16"/>
                <w:color w:val="auto"/>
              </w:rPr>
              <w:t>66</w:t>
            </w:r>
          </w:p>
        </w:tc>
        <w:tc>
          <w:tcPr>
            <w:tcW w:w="0" w:type="dxa"/>
            <w:vAlign w:val="bottom"/>
          </w:tcPr>
          <w:p>
            <w:pPr>
              <w:spacing w:after="0"/>
              <w:rPr>
                <w:sz w:val="1"/>
                <w:szCs w:val="1"/>
                <w:color w:val="auto"/>
              </w:rPr>
            </w:pPr>
          </w:p>
        </w:tc>
      </w:tr>
      <w:tr>
        <w:trPr>
          <w:trHeight w:val="183"/>
        </w:trPr>
        <w:tc>
          <w:tcPr>
            <w:tcW w:w="4840" w:type="dxa"/>
            <w:vAlign w:val="bottom"/>
            <w:tcBorders>
              <w:bottom w:val="single" w:sz="8" w:color="auto"/>
            </w:tcBorders>
          </w:tcPr>
          <w:p>
            <w:pPr>
              <w:spacing w:after="0" w:line="183" w:lineRule="exact"/>
              <w:rPr>
                <w:sz w:val="20"/>
                <w:szCs w:val="20"/>
                <w:color w:val="auto"/>
              </w:rPr>
            </w:pPr>
            <w:r>
              <w:rPr>
                <w:rFonts w:ascii="Arial" w:cs="Arial" w:eastAsia="Arial" w:hAnsi="Arial"/>
                <w:sz w:val="16"/>
                <w:szCs w:val="16"/>
                <w:color w:val="auto"/>
              </w:rPr>
              <w:t>Total general and administrative expenses</w:t>
            </w:r>
          </w:p>
        </w:tc>
        <w:tc>
          <w:tcPr>
            <w:tcW w:w="2080" w:type="dxa"/>
            <w:vAlign w:val="bottom"/>
            <w:tcBorders>
              <w:bottom w:val="single" w:sz="8" w:color="auto"/>
            </w:tcBorders>
            <w:gridSpan w:val="2"/>
          </w:tcPr>
          <w:p>
            <w:pPr>
              <w:jc w:val="right"/>
              <w:ind w:right="200"/>
              <w:spacing w:after="0" w:line="183" w:lineRule="exact"/>
              <w:rPr>
                <w:sz w:val="20"/>
                <w:szCs w:val="20"/>
                <w:color w:val="auto"/>
              </w:rPr>
            </w:pPr>
            <w:r>
              <w:rPr>
                <w:rFonts w:ascii="Arial" w:cs="Arial" w:eastAsia="Arial" w:hAnsi="Arial"/>
                <w:sz w:val="16"/>
                <w:szCs w:val="16"/>
                <w:color w:val="auto"/>
              </w:rPr>
              <w:t>$</w:t>
            </w:r>
          </w:p>
        </w:tc>
        <w:tc>
          <w:tcPr>
            <w:tcW w:w="1180" w:type="dxa"/>
            <w:vAlign w:val="bottom"/>
            <w:tcBorders>
              <w:bottom w:val="single" w:sz="8" w:color="auto"/>
            </w:tcBorders>
          </w:tcPr>
          <w:p>
            <w:pPr>
              <w:jc w:val="right"/>
              <w:ind w:right="59"/>
              <w:spacing w:after="0" w:line="183" w:lineRule="exact"/>
              <w:rPr>
                <w:sz w:val="20"/>
                <w:szCs w:val="20"/>
                <w:color w:val="auto"/>
              </w:rPr>
            </w:pPr>
            <w:r>
              <w:rPr>
                <w:rFonts w:ascii="Arial" w:cs="Arial" w:eastAsia="Arial" w:hAnsi="Arial"/>
                <w:sz w:val="16"/>
                <w:szCs w:val="16"/>
                <w:color w:val="auto"/>
              </w:rPr>
              <w:t>10,175</w:t>
            </w:r>
          </w:p>
        </w:tc>
        <w:tc>
          <w:tcPr>
            <w:tcW w:w="500" w:type="dxa"/>
            <w:vAlign w:val="bottom"/>
            <w:tcBorders>
              <w:bottom w:val="single" w:sz="8" w:color="auto"/>
            </w:tcBorders>
          </w:tcPr>
          <w:p>
            <w:pPr>
              <w:jc w:val="right"/>
              <w:ind w:right="179"/>
              <w:spacing w:after="0" w:line="183" w:lineRule="exact"/>
              <w:rPr>
                <w:sz w:val="20"/>
                <w:szCs w:val="20"/>
                <w:color w:val="auto"/>
              </w:rPr>
            </w:pPr>
            <w:r>
              <w:rPr>
                <w:rFonts w:ascii="Arial" w:cs="Arial" w:eastAsia="Arial" w:hAnsi="Arial"/>
                <w:sz w:val="16"/>
                <w:szCs w:val="16"/>
                <w:color w:val="auto"/>
              </w:rPr>
              <w:t>$</w:t>
            </w:r>
          </w:p>
        </w:tc>
        <w:tc>
          <w:tcPr>
            <w:tcW w:w="1080" w:type="dxa"/>
            <w:vAlign w:val="bottom"/>
            <w:tcBorders>
              <w:bottom w:val="single" w:sz="8" w:color="auto"/>
            </w:tcBorders>
          </w:tcPr>
          <w:p>
            <w:pPr>
              <w:jc w:val="right"/>
              <w:ind w:right="39"/>
              <w:spacing w:after="0" w:line="183" w:lineRule="exact"/>
              <w:rPr>
                <w:sz w:val="20"/>
                <w:szCs w:val="20"/>
                <w:color w:val="auto"/>
              </w:rPr>
            </w:pPr>
            <w:r>
              <w:rPr>
                <w:rFonts w:ascii="Arial" w:cs="Arial" w:eastAsia="Arial" w:hAnsi="Arial"/>
                <w:sz w:val="16"/>
                <w:szCs w:val="16"/>
                <w:color w:val="auto"/>
              </w:rPr>
              <w:t>8,703</w:t>
            </w:r>
          </w:p>
        </w:tc>
        <w:tc>
          <w:tcPr>
            <w:tcW w:w="24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w:t>
            </w:r>
          </w:p>
        </w:tc>
        <w:tc>
          <w:tcPr>
            <w:tcW w:w="1320" w:type="dxa"/>
            <w:vAlign w:val="bottom"/>
            <w:tcBorders>
              <w:bottom w:val="single" w:sz="8" w:color="auto"/>
            </w:tcBorders>
          </w:tcPr>
          <w:p>
            <w:pPr>
              <w:jc w:val="right"/>
              <w:ind w:right="39"/>
              <w:spacing w:after="0" w:line="183" w:lineRule="exact"/>
              <w:rPr>
                <w:sz w:val="20"/>
                <w:szCs w:val="20"/>
                <w:color w:val="auto"/>
              </w:rPr>
            </w:pPr>
            <w:r>
              <w:rPr>
                <w:rFonts w:ascii="Arial" w:cs="Arial" w:eastAsia="Arial" w:hAnsi="Arial"/>
                <w:sz w:val="16"/>
                <w:szCs w:val="16"/>
                <w:color w:val="auto"/>
              </w:rPr>
              <w:t>1,472</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8" w:right="339" w:bottom="1440" w:gutter="0" w:footer="0" w:header="0"/>
        </w:sectPr>
      </w:pPr>
    </w:p>
    <w:bookmarkStart w:id="26" w:name="page27"/>
    <w:bookmarkEnd w:id="26"/>
    <w:p>
      <w:pPr>
        <w:ind w:right="120"/>
        <w:spacing w:after="0" w:line="247" w:lineRule="auto"/>
        <w:rPr>
          <w:sz w:val="20"/>
          <w:szCs w:val="20"/>
          <w:color w:val="auto"/>
        </w:rPr>
      </w:pPr>
      <w:r>
        <w:rPr>
          <w:rFonts w:ascii="Arial" w:cs="Arial" w:eastAsia="Arial" w:hAnsi="Arial"/>
          <w:sz w:val="18"/>
          <w:szCs w:val="18"/>
          <w:color w:val="auto"/>
        </w:rPr>
        <w:t>As of March 31, 2026 and 2025, respectively, we had 32 and 30 employees engaged in general and administrative activities. Personnel and professional service costs increased in the year ended December 31, 2025, as compared to 2024, as a result of increased expenses in support of our growth and operations as a public company. General and administrative expenses included non-cash stock-based compensation of $2.6 million and $2.2 million for the three months ended March 31, 2026 and 2025, respectively.</w:t>
      </w:r>
    </w:p>
    <w:p>
      <w:pPr>
        <w:spacing w:after="0" w:line="6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income</w:t>
      </w:r>
    </w:p>
    <w:p>
      <w:pPr>
        <w:spacing w:after="0" w:line="102" w:lineRule="exact"/>
        <w:rPr>
          <w:sz w:val="20"/>
          <w:szCs w:val="20"/>
          <w:color w:val="auto"/>
        </w:rPr>
      </w:pPr>
    </w:p>
    <w:p>
      <w:pPr>
        <w:spacing w:after="0"/>
        <w:rPr>
          <w:sz w:val="20"/>
          <w:szCs w:val="20"/>
          <w:color w:val="auto"/>
        </w:rPr>
      </w:pPr>
      <w:r>
        <w:rPr>
          <w:rFonts w:ascii="Arial" w:cs="Arial" w:eastAsia="Arial" w:hAnsi="Arial"/>
          <w:sz w:val="18"/>
          <w:szCs w:val="18"/>
          <w:color w:val="auto"/>
        </w:rPr>
        <w:t>Other income was comprised of (in thousands):</w:t>
      </w:r>
    </w:p>
    <w:p>
      <w:pPr>
        <w:spacing w:after="0" w:line="102"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4700" w:type="dxa"/>
            <w:vAlign w:val="bottom"/>
            <w:tcBorders>
              <w:top w:val="single" w:sz="8" w:color="auto"/>
            </w:tcBorders>
          </w:tcPr>
          <w:p>
            <w:pPr>
              <w:spacing w:after="0"/>
              <w:rPr>
                <w:sz w:val="16"/>
                <w:szCs w:val="16"/>
                <w:color w:val="auto"/>
              </w:rPr>
            </w:pPr>
          </w:p>
        </w:tc>
        <w:tc>
          <w:tcPr>
            <w:tcW w:w="1940" w:type="dxa"/>
            <w:vAlign w:val="bottom"/>
            <w:tcBorders>
              <w:top w:val="single" w:sz="8" w:color="auto"/>
            </w:tcBorders>
          </w:tcPr>
          <w:p>
            <w:pPr>
              <w:spacing w:after="0"/>
              <w:rPr>
                <w:sz w:val="16"/>
                <w:szCs w:val="16"/>
                <w:color w:val="auto"/>
              </w:rPr>
            </w:pPr>
          </w:p>
        </w:tc>
        <w:tc>
          <w:tcPr>
            <w:tcW w:w="2480" w:type="dxa"/>
            <w:vAlign w:val="bottom"/>
            <w:tcBorders>
              <w:top w:val="single" w:sz="8" w:color="auto"/>
            </w:tcBorders>
            <w:gridSpan w:val="3"/>
          </w:tcPr>
          <w:p>
            <w:pPr>
              <w:jc w:val="right"/>
              <w:ind w:right="179"/>
              <w:spacing w:after="0"/>
              <w:rPr>
                <w:sz w:val="20"/>
                <w:szCs w:val="20"/>
                <w:color w:val="auto"/>
              </w:rPr>
            </w:pPr>
            <w:r>
              <w:rPr>
                <w:rFonts w:ascii="Arial" w:cs="Arial" w:eastAsia="Arial" w:hAnsi="Arial"/>
                <w:sz w:val="16"/>
                <w:szCs w:val="16"/>
                <w:b w:val="1"/>
                <w:bCs w:val="1"/>
                <w:color w:val="auto"/>
              </w:rPr>
              <w:t>Three months ended</w:t>
            </w:r>
          </w:p>
        </w:tc>
        <w:tc>
          <w:tcPr>
            <w:tcW w:w="560" w:type="dxa"/>
            <w:vAlign w:val="bottom"/>
            <w:tcBorders>
              <w:top w:val="single" w:sz="8" w:color="auto"/>
            </w:tcBorders>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1320" w:type="dxa"/>
            <w:vAlign w:val="bottom"/>
            <w:tcBorders>
              <w:top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4700" w:type="dxa"/>
            <w:vAlign w:val="bottom"/>
          </w:tcPr>
          <w:p>
            <w:pPr>
              <w:spacing w:after="0"/>
              <w:rPr>
                <w:sz w:val="17"/>
                <w:szCs w:val="17"/>
                <w:color w:val="auto"/>
              </w:rPr>
            </w:pPr>
          </w:p>
        </w:tc>
        <w:tc>
          <w:tcPr>
            <w:tcW w:w="1940" w:type="dxa"/>
            <w:vAlign w:val="bottom"/>
          </w:tcPr>
          <w:p>
            <w:pPr>
              <w:spacing w:after="0"/>
              <w:rPr>
                <w:sz w:val="17"/>
                <w:szCs w:val="17"/>
                <w:color w:val="auto"/>
              </w:rPr>
            </w:pPr>
          </w:p>
        </w:tc>
        <w:tc>
          <w:tcPr>
            <w:tcW w:w="880" w:type="dxa"/>
            <w:vAlign w:val="bottom"/>
            <w:tcBorders>
              <w:bottom w:val="single" w:sz="8" w:color="auto"/>
            </w:tcBorders>
          </w:tcPr>
          <w:p>
            <w:pPr>
              <w:spacing w:after="0"/>
              <w:rPr>
                <w:sz w:val="17"/>
                <w:szCs w:val="17"/>
                <w:color w:val="auto"/>
              </w:rPr>
            </w:pPr>
          </w:p>
        </w:tc>
        <w:tc>
          <w:tcPr>
            <w:tcW w:w="1600" w:type="dxa"/>
            <w:vAlign w:val="bottom"/>
            <w:tcBorders>
              <w:bottom w:val="single" w:sz="8" w:color="auto"/>
            </w:tcBorders>
            <w:gridSpan w:val="2"/>
          </w:tcPr>
          <w:p>
            <w:pPr>
              <w:jc w:val="right"/>
              <w:ind w:right="579"/>
              <w:spacing w:after="0"/>
              <w:rPr>
                <w:sz w:val="20"/>
                <w:szCs w:val="20"/>
                <w:color w:val="auto"/>
              </w:rPr>
            </w:pPr>
            <w:r>
              <w:rPr>
                <w:rFonts w:ascii="Arial" w:cs="Arial" w:eastAsia="Arial" w:hAnsi="Arial"/>
                <w:sz w:val="16"/>
                <w:szCs w:val="16"/>
                <w:b w:val="1"/>
                <w:bCs w:val="1"/>
                <w:color w:val="auto"/>
              </w:rPr>
              <w:t>March 31,</w:t>
            </w:r>
          </w:p>
        </w:tc>
        <w:tc>
          <w:tcPr>
            <w:tcW w:w="560" w:type="dxa"/>
            <w:vAlign w:val="bottom"/>
            <w:tcBorders>
              <w:bottom w:val="single" w:sz="8" w:color="auto"/>
            </w:tcBorders>
          </w:tcPr>
          <w:p>
            <w:pPr>
              <w:spacing w:after="0"/>
              <w:rPr>
                <w:sz w:val="17"/>
                <w:szCs w:val="17"/>
                <w:color w:val="auto"/>
              </w:rPr>
            </w:pPr>
          </w:p>
        </w:tc>
        <w:tc>
          <w:tcPr>
            <w:tcW w:w="240" w:type="dxa"/>
            <w:vAlign w:val="bottom"/>
          </w:tcPr>
          <w:p>
            <w:pPr>
              <w:spacing w:after="0"/>
              <w:rPr>
                <w:sz w:val="17"/>
                <w:szCs w:val="17"/>
                <w:color w:val="auto"/>
              </w:rPr>
            </w:pPr>
          </w:p>
        </w:tc>
        <w:tc>
          <w:tcPr>
            <w:tcW w:w="1320" w:type="dxa"/>
            <w:vAlign w:val="bottom"/>
            <w:vMerge w:val="restart"/>
          </w:tcPr>
          <w:p>
            <w:pPr>
              <w:jc w:val="right"/>
              <w:ind w:right="159"/>
              <w:spacing w:after="0"/>
              <w:rPr>
                <w:sz w:val="20"/>
                <w:szCs w:val="20"/>
                <w:color w:val="auto"/>
              </w:rPr>
            </w:pPr>
            <w:r>
              <w:rPr>
                <w:rFonts w:ascii="Arial" w:cs="Arial" w:eastAsia="Arial" w:hAnsi="Arial"/>
                <w:sz w:val="16"/>
                <w:szCs w:val="16"/>
                <w:b w:val="1"/>
                <w:bCs w:val="1"/>
                <w:color w:val="auto"/>
              </w:rPr>
              <w:t>Dollar change</w:t>
            </w:r>
          </w:p>
        </w:tc>
        <w:tc>
          <w:tcPr>
            <w:tcW w:w="0" w:type="dxa"/>
            <w:vAlign w:val="bottom"/>
          </w:tcPr>
          <w:p>
            <w:pPr>
              <w:spacing w:after="0"/>
              <w:rPr>
                <w:sz w:val="1"/>
                <w:szCs w:val="1"/>
                <w:color w:val="auto"/>
              </w:rPr>
            </w:pPr>
          </w:p>
        </w:tc>
      </w:tr>
      <w:tr>
        <w:trPr>
          <w:trHeight w:val="183"/>
        </w:trPr>
        <w:tc>
          <w:tcPr>
            <w:tcW w:w="4700" w:type="dxa"/>
            <w:vAlign w:val="bottom"/>
            <w:tcBorders>
              <w:bottom w:val="single" w:sz="8" w:color="auto"/>
            </w:tcBorders>
          </w:tcPr>
          <w:p>
            <w:pPr>
              <w:spacing w:after="0"/>
              <w:rPr>
                <w:sz w:val="15"/>
                <w:szCs w:val="15"/>
                <w:color w:val="auto"/>
              </w:rPr>
            </w:pPr>
          </w:p>
        </w:tc>
        <w:tc>
          <w:tcPr>
            <w:tcW w:w="194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6"/>
                <w:szCs w:val="16"/>
                <w:b w:val="1"/>
                <w:bCs w:val="1"/>
                <w:color w:val="auto"/>
              </w:rPr>
              <w:t>2026</w:t>
            </w:r>
          </w:p>
        </w:tc>
        <w:tc>
          <w:tcPr>
            <w:tcW w:w="62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6"/>
                <w:szCs w:val="16"/>
                <w:b w:val="1"/>
                <w:bCs w:val="1"/>
                <w:color w:val="auto"/>
              </w:rPr>
              <w:t>2025</w:t>
            </w:r>
          </w:p>
        </w:tc>
        <w:tc>
          <w:tcPr>
            <w:tcW w:w="56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32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4700" w:type="dxa"/>
            <w:vAlign w:val="bottom"/>
            <w:shd w:val="clear" w:color="auto" w:fill="CFF0FC"/>
          </w:tcPr>
          <w:p>
            <w:pPr>
              <w:spacing w:after="0" w:line="183" w:lineRule="exact"/>
              <w:rPr>
                <w:sz w:val="20"/>
                <w:szCs w:val="20"/>
                <w:color w:val="auto"/>
              </w:rPr>
            </w:pPr>
            <w:r>
              <w:rPr>
                <w:rFonts w:ascii="Arial" w:cs="Arial" w:eastAsia="Arial" w:hAnsi="Arial"/>
                <w:sz w:val="16"/>
                <w:szCs w:val="16"/>
                <w:color w:val="auto"/>
              </w:rPr>
              <w:t>Interest income</w:t>
            </w:r>
          </w:p>
        </w:tc>
        <w:tc>
          <w:tcPr>
            <w:tcW w:w="2820" w:type="dxa"/>
            <w:vAlign w:val="bottom"/>
            <w:gridSpan w:val="2"/>
            <w:shd w:val="clear" w:color="auto" w:fill="CFF0FC"/>
          </w:tcPr>
          <w:p>
            <w:pPr>
              <w:jc w:val="right"/>
              <w:ind w:right="719"/>
              <w:spacing w:after="0" w:line="183" w:lineRule="exact"/>
              <w:rPr>
                <w:sz w:val="20"/>
                <w:szCs w:val="20"/>
                <w:color w:val="auto"/>
              </w:rPr>
            </w:pPr>
            <w:r>
              <w:rPr>
                <w:rFonts w:ascii="Arial" w:cs="Arial" w:eastAsia="Arial" w:hAnsi="Arial"/>
                <w:sz w:val="16"/>
                <w:szCs w:val="16"/>
                <w:color w:val="auto"/>
              </w:rPr>
              <w:t>$</w:t>
            </w:r>
          </w:p>
        </w:tc>
        <w:tc>
          <w:tcPr>
            <w:tcW w:w="620" w:type="dxa"/>
            <w:vAlign w:val="bottom"/>
            <w:shd w:val="clear" w:color="auto" w:fill="CFF0FC"/>
          </w:tcPr>
          <w:p>
            <w:pPr>
              <w:jc w:val="right"/>
              <w:ind w:right="99"/>
              <w:spacing w:after="0" w:line="183" w:lineRule="exact"/>
              <w:rPr>
                <w:sz w:val="20"/>
                <w:szCs w:val="20"/>
                <w:color w:val="auto"/>
              </w:rPr>
            </w:pPr>
            <w:r>
              <w:rPr>
                <w:rFonts w:ascii="Arial" w:cs="Arial" w:eastAsia="Arial" w:hAnsi="Arial"/>
                <w:sz w:val="16"/>
                <w:szCs w:val="16"/>
                <w:color w:val="auto"/>
              </w:rPr>
              <w:t>5,591</w:t>
            </w:r>
          </w:p>
        </w:tc>
        <w:tc>
          <w:tcPr>
            <w:tcW w:w="980" w:type="dxa"/>
            <w:vAlign w:val="bottom"/>
            <w:shd w:val="clear" w:color="auto" w:fill="CFF0FC"/>
          </w:tcPr>
          <w:p>
            <w:pPr>
              <w:jc w:val="right"/>
              <w:ind w:right="699"/>
              <w:spacing w:after="0" w:line="183" w:lineRule="exact"/>
              <w:rPr>
                <w:sz w:val="20"/>
                <w:szCs w:val="20"/>
                <w:color w:val="auto"/>
              </w:rPr>
            </w:pPr>
            <w:r>
              <w:rPr>
                <w:rFonts w:ascii="Arial" w:cs="Arial" w:eastAsia="Arial" w:hAnsi="Arial"/>
                <w:sz w:val="16"/>
                <w:szCs w:val="16"/>
                <w:color w:val="auto"/>
              </w:rPr>
              <w:t>$</w:t>
            </w:r>
          </w:p>
        </w:tc>
        <w:tc>
          <w:tcPr>
            <w:tcW w:w="560" w:type="dxa"/>
            <w:vAlign w:val="bottom"/>
            <w:shd w:val="clear" w:color="auto" w:fill="CFF0FC"/>
          </w:tcPr>
          <w:p>
            <w:pPr>
              <w:jc w:val="right"/>
              <w:ind w:right="39"/>
              <w:spacing w:after="0" w:line="183" w:lineRule="exact"/>
              <w:rPr>
                <w:sz w:val="20"/>
                <w:szCs w:val="20"/>
                <w:color w:val="auto"/>
              </w:rPr>
            </w:pPr>
            <w:r>
              <w:rPr>
                <w:rFonts w:ascii="Arial" w:cs="Arial" w:eastAsia="Arial" w:hAnsi="Arial"/>
                <w:sz w:val="16"/>
                <w:szCs w:val="16"/>
                <w:color w:val="auto"/>
              </w:rPr>
              <w:t>3,439</w:t>
            </w:r>
          </w:p>
        </w:tc>
        <w:tc>
          <w:tcPr>
            <w:tcW w:w="240" w:type="dxa"/>
            <w:vAlign w:val="bottom"/>
            <w:shd w:val="clear" w:color="auto" w:fill="CFF0FC"/>
          </w:tcPr>
          <w:p>
            <w:pPr>
              <w:jc w:val="right"/>
              <w:spacing w:after="0" w:line="183" w:lineRule="exact"/>
              <w:rPr>
                <w:sz w:val="20"/>
                <w:szCs w:val="20"/>
                <w:color w:val="auto"/>
              </w:rPr>
            </w:pPr>
            <w:r>
              <w:rPr>
                <w:rFonts w:ascii="Arial" w:cs="Arial" w:eastAsia="Arial" w:hAnsi="Arial"/>
                <w:sz w:val="16"/>
                <w:szCs w:val="16"/>
                <w:color w:val="auto"/>
              </w:rPr>
              <w:t>$</w:t>
            </w:r>
          </w:p>
        </w:tc>
        <w:tc>
          <w:tcPr>
            <w:tcW w:w="1320" w:type="dxa"/>
            <w:vAlign w:val="bottom"/>
            <w:shd w:val="clear" w:color="auto" w:fill="CFF0FC"/>
          </w:tcPr>
          <w:p>
            <w:pPr>
              <w:jc w:val="right"/>
              <w:ind w:right="39"/>
              <w:spacing w:after="0" w:line="183" w:lineRule="exact"/>
              <w:rPr>
                <w:sz w:val="20"/>
                <w:szCs w:val="20"/>
                <w:color w:val="auto"/>
              </w:rPr>
            </w:pPr>
            <w:r>
              <w:rPr>
                <w:rFonts w:ascii="Arial" w:cs="Arial" w:eastAsia="Arial" w:hAnsi="Arial"/>
                <w:sz w:val="16"/>
                <w:szCs w:val="16"/>
                <w:color w:val="auto"/>
              </w:rPr>
              <w:t>2,152</w:t>
            </w:r>
          </w:p>
        </w:tc>
        <w:tc>
          <w:tcPr>
            <w:tcW w:w="0" w:type="dxa"/>
            <w:vAlign w:val="bottom"/>
          </w:tcPr>
          <w:p>
            <w:pPr>
              <w:spacing w:after="0"/>
              <w:rPr>
                <w:sz w:val="1"/>
                <w:szCs w:val="1"/>
                <w:color w:val="auto"/>
              </w:rPr>
            </w:pPr>
          </w:p>
        </w:tc>
      </w:tr>
      <w:tr>
        <w:trPr>
          <w:trHeight w:val="189"/>
        </w:trPr>
        <w:tc>
          <w:tcPr>
            <w:tcW w:w="4700" w:type="dxa"/>
            <w:vAlign w:val="bottom"/>
          </w:tcPr>
          <w:p>
            <w:pPr>
              <w:spacing w:after="0"/>
              <w:rPr>
                <w:sz w:val="20"/>
                <w:szCs w:val="20"/>
                <w:color w:val="auto"/>
              </w:rPr>
            </w:pPr>
            <w:r>
              <w:rPr>
                <w:rFonts w:ascii="Arial" w:cs="Arial" w:eastAsia="Arial" w:hAnsi="Arial"/>
                <w:sz w:val="16"/>
                <w:szCs w:val="16"/>
                <w:color w:val="auto"/>
              </w:rPr>
              <w:t>Foreign currency exchange (loss) gain</w:t>
            </w:r>
          </w:p>
        </w:tc>
        <w:tc>
          <w:tcPr>
            <w:tcW w:w="19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620" w:type="dxa"/>
            <w:vAlign w:val="bottom"/>
          </w:tcPr>
          <w:p>
            <w:pPr>
              <w:jc w:val="right"/>
              <w:ind w:right="39"/>
              <w:spacing w:after="0"/>
              <w:rPr>
                <w:sz w:val="20"/>
                <w:szCs w:val="20"/>
                <w:color w:val="auto"/>
              </w:rPr>
            </w:pPr>
            <w:r>
              <w:rPr>
                <w:rFonts w:ascii="Arial" w:cs="Arial" w:eastAsia="Arial" w:hAnsi="Arial"/>
                <w:sz w:val="16"/>
                <w:szCs w:val="16"/>
                <w:color w:val="auto"/>
              </w:rPr>
              <w:t>(8)</w:t>
            </w:r>
          </w:p>
        </w:tc>
        <w:tc>
          <w:tcPr>
            <w:tcW w:w="980" w:type="dxa"/>
            <w:vAlign w:val="bottom"/>
          </w:tcPr>
          <w:p>
            <w:pPr>
              <w:spacing w:after="0"/>
              <w:rPr>
                <w:sz w:val="16"/>
                <w:szCs w:val="16"/>
                <w:color w:val="auto"/>
              </w:rPr>
            </w:pPr>
          </w:p>
        </w:tc>
        <w:tc>
          <w:tcPr>
            <w:tcW w:w="560" w:type="dxa"/>
            <w:vAlign w:val="bottom"/>
          </w:tcPr>
          <w:p>
            <w:pPr>
              <w:jc w:val="right"/>
              <w:ind w:right="39"/>
              <w:spacing w:after="0"/>
              <w:rPr>
                <w:sz w:val="20"/>
                <w:szCs w:val="20"/>
                <w:color w:val="auto"/>
              </w:rPr>
            </w:pPr>
            <w:r>
              <w:rPr>
                <w:rFonts w:ascii="Arial" w:cs="Arial" w:eastAsia="Arial" w:hAnsi="Arial"/>
                <w:sz w:val="16"/>
                <w:szCs w:val="16"/>
                <w:color w:val="auto"/>
              </w:rPr>
              <w:t>173</w:t>
            </w:r>
          </w:p>
        </w:tc>
        <w:tc>
          <w:tcPr>
            <w:tcW w:w="240" w:type="dxa"/>
            <w:vAlign w:val="bottom"/>
          </w:tcPr>
          <w:p>
            <w:pPr>
              <w:spacing w:after="0"/>
              <w:rPr>
                <w:sz w:val="16"/>
                <w:szCs w:val="16"/>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(181)</w:t>
            </w:r>
          </w:p>
        </w:tc>
        <w:tc>
          <w:tcPr>
            <w:tcW w:w="0" w:type="dxa"/>
            <w:vAlign w:val="bottom"/>
          </w:tcPr>
          <w:p>
            <w:pPr>
              <w:spacing w:after="0"/>
              <w:rPr>
                <w:sz w:val="1"/>
                <w:szCs w:val="1"/>
                <w:color w:val="auto"/>
              </w:rPr>
            </w:pPr>
          </w:p>
        </w:tc>
      </w:tr>
      <w:tr>
        <w:trPr>
          <w:trHeight w:val="189"/>
        </w:trPr>
        <w:tc>
          <w:tcPr>
            <w:tcW w:w="470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6"/>
                <w:szCs w:val="16"/>
                <w:color w:val="auto"/>
              </w:rPr>
              <w:t>Gain on disposal of fixed assets</w:t>
            </w:r>
          </w:p>
        </w:tc>
        <w:tc>
          <w:tcPr>
            <w:tcW w:w="1940" w:type="dxa"/>
            <w:vAlign w:val="bottom"/>
            <w:tcBorders>
              <w:bottom w:val="single" w:sz="8" w:color="CFF0FC"/>
            </w:tcBorders>
            <w:shd w:val="clear" w:color="auto" w:fill="CFF0FC"/>
          </w:tcPr>
          <w:p>
            <w:pPr>
              <w:spacing w:after="0"/>
              <w:rPr>
                <w:sz w:val="16"/>
                <w:szCs w:val="16"/>
                <w:color w:val="auto"/>
              </w:rPr>
            </w:pPr>
          </w:p>
        </w:tc>
        <w:tc>
          <w:tcPr>
            <w:tcW w:w="880" w:type="dxa"/>
            <w:vAlign w:val="bottom"/>
            <w:tcBorders>
              <w:bottom w:val="single" w:sz="8" w:color="auto"/>
            </w:tcBorders>
            <w:shd w:val="clear" w:color="auto" w:fill="CFF0FC"/>
          </w:tcPr>
          <w:p>
            <w:pPr>
              <w:spacing w:after="0"/>
              <w:rPr>
                <w:sz w:val="16"/>
                <w:szCs w:val="16"/>
                <w:color w:val="auto"/>
              </w:rPr>
            </w:pPr>
          </w:p>
        </w:tc>
        <w:tc>
          <w:tcPr>
            <w:tcW w:w="620" w:type="dxa"/>
            <w:vAlign w:val="bottom"/>
            <w:tcBorders>
              <w:bottom w:val="single" w:sz="8" w:color="auto"/>
            </w:tcBorders>
            <w:shd w:val="clear" w:color="auto" w:fill="CFF0FC"/>
          </w:tcPr>
          <w:p>
            <w:pPr>
              <w:jc w:val="right"/>
              <w:ind w:right="99"/>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auto"/>
            </w:tcBorders>
            <w:shd w:val="clear" w:color="auto" w:fill="CFF0FC"/>
          </w:tcPr>
          <w:p>
            <w:pPr>
              <w:spacing w:after="0"/>
              <w:rPr>
                <w:sz w:val="16"/>
                <w:szCs w:val="16"/>
                <w:color w:val="auto"/>
              </w:rPr>
            </w:pPr>
          </w:p>
        </w:tc>
        <w:tc>
          <w:tcPr>
            <w:tcW w:w="560" w:type="dxa"/>
            <w:vAlign w:val="bottom"/>
            <w:tcBorders>
              <w:bottom w:val="single" w:sz="8" w:color="auto"/>
            </w:tcBorders>
            <w:shd w:val="clear" w:color="auto" w:fill="CFF0FC"/>
          </w:tcPr>
          <w:p>
            <w:pPr>
              <w:jc w:val="right"/>
              <w:ind w:right="39"/>
              <w:spacing w:after="0"/>
              <w:rPr>
                <w:sz w:val="20"/>
                <w:szCs w:val="20"/>
                <w:color w:val="auto"/>
              </w:rPr>
            </w:pPr>
            <w:r>
              <w:rPr>
                <w:rFonts w:ascii="Arial" w:cs="Arial" w:eastAsia="Arial" w:hAnsi="Arial"/>
                <w:sz w:val="16"/>
                <w:szCs w:val="16"/>
                <w:color w:val="auto"/>
              </w:rPr>
              <w:t>59</w:t>
            </w:r>
          </w:p>
        </w:tc>
        <w:tc>
          <w:tcPr>
            <w:tcW w:w="240" w:type="dxa"/>
            <w:vAlign w:val="bottom"/>
            <w:tcBorders>
              <w:bottom w:val="single" w:sz="8" w:color="auto"/>
            </w:tcBorders>
            <w:shd w:val="clear" w:color="auto" w:fill="CFF0FC"/>
          </w:tcPr>
          <w:p>
            <w:pPr>
              <w:spacing w:after="0"/>
              <w:rPr>
                <w:sz w:val="16"/>
                <w:szCs w:val="16"/>
                <w:color w:val="auto"/>
              </w:rPr>
            </w:pPr>
          </w:p>
        </w:tc>
        <w:tc>
          <w:tcPr>
            <w:tcW w:w="13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(59)</w:t>
            </w:r>
          </w:p>
        </w:tc>
        <w:tc>
          <w:tcPr>
            <w:tcW w:w="0" w:type="dxa"/>
            <w:vAlign w:val="bottom"/>
          </w:tcPr>
          <w:p>
            <w:pPr>
              <w:spacing w:after="0"/>
              <w:rPr>
                <w:sz w:val="1"/>
                <w:szCs w:val="1"/>
                <w:color w:val="auto"/>
              </w:rPr>
            </w:pPr>
          </w:p>
        </w:tc>
      </w:tr>
      <w:tr>
        <w:trPr>
          <w:trHeight w:val="183"/>
        </w:trPr>
        <w:tc>
          <w:tcPr>
            <w:tcW w:w="4700" w:type="dxa"/>
            <w:vAlign w:val="bottom"/>
            <w:tcBorders>
              <w:bottom w:val="single" w:sz="8" w:color="auto"/>
            </w:tcBorders>
          </w:tcPr>
          <w:p>
            <w:pPr>
              <w:spacing w:after="0" w:line="183" w:lineRule="exact"/>
              <w:rPr>
                <w:sz w:val="20"/>
                <w:szCs w:val="20"/>
                <w:color w:val="auto"/>
              </w:rPr>
            </w:pPr>
            <w:r>
              <w:rPr>
                <w:rFonts w:ascii="Arial" w:cs="Arial" w:eastAsia="Arial" w:hAnsi="Arial"/>
                <w:sz w:val="16"/>
                <w:szCs w:val="16"/>
                <w:color w:val="auto"/>
              </w:rPr>
              <w:t>Other income</w:t>
            </w:r>
          </w:p>
        </w:tc>
        <w:tc>
          <w:tcPr>
            <w:tcW w:w="2820" w:type="dxa"/>
            <w:vAlign w:val="bottom"/>
            <w:tcBorders>
              <w:bottom w:val="single" w:sz="8" w:color="auto"/>
            </w:tcBorders>
            <w:gridSpan w:val="2"/>
          </w:tcPr>
          <w:p>
            <w:pPr>
              <w:jc w:val="right"/>
              <w:ind w:right="719"/>
              <w:spacing w:after="0" w:line="183" w:lineRule="exact"/>
              <w:rPr>
                <w:sz w:val="20"/>
                <w:szCs w:val="20"/>
                <w:color w:val="auto"/>
              </w:rPr>
            </w:pPr>
            <w:r>
              <w:rPr>
                <w:rFonts w:ascii="Arial" w:cs="Arial" w:eastAsia="Arial" w:hAnsi="Arial"/>
                <w:sz w:val="16"/>
                <w:szCs w:val="16"/>
                <w:color w:val="auto"/>
              </w:rPr>
              <w:t>$</w:t>
            </w:r>
          </w:p>
        </w:tc>
        <w:tc>
          <w:tcPr>
            <w:tcW w:w="620" w:type="dxa"/>
            <w:vAlign w:val="bottom"/>
            <w:tcBorders>
              <w:bottom w:val="single" w:sz="8" w:color="auto"/>
            </w:tcBorders>
          </w:tcPr>
          <w:p>
            <w:pPr>
              <w:jc w:val="right"/>
              <w:ind w:right="99"/>
              <w:spacing w:after="0" w:line="183" w:lineRule="exact"/>
              <w:rPr>
                <w:sz w:val="20"/>
                <w:szCs w:val="20"/>
                <w:color w:val="auto"/>
              </w:rPr>
            </w:pPr>
            <w:r>
              <w:rPr>
                <w:rFonts w:ascii="Arial" w:cs="Arial" w:eastAsia="Arial" w:hAnsi="Arial"/>
                <w:sz w:val="16"/>
                <w:szCs w:val="16"/>
                <w:color w:val="auto"/>
              </w:rPr>
              <w:t>5,583</w:t>
            </w:r>
          </w:p>
        </w:tc>
        <w:tc>
          <w:tcPr>
            <w:tcW w:w="980" w:type="dxa"/>
            <w:vAlign w:val="bottom"/>
            <w:tcBorders>
              <w:bottom w:val="single" w:sz="8" w:color="auto"/>
            </w:tcBorders>
          </w:tcPr>
          <w:p>
            <w:pPr>
              <w:jc w:val="right"/>
              <w:ind w:right="699"/>
              <w:spacing w:after="0" w:line="183" w:lineRule="exact"/>
              <w:rPr>
                <w:sz w:val="20"/>
                <w:szCs w:val="20"/>
                <w:color w:val="auto"/>
              </w:rPr>
            </w:pPr>
            <w:r>
              <w:rPr>
                <w:rFonts w:ascii="Arial" w:cs="Arial" w:eastAsia="Arial" w:hAnsi="Arial"/>
                <w:sz w:val="16"/>
                <w:szCs w:val="16"/>
                <w:color w:val="auto"/>
              </w:rPr>
              <w:t>$</w:t>
            </w:r>
          </w:p>
        </w:tc>
        <w:tc>
          <w:tcPr>
            <w:tcW w:w="560" w:type="dxa"/>
            <w:vAlign w:val="bottom"/>
            <w:tcBorders>
              <w:bottom w:val="single" w:sz="8" w:color="auto"/>
            </w:tcBorders>
          </w:tcPr>
          <w:p>
            <w:pPr>
              <w:jc w:val="right"/>
              <w:ind w:right="39"/>
              <w:spacing w:after="0" w:line="183" w:lineRule="exact"/>
              <w:rPr>
                <w:sz w:val="20"/>
                <w:szCs w:val="20"/>
                <w:color w:val="auto"/>
              </w:rPr>
            </w:pPr>
            <w:r>
              <w:rPr>
                <w:rFonts w:ascii="Arial" w:cs="Arial" w:eastAsia="Arial" w:hAnsi="Arial"/>
                <w:sz w:val="16"/>
                <w:szCs w:val="16"/>
                <w:color w:val="auto"/>
              </w:rPr>
              <w:t>3,671</w:t>
            </w:r>
          </w:p>
        </w:tc>
        <w:tc>
          <w:tcPr>
            <w:tcW w:w="24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w:t>
            </w:r>
          </w:p>
        </w:tc>
        <w:tc>
          <w:tcPr>
            <w:tcW w:w="1320" w:type="dxa"/>
            <w:vAlign w:val="bottom"/>
            <w:tcBorders>
              <w:bottom w:val="single" w:sz="8" w:color="auto"/>
            </w:tcBorders>
          </w:tcPr>
          <w:p>
            <w:pPr>
              <w:jc w:val="right"/>
              <w:ind w:right="39"/>
              <w:spacing w:after="0" w:line="183" w:lineRule="exact"/>
              <w:rPr>
                <w:sz w:val="20"/>
                <w:szCs w:val="20"/>
                <w:color w:val="auto"/>
              </w:rPr>
            </w:pPr>
            <w:r>
              <w:rPr>
                <w:rFonts w:ascii="Arial" w:cs="Arial" w:eastAsia="Arial" w:hAnsi="Arial"/>
                <w:sz w:val="16"/>
                <w:szCs w:val="16"/>
                <w:color w:val="auto"/>
              </w:rPr>
              <w:t>1,912</w:t>
            </w:r>
          </w:p>
        </w:tc>
        <w:tc>
          <w:tcPr>
            <w:tcW w:w="0" w:type="dxa"/>
            <w:vAlign w:val="bottom"/>
          </w:tcPr>
          <w:p>
            <w:pPr>
              <w:spacing w:after="0"/>
              <w:rPr>
                <w:sz w:val="1"/>
                <w:szCs w:val="1"/>
                <w:color w:val="auto"/>
              </w:rPr>
            </w:pPr>
          </w:p>
        </w:tc>
      </w:tr>
    </w:tbl>
    <w:p>
      <w:pPr>
        <w:spacing w:after="0" w:line="89" w:lineRule="exact"/>
        <w:rPr>
          <w:sz w:val="20"/>
          <w:szCs w:val="20"/>
          <w:color w:val="auto"/>
        </w:rPr>
      </w:pPr>
    </w:p>
    <w:p>
      <w:pPr>
        <w:ind w:right="20"/>
        <w:spacing w:after="0" w:line="253" w:lineRule="auto"/>
        <w:rPr>
          <w:sz w:val="20"/>
          <w:szCs w:val="20"/>
          <w:color w:val="auto"/>
        </w:rPr>
      </w:pPr>
      <w:r>
        <w:rPr>
          <w:rFonts w:ascii="Arial" w:cs="Arial" w:eastAsia="Arial" w:hAnsi="Arial"/>
          <w:sz w:val="18"/>
          <w:szCs w:val="18"/>
          <w:color w:val="auto"/>
        </w:rPr>
        <w:t>Other income for the three months ended March 31, 2026 was primarily attributable to interest earned on marketable securities. The increase in interest income for the three months ended March 31, 2026 as compared to the three months ended March 31, 2025 was principally attributable to higher average balances in marketable securities.</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 provision</w:t>
      </w:r>
    </w:p>
    <w:p>
      <w:pPr>
        <w:spacing w:after="0" w:line="102" w:lineRule="exact"/>
        <w:rPr>
          <w:sz w:val="20"/>
          <w:szCs w:val="20"/>
          <w:color w:val="auto"/>
        </w:rPr>
      </w:pPr>
    </w:p>
    <w:p>
      <w:pPr>
        <w:ind w:right="320"/>
        <w:spacing w:after="0" w:line="271" w:lineRule="auto"/>
        <w:rPr>
          <w:sz w:val="20"/>
          <w:szCs w:val="20"/>
          <w:color w:val="auto"/>
        </w:rPr>
      </w:pPr>
      <w:r>
        <w:rPr>
          <w:rFonts w:ascii="Arial" w:cs="Arial" w:eastAsia="Arial" w:hAnsi="Arial"/>
          <w:sz w:val="18"/>
          <w:szCs w:val="18"/>
          <w:color w:val="auto"/>
        </w:rPr>
        <w:t>For the three months ended March 31, 2026, the income tax provision was primarily related to interest income on marketable securities in Massachusetts. As of March 31, 2026, we did not capitalize any research and development expenditures.</w:t>
      </w:r>
    </w:p>
    <w:p>
      <w:pPr>
        <w:spacing w:after="0" w:line="46" w:lineRule="exact"/>
        <w:rPr>
          <w:sz w:val="20"/>
          <w:szCs w:val="20"/>
          <w:color w:val="auto"/>
        </w:rPr>
      </w:pPr>
    </w:p>
    <w:p>
      <w:pPr>
        <w:jc w:val="both"/>
        <w:ind w:right="160"/>
        <w:spacing w:after="0" w:line="253" w:lineRule="auto"/>
        <w:rPr>
          <w:sz w:val="20"/>
          <w:szCs w:val="20"/>
          <w:color w:val="auto"/>
        </w:rPr>
      </w:pPr>
      <w:r>
        <w:rPr>
          <w:rFonts w:ascii="Arial" w:cs="Arial" w:eastAsia="Arial" w:hAnsi="Arial"/>
          <w:sz w:val="18"/>
          <w:szCs w:val="18"/>
          <w:color w:val="auto"/>
        </w:rPr>
        <w:t>For the three months ended March 31, 2025, the income tax provision was primarily driven by the current federal and state taxes related to the $150.0 million upfront payment for the Novartis License Agreement, which were expected to be recognized as taxable Global Intangible Low Tax Income, or GILTI.</w:t>
      </w:r>
    </w:p>
    <w:p>
      <w:pPr>
        <w:spacing w:after="0" w:line="15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Liquidity and capital resources</w:t>
      </w:r>
    </w:p>
    <w:p>
      <w:pPr>
        <w:spacing w:after="0" w:line="1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Overview</w:t>
      </w:r>
    </w:p>
    <w:p>
      <w:pPr>
        <w:spacing w:after="0" w:line="102" w:lineRule="exact"/>
        <w:rPr>
          <w:sz w:val="20"/>
          <w:szCs w:val="20"/>
          <w:color w:val="auto"/>
        </w:rPr>
      </w:pPr>
    </w:p>
    <w:p>
      <w:pPr>
        <w:ind w:right="20"/>
        <w:spacing w:after="0"/>
        <w:rPr>
          <w:sz w:val="20"/>
          <w:szCs w:val="20"/>
          <w:color w:val="auto"/>
        </w:rPr>
      </w:pPr>
      <w:r>
        <w:rPr>
          <w:rFonts w:ascii="Arial" w:cs="Arial" w:eastAsia="Arial" w:hAnsi="Arial"/>
          <w:sz w:val="18"/>
          <w:szCs w:val="18"/>
          <w:color w:val="auto"/>
        </w:rPr>
        <w:t>Due to our significant research and development expenditures, we have generated operating losses since our inception. We have funded our operations primarily through the issuance and sale of convertible promissory notes, convertible preferred stock, public offerings of our common stock or warrants to purchase common stock, registered direct offerings, and through our collaboration agreements. As of March 31, 2026, we had $671.2 million in cash, cash equivalents, restricted cash and marketable securities. We have incurred losses since our inception and, as of March 31, 2026, we had an accumulated deficit of $521.7 million. Our primary use of cash is to fund operating expenses, which consist primarily of research and development expenditures, and to a lesser extent, general and administrative expenditures. Cash used to fund operating expenses is impacted by the timing of when we pay these expenses, as reflected in the change in our outstanding accounts payable and accrued expenses.</w:t>
      </w:r>
    </w:p>
    <w:p>
      <w:pPr>
        <w:spacing w:after="0" w:line="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At-the-market offerings</w:t>
      </w:r>
    </w:p>
    <w:p>
      <w:pPr>
        <w:spacing w:after="0" w:line="102" w:lineRule="exact"/>
        <w:rPr>
          <w:sz w:val="20"/>
          <w:szCs w:val="20"/>
          <w:color w:val="auto"/>
        </w:rPr>
      </w:pPr>
    </w:p>
    <w:p>
      <w:pPr>
        <w:ind w:right="40"/>
        <w:spacing w:after="0"/>
        <w:rPr>
          <w:sz w:val="20"/>
          <w:szCs w:val="20"/>
          <w:color w:val="auto"/>
        </w:rPr>
      </w:pPr>
      <w:r>
        <w:rPr>
          <w:rFonts w:ascii="Arial" w:cs="Arial" w:eastAsia="Arial" w:hAnsi="Arial"/>
          <w:sz w:val="18"/>
          <w:szCs w:val="18"/>
          <w:color w:val="auto"/>
        </w:rPr>
        <w:t>On July 1, 2022, we filed a registration statement on Form S-3 (File No. 333-266003) with the SEC, which was declared effective on July 13, 2022, or the 2022 Shelf Registration Statement, in relation to the registration of common stock, preferred stock, debt securities, warrants and/or units of any combination thereof for the purposes of selling, from time to time, our common stock, debt securities or other equity securities in one or more offerings. We also simultaneously entered into the Open Market Sale Agreement, or the Sales Agreement, with Jefferies LLC, or Jefferies, to provide for the offering, issuance and sale of up to an aggregate amount of $100.0 million of our common stock from time to time in “at-the-market” offerings, or the ATM Program, through July 2025 under the 2022 Shelf Registration Statement and subject to the limitations thereof.</w:t>
      </w:r>
    </w:p>
    <w:p>
      <w:pPr>
        <w:spacing w:after="0" w:line="77" w:lineRule="exact"/>
        <w:rPr>
          <w:sz w:val="20"/>
          <w:szCs w:val="20"/>
          <w:color w:val="auto"/>
        </w:rPr>
      </w:pPr>
    </w:p>
    <w:p>
      <w:pPr>
        <w:ind w:right="60"/>
        <w:spacing w:after="0"/>
        <w:rPr>
          <w:sz w:val="20"/>
          <w:szCs w:val="20"/>
          <w:color w:val="auto"/>
        </w:rPr>
      </w:pPr>
      <w:r>
        <w:rPr>
          <w:rFonts w:ascii="Arial" w:cs="Arial" w:eastAsia="Arial" w:hAnsi="Arial"/>
          <w:sz w:val="18"/>
          <w:szCs w:val="18"/>
          <w:color w:val="auto"/>
        </w:rPr>
        <w:t>On March 20, 2025, we filed a registration statement on Form S-3 (File No. 333-285942) with the SEC, which was declared effective on March 31, 2025, or the 2025 Shelf Registration Statement, in relation to the registration of common stock, preferred stock, debt securities, warrants and/or units of any combination thereof for the purposes of selling, from time to time, our common stock, debt securities or other equity securities in one or more offerings. We also simultaneously entered into the Amendment No. 1 to the Sales Agreement, or the Amendment, with Jefferies, to provide for the offering, issuance and sale of up to an aggregate amount of $150.0 million of our common stock from time to time under the ATM Program, pursuant to a prospectus supplement, dated March 20, 2025, under 2025 Shelf Registration Statement, or the</w:t>
      </w:r>
    </w:p>
    <w:p>
      <w:pPr>
        <w:spacing w:after="0" w:line="2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20" w:right="339" w:bottom="1440" w:gutter="0" w:footer="0" w:header="0"/>
        </w:sectPr>
      </w:pPr>
    </w:p>
    <w:bookmarkStart w:id="27" w:name="page28"/>
    <w:bookmarkEnd w:id="27"/>
    <w:p>
      <w:pPr>
        <w:spacing w:after="0" w:line="247" w:lineRule="auto"/>
        <w:rPr>
          <w:sz w:val="20"/>
          <w:szCs w:val="20"/>
          <w:color w:val="auto"/>
        </w:rPr>
      </w:pPr>
      <w:r>
        <w:rPr>
          <w:rFonts w:ascii="Arial" w:cs="Arial" w:eastAsia="Arial" w:hAnsi="Arial"/>
          <w:sz w:val="18"/>
          <w:szCs w:val="18"/>
          <w:color w:val="auto"/>
        </w:rPr>
        <w:t>Original Prospectus Supplement, and subject to the limitations thereof. Under the Original Prospectus Supplement, we sold 2,955,082 shares of our common stock for aggregate gross proceeds of $25.0 million, or aggregate net proceeds of $23.9 million, pursuant to the Sales Agreement. As disclosed in a Current Report on Form 8-K filed on January 7, 2026, the Original Prospectus Supplement was terminated, effective as of January 7, 2026, and we did not issue any additional shares under the ATM Program following such termination.</w:t>
      </w:r>
    </w:p>
    <w:p>
      <w:pPr>
        <w:spacing w:after="0" w:line="66" w:lineRule="exact"/>
        <w:rPr>
          <w:sz w:val="20"/>
          <w:szCs w:val="20"/>
          <w:color w:val="auto"/>
        </w:rPr>
      </w:pPr>
    </w:p>
    <w:p>
      <w:pPr>
        <w:ind w:right="60"/>
        <w:spacing w:after="0" w:line="259" w:lineRule="auto"/>
        <w:rPr>
          <w:sz w:val="20"/>
          <w:szCs w:val="20"/>
          <w:color w:val="auto"/>
        </w:rPr>
      </w:pPr>
      <w:r>
        <w:rPr>
          <w:rFonts w:ascii="Arial" w:cs="Arial" w:eastAsia="Arial" w:hAnsi="Arial"/>
          <w:sz w:val="17"/>
          <w:szCs w:val="17"/>
          <w:color w:val="auto"/>
        </w:rPr>
        <w:t>On February 11, 2026, we filed a registration statement on Form S-3ASR (File No. 333-293389) with the SEC, or the 2026 Automatic Shelf Registration Statement, in relation to the registration of common stock, preferred stock, debt securities, warrants and/or units of any combination thereof for the purposes of selling, from time to time, our common stock, debt securities or other equity securities in one or more offerings. In connection with the ATM Program and pursuant to the 2026 Automatic Shelf Registration Statement, we filed a new prospectus supplement with the SEC on February 11, 2026, for the offer and sale of up to $100.0 million of shares of common stock from time to time through Jefferies. As of March 31, 2026, we have sold no shares pursuant to our ATM program under the new prospectus supplement.</w:t>
      </w:r>
    </w:p>
    <w:p>
      <w:pPr>
        <w:spacing w:after="0" w:line="57" w:lineRule="exact"/>
        <w:rPr>
          <w:sz w:val="20"/>
          <w:szCs w:val="20"/>
          <w:color w:val="auto"/>
        </w:rPr>
      </w:pPr>
    </w:p>
    <w:p>
      <w:pPr>
        <w:ind w:right="740"/>
        <w:spacing w:after="0" w:line="271" w:lineRule="auto"/>
        <w:rPr>
          <w:sz w:val="20"/>
          <w:szCs w:val="20"/>
          <w:color w:val="auto"/>
        </w:rPr>
      </w:pPr>
      <w:r>
        <w:rPr>
          <w:rFonts w:ascii="Arial" w:cs="Arial" w:eastAsia="Arial" w:hAnsi="Arial"/>
          <w:sz w:val="18"/>
          <w:szCs w:val="18"/>
          <w:color w:val="auto"/>
        </w:rPr>
        <w:t>We will pay to Jefferies cash commissions of up to 3.0% of the aggregate gross proceeds of sales of common stock under the Sales Agreement, as amended.</w:t>
      </w:r>
    </w:p>
    <w:p>
      <w:pPr>
        <w:spacing w:after="0" w:line="4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Underwritten public offerings</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color w:val="auto"/>
        </w:rPr>
        <w:t>In May 2024, we entered into an underwriting agreement with TD Securities (USA) LLC, as representative of the several underwriters, related to an underwritten public offering, or the 2024 Offering, of 10,638,476 shares of common stock at a price of $4.70 per share, and, in lieu of common stock to certain investors, pre-funded warrants to purchase 10,638,524 shares of common stock at a price of $4.6999 per pre-funded warrant, which represents the price per share at which shares of common stock were sold in the 2024 Offering, minus $0.0001, which is the exercise price of each pre-funded warrant. The pre-funded warrants are immediately exercisable and may be exercised at any time until the pre-funded warrants are exercised in full. Aggregate gross proceeds from the 2024 Offering were $100 million. Aggregate net proceeds from the 2024 Offering were $96.4 million after deducting the underwriter discounts, commissions, and other offering costs.</w:t>
      </w:r>
    </w:p>
    <w:p>
      <w:pPr>
        <w:spacing w:after="0" w:line="77" w:lineRule="exact"/>
        <w:rPr>
          <w:sz w:val="20"/>
          <w:szCs w:val="20"/>
          <w:color w:val="auto"/>
        </w:rPr>
      </w:pPr>
    </w:p>
    <w:p>
      <w:pPr>
        <w:ind w:right="100"/>
        <w:spacing w:after="0" w:line="239" w:lineRule="auto"/>
        <w:rPr>
          <w:sz w:val="20"/>
          <w:szCs w:val="20"/>
          <w:color w:val="auto"/>
        </w:rPr>
      </w:pPr>
      <w:r>
        <w:rPr>
          <w:rFonts w:ascii="Arial" w:cs="Arial" w:eastAsia="Arial" w:hAnsi="Arial"/>
          <w:sz w:val="18"/>
          <w:szCs w:val="18"/>
          <w:color w:val="auto"/>
        </w:rPr>
        <w:t>In January 2026, we entered into an underwriting agreement with Jefferies LLC, or Jefferies, TD Securities (USA) LLC, and Piper Sandler &amp; Co. as representative of the several underwriters, related to the underwritten public offering, or the 2026 Offering, of 13,000,000 shares of common stock at a price of $ 24.00 per share, and, in lieu of common stock to certain investors, pre-funded warrants to purchase 1,375,000 shares of common stock at a price of $23.9999 per pre-funded warrant, which represents the price per share at which shares of common stock were sold in the 2026 Offering, minus $0.0001, which is the exercise price of each pre-funded warrant. The 13,000,000 shares of common stock includes the full exercise by the underwriters of their option to purchase an additional 1,875,000 shares of common stock at the public offering price. The pre-funded warrants are immediately exercisable and may be exercised at any time until the pre-funded warrants are exercised in full. Aggregate gross proceeds from the 2026 Offering were $345.0 million. Aggregate net proceeds from the 2026 Offering were $323.8 million after deducting the underwriter discounts, commissions, and other offering costs.</w:t>
      </w:r>
    </w:p>
    <w:p>
      <w:pPr>
        <w:spacing w:after="0" w:line="75" w:lineRule="exact"/>
        <w:rPr>
          <w:sz w:val="20"/>
          <w:szCs w:val="20"/>
          <w:color w:val="auto"/>
        </w:rPr>
      </w:pPr>
    </w:p>
    <w:p>
      <w:pPr>
        <w:jc w:val="both"/>
        <w:ind w:right="240"/>
        <w:spacing w:after="0" w:line="271" w:lineRule="auto"/>
        <w:rPr>
          <w:sz w:val="20"/>
          <w:szCs w:val="20"/>
          <w:color w:val="auto"/>
        </w:rPr>
      </w:pPr>
      <w:r>
        <w:rPr>
          <w:rFonts w:ascii="Arial" w:cs="Arial" w:eastAsia="Arial" w:hAnsi="Arial"/>
          <w:sz w:val="18"/>
          <w:szCs w:val="18"/>
          <w:color w:val="auto"/>
        </w:rPr>
        <w:t>During the three months ended March 31, 2026, 5,016,658 pre-funded warrants were exercised and, net of cashless exercises, 5,016,628 shares of common stock were issued as a result. During the three months ended March 31, 2025, no pre-funded warrants were exercised.</w:t>
      </w:r>
    </w:p>
    <w:p>
      <w:pPr>
        <w:spacing w:after="0" w:line="4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flows</w:t>
      </w:r>
    </w:p>
    <w:p>
      <w:pPr>
        <w:spacing w:after="0" w:line="102"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our cash flows for the periods indicated (in thousands):</w:t>
      </w:r>
    </w:p>
    <w:p>
      <w:pPr>
        <w:spacing w:after="0" w:line="102"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6380" w:type="dxa"/>
            <w:vAlign w:val="bottom"/>
            <w:tcBorders>
              <w:top w:val="single" w:sz="8" w:color="auto"/>
            </w:tcBorders>
          </w:tcPr>
          <w:p>
            <w:pPr>
              <w:spacing w:after="0"/>
              <w:rPr>
                <w:sz w:val="16"/>
                <w:szCs w:val="16"/>
                <w:color w:val="auto"/>
              </w:rPr>
            </w:pPr>
          </w:p>
        </w:tc>
        <w:tc>
          <w:tcPr>
            <w:tcW w:w="1360" w:type="dxa"/>
            <w:vAlign w:val="bottom"/>
            <w:tcBorders>
              <w:top w:val="single" w:sz="8" w:color="auto"/>
            </w:tcBorders>
          </w:tcPr>
          <w:p>
            <w:pPr>
              <w:spacing w:after="0"/>
              <w:rPr>
                <w:sz w:val="16"/>
                <w:szCs w:val="16"/>
                <w:color w:val="auto"/>
              </w:rPr>
            </w:pPr>
          </w:p>
        </w:tc>
        <w:tc>
          <w:tcPr>
            <w:tcW w:w="340" w:type="dxa"/>
            <w:vAlign w:val="bottom"/>
            <w:tcBorders>
              <w:top w:val="single" w:sz="8" w:color="auto"/>
            </w:tcBorders>
          </w:tcPr>
          <w:p>
            <w:pPr>
              <w:spacing w:after="0"/>
              <w:rPr>
                <w:sz w:val="16"/>
                <w:szCs w:val="16"/>
                <w:color w:val="auto"/>
              </w:rPr>
            </w:pPr>
          </w:p>
        </w:tc>
        <w:tc>
          <w:tcPr>
            <w:tcW w:w="3160" w:type="dxa"/>
            <w:vAlign w:val="bottom"/>
            <w:tcBorders>
              <w:top w:val="single" w:sz="8" w:color="auto"/>
            </w:tcBorders>
            <w:gridSpan w:val="3"/>
          </w:tcPr>
          <w:p>
            <w:pPr>
              <w:jc w:val="right"/>
              <w:ind w:right="939"/>
              <w:spacing w:after="0"/>
              <w:rPr>
                <w:sz w:val="20"/>
                <w:szCs w:val="20"/>
                <w:color w:val="auto"/>
              </w:rPr>
            </w:pPr>
            <w:r>
              <w:rPr>
                <w:rFonts w:ascii="Arial" w:cs="Arial" w:eastAsia="Arial" w:hAnsi="Arial"/>
                <w:sz w:val="16"/>
                <w:szCs w:val="16"/>
                <w:b w:val="1"/>
                <w:bCs w:val="1"/>
                <w:color w:val="auto"/>
              </w:rPr>
              <w:t>Three months ended</w:t>
            </w:r>
          </w:p>
        </w:tc>
      </w:tr>
      <w:tr>
        <w:trPr>
          <w:trHeight w:val="203"/>
        </w:trPr>
        <w:tc>
          <w:tcPr>
            <w:tcW w:w="638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920" w:type="dxa"/>
            <w:vAlign w:val="bottom"/>
            <w:tcBorders>
              <w:bottom w:val="single" w:sz="8" w:color="auto"/>
            </w:tcBorders>
            <w:gridSpan w:val="2"/>
          </w:tcPr>
          <w:p>
            <w:pPr>
              <w:jc w:val="right"/>
              <w:ind w:right="99"/>
              <w:spacing w:after="0"/>
              <w:rPr>
                <w:sz w:val="20"/>
                <w:szCs w:val="20"/>
                <w:color w:val="auto"/>
              </w:rPr>
            </w:pPr>
            <w:r>
              <w:rPr>
                <w:rFonts w:ascii="Arial" w:cs="Arial" w:eastAsia="Arial" w:hAnsi="Arial"/>
                <w:sz w:val="16"/>
                <w:szCs w:val="16"/>
                <w:b w:val="1"/>
                <w:bCs w:val="1"/>
                <w:color w:val="auto"/>
              </w:rPr>
              <w:t>March 31,</w:t>
            </w:r>
          </w:p>
        </w:tc>
        <w:tc>
          <w:tcPr>
            <w:tcW w:w="1240" w:type="dxa"/>
            <w:vAlign w:val="bottom"/>
            <w:tcBorders>
              <w:bottom w:val="single" w:sz="8" w:color="auto"/>
            </w:tcBorders>
          </w:tcPr>
          <w:p>
            <w:pPr>
              <w:spacing w:after="0"/>
              <w:rPr>
                <w:sz w:val="17"/>
                <w:szCs w:val="17"/>
                <w:color w:val="auto"/>
              </w:rPr>
            </w:pPr>
          </w:p>
        </w:tc>
      </w:tr>
      <w:tr>
        <w:trPr>
          <w:trHeight w:val="183"/>
        </w:trPr>
        <w:tc>
          <w:tcPr>
            <w:tcW w:w="6380" w:type="dxa"/>
            <w:vAlign w:val="bottom"/>
            <w:tcBorders>
              <w:bottom w:val="single" w:sz="8" w:color="auto"/>
            </w:tcBorders>
          </w:tcPr>
          <w:p>
            <w:pPr>
              <w:spacing w:after="0"/>
              <w:rPr>
                <w:sz w:val="15"/>
                <w:szCs w:val="15"/>
                <w:color w:val="auto"/>
              </w:rPr>
            </w:pPr>
          </w:p>
        </w:tc>
        <w:tc>
          <w:tcPr>
            <w:tcW w:w="1360" w:type="dxa"/>
            <w:vAlign w:val="bottom"/>
            <w:tcBorders>
              <w:bottom w:val="single" w:sz="8" w:color="auto"/>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380" w:type="dxa"/>
            <w:vAlign w:val="bottom"/>
            <w:tcBorders>
              <w:bottom w:val="single" w:sz="8" w:color="auto"/>
            </w:tcBorders>
          </w:tcPr>
          <w:p>
            <w:pPr>
              <w:jc w:val="right"/>
              <w:ind w:right="679"/>
              <w:spacing w:after="0" w:line="183" w:lineRule="exact"/>
              <w:rPr>
                <w:sz w:val="20"/>
                <w:szCs w:val="20"/>
                <w:color w:val="auto"/>
              </w:rPr>
            </w:pPr>
            <w:r>
              <w:rPr>
                <w:rFonts w:ascii="Arial" w:cs="Arial" w:eastAsia="Arial" w:hAnsi="Arial"/>
                <w:sz w:val="16"/>
                <w:szCs w:val="16"/>
                <w:b w:val="1"/>
                <w:bCs w:val="1"/>
                <w:color w:val="auto"/>
              </w:rPr>
              <w:t>2026</w:t>
            </w:r>
          </w:p>
        </w:tc>
        <w:tc>
          <w:tcPr>
            <w:tcW w:w="54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tcPr>
          <w:p>
            <w:pPr>
              <w:jc w:val="right"/>
              <w:ind w:right="619"/>
              <w:spacing w:after="0" w:line="183" w:lineRule="exact"/>
              <w:rPr>
                <w:sz w:val="20"/>
                <w:szCs w:val="20"/>
                <w:color w:val="auto"/>
              </w:rPr>
            </w:pPr>
            <w:r>
              <w:rPr>
                <w:rFonts w:ascii="Arial" w:cs="Arial" w:eastAsia="Arial" w:hAnsi="Arial"/>
                <w:sz w:val="16"/>
                <w:szCs w:val="16"/>
                <w:b w:val="1"/>
                <w:bCs w:val="1"/>
                <w:color w:val="auto"/>
              </w:rPr>
              <w:t>2025</w:t>
            </w:r>
          </w:p>
        </w:tc>
      </w:tr>
      <w:tr>
        <w:trPr>
          <w:trHeight w:val="183"/>
        </w:trPr>
        <w:tc>
          <w:tcPr>
            <w:tcW w:w="6380" w:type="dxa"/>
            <w:vAlign w:val="bottom"/>
            <w:shd w:val="clear" w:color="auto" w:fill="CFF0FC"/>
          </w:tcPr>
          <w:p>
            <w:pPr>
              <w:spacing w:after="0" w:line="183" w:lineRule="exact"/>
              <w:rPr>
                <w:sz w:val="20"/>
                <w:szCs w:val="20"/>
                <w:color w:val="auto"/>
              </w:rPr>
            </w:pPr>
            <w:r>
              <w:rPr>
                <w:rFonts w:ascii="Arial" w:cs="Arial" w:eastAsia="Arial" w:hAnsi="Arial"/>
                <w:sz w:val="16"/>
                <w:szCs w:val="16"/>
                <w:color w:val="auto"/>
              </w:rPr>
              <w:t>Net cash (used in) provided by:</w:t>
            </w:r>
          </w:p>
        </w:tc>
        <w:tc>
          <w:tcPr>
            <w:tcW w:w="1360" w:type="dxa"/>
            <w:vAlign w:val="bottom"/>
            <w:shd w:val="clear" w:color="auto" w:fill="CFF0FC"/>
          </w:tcPr>
          <w:p>
            <w:pPr>
              <w:spacing w:after="0"/>
              <w:rPr>
                <w:sz w:val="15"/>
                <w:szCs w:val="15"/>
                <w:color w:val="auto"/>
              </w:rPr>
            </w:pPr>
          </w:p>
        </w:tc>
        <w:tc>
          <w:tcPr>
            <w:tcW w:w="340" w:type="dxa"/>
            <w:vAlign w:val="bottom"/>
            <w:shd w:val="clear" w:color="auto" w:fill="CFF0FC"/>
          </w:tcPr>
          <w:p>
            <w:pPr>
              <w:spacing w:after="0"/>
              <w:rPr>
                <w:sz w:val="15"/>
                <w:szCs w:val="15"/>
                <w:color w:val="auto"/>
              </w:rPr>
            </w:pPr>
          </w:p>
        </w:tc>
        <w:tc>
          <w:tcPr>
            <w:tcW w:w="1380" w:type="dxa"/>
            <w:vAlign w:val="bottom"/>
            <w:shd w:val="clear" w:color="auto" w:fill="CFF0FC"/>
          </w:tcPr>
          <w:p>
            <w:pPr>
              <w:spacing w:after="0"/>
              <w:rPr>
                <w:sz w:val="15"/>
                <w:szCs w:val="15"/>
                <w:color w:val="auto"/>
              </w:rPr>
            </w:pPr>
          </w:p>
        </w:tc>
        <w:tc>
          <w:tcPr>
            <w:tcW w:w="540" w:type="dxa"/>
            <w:vAlign w:val="bottom"/>
            <w:shd w:val="clear" w:color="auto" w:fill="CFF0FC"/>
          </w:tcPr>
          <w:p>
            <w:pPr>
              <w:spacing w:after="0"/>
              <w:rPr>
                <w:sz w:val="15"/>
                <w:szCs w:val="15"/>
                <w:color w:val="auto"/>
              </w:rPr>
            </w:pPr>
          </w:p>
        </w:tc>
        <w:tc>
          <w:tcPr>
            <w:tcW w:w="1240" w:type="dxa"/>
            <w:vAlign w:val="bottom"/>
            <w:shd w:val="clear" w:color="auto" w:fill="CFF0FC"/>
          </w:tcPr>
          <w:p>
            <w:pPr>
              <w:spacing w:after="0"/>
              <w:rPr>
                <w:sz w:val="15"/>
                <w:szCs w:val="15"/>
                <w:color w:val="auto"/>
              </w:rPr>
            </w:pPr>
          </w:p>
        </w:tc>
      </w:tr>
      <w:tr>
        <w:trPr>
          <w:trHeight w:val="189"/>
        </w:trPr>
        <w:tc>
          <w:tcPr>
            <w:tcW w:w="6380" w:type="dxa"/>
            <w:vAlign w:val="bottom"/>
          </w:tcPr>
          <w:p>
            <w:pPr>
              <w:ind w:left="140"/>
              <w:spacing w:after="0"/>
              <w:rPr>
                <w:sz w:val="20"/>
                <w:szCs w:val="20"/>
                <w:color w:val="auto"/>
              </w:rPr>
            </w:pPr>
            <w:r>
              <w:rPr>
                <w:rFonts w:ascii="Arial" w:cs="Arial" w:eastAsia="Arial" w:hAnsi="Arial"/>
                <w:sz w:val="16"/>
                <w:szCs w:val="16"/>
                <w:color w:val="auto"/>
              </w:rPr>
              <w:t>Operating activities</w:t>
            </w:r>
          </w:p>
        </w:tc>
        <w:tc>
          <w:tcPr>
            <w:tcW w:w="170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380" w:type="dxa"/>
            <w:vAlign w:val="bottom"/>
          </w:tcPr>
          <w:p>
            <w:pPr>
              <w:jc w:val="right"/>
              <w:ind w:right="19"/>
              <w:spacing w:after="0"/>
              <w:rPr>
                <w:sz w:val="20"/>
                <w:szCs w:val="20"/>
                <w:color w:val="auto"/>
              </w:rPr>
            </w:pPr>
            <w:r>
              <w:rPr>
                <w:rFonts w:ascii="Arial" w:cs="Arial" w:eastAsia="Arial" w:hAnsi="Arial"/>
                <w:sz w:val="16"/>
                <w:szCs w:val="16"/>
                <w:color w:val="auto"/>
              </w:rPr>
              <w:t>(37,369)</w:t>
            </w:r>
          </w:p>
        </w:tc>
        <w:tc>
          <w:tcPr>
            <w:tcW w:w="540" w:type="dxa"/>
            <w:vAlign w:val="bottom"/>
          </w:tcPr>
          <w:p>
            <w:pPr>
              <w:jc w:val="right"/>
              <w:ind w:right="259"/>
              <w:spacing w:after="0"/>
              <w:rPr>
                <w:sz w:val="20"/>
                <w:szCs w:val="20"/>
                <w:color w:val="auto"/>
              </w:rPr>
            </w:pPr>
            <w:r>
              <w:rPr>
                <w:rFonts w:ascii="Arial" w:cs="Arial" w:eastAsia="Arial" w:hAnsi="Arial"/>
                <w:sz w:val="16"/>
                <w:szCs w:val="16"/>
                <w:color w:val="auto"/>
              </w:rPr>
              <w:t>$</w:t>
            </w:r>
          </w:p>
        </w:tc>
        <w:tc>
          <w:tcPr>
            <w:tcW w:w="1240" w:type="dxa"/>
            <w:vAlign w:val="bottom"/>
          </w:tcPr>
          <w:p>
            <w:pPr>
              <w:jc w:val="right"/>
              <w:spacing w:after="0"/>
              <w:rPr>
                <w:sz w:val="20"/>
                <w:szCs w:val="20"/>
                <w:color w:val="auto"/>
              </w:rPr>
            </w:pPr>
            <w:r>
              <w:rPr>
                <w:rFonts w:ascii="Arial" w:cs="Arial" w:eastAsia="Arial" w:hAnsi="Arial"/>
                <w:sz w:val="16"/>
                <w:szCs w:val="16"/>
                <w:color w:val="auto"/>
              </w:rPr>
              <w:t>(45,492)</w:t>
            </w:r>
          </w:p>
        </w:tc>
      </w:tr>
      <w:tr>
        <w:trPr>
          <w:trHeight w:val="189"/>
        </w:trPr>
        <w:tc>
          <w:tcPr>
            <w:tcW w:w="6380" w:type="dxa"/>
            <w:vAlign w:val="bottom"/>
            <w:shd w:val="clear" w:color="auto" w:fill="CFF0FC"/>
          </w:tcPr>
          <w:p>
            <w:pPr>
              <w:ind w:left="140"/>
              <w:spacing w:after="0"/>
              <w:rPr>
                <w:sz w:val="20"/>
                <w:szCs w:val="20"/>
                <w:color w:val="auto"/>
              </w:rPr>
            </w:pPr>
            <w:r>
              <w:rPr>
                <w:rFonts w:ascii="Arial" w:cs="Arial" w:eastAsia="Arial" w:hAnsi="Arial"/>
                <w:sz w:val="16"/>
                <w:szCs w:val="16"/>
                <w:color w:val="auto"/>
              </w:rPr>
              <w:t>Investing activities</w:t>
            </w:r>
          </w:p>
        </w:tc>
        <w:tc>
          <w:tcPr>
            <w:tcW w:w="1360" w:type="dxa"/>
            <w:vAlign w:val="bottom"/>
            <w:shd w:val="clear" w:color="auto" w:fill="CFF0FC"/>
          </w:tcPr>
          <w:p>
            <w:pPr>
              <w:spacing w:after="0"/>
              <w:rPr>
                <w:sz w:val="16"/>
                <w:szCs w:val="16"/>
                <w:color w:val="auto"/>
              </w:rPr>
            </w:pPr>
          </w:p>
        </w:tc>
        <w:tc>
          <w:tcPr>
            <w:tcW w:w="340" w:type="dxa"/>
            <w:vAlign w:val="bottom"/>
            <w:shd w:val="clear" w:color="auto" w:fill="CFF0FC"/>
          </w:tcPr>
          <w:p>
            <w:pPr>
              <w:spacing w:after="0"/>
              <w:rPr>
                <w:sz w:val="16"/>
                <w:szCs w:val="16"/>
                <w:color w:val="auto"/>
              </w:rPr>
            </w:pPr>
          </w:p>
        </w:tc>
        <w:tc>
          <w:tcPr>
            <w:tcW w:w="1380" w:type="dxa"/>
            <w:vAlign w:val="bottom"/>
            <w:shd w:val="clear" w:color="auto" w:fill="CFF0FC"/>
          </w:tcPr>
          <w:p>
            <w:pPr>
              <w:jc w:val="right"/>
              <w:ind w:right="19"/>
              <w:spacing w:after="0"/>
              <w:rPr>
                <w:sz w:val="20"/>
                <w:szCs w:val="20"/>
                <w:color w:val="auto"/>
              </w:rPr>
            </w:pPr>
            <w:r>
              <w:rPr>
                <w:rFonts w:ascii="Arial" w:cs="Arial" w:eastAsia="Arial" w:hAnsi="Arial"/>
                <w:sz w:val="16"/>
                <w:szCs w:val="16"/>
                <w:color w:val="auto"/>
              </w:rPr>
              <w:t>(260,997)</w:t>
            </w:r>
          </w:p>
        </w:tc>
        <w:tc>
          <w:tcPr>
            <w:tcW w:w="540" w:type="dxa"/>
            <w:vAlign w:val="bottom"/>
            <w:shd w:val="clear" w:color="auto" w:fill="CFF0FC"/>
          </w:tcPr>
          <w:p>
            <w:pPr>
              <w:spacing w:after="0"/>
              <w:rPr>
                <w:sz w:val="16"/>
                <w:szCs w:val="16"/>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(100,229)</w:t>
            </w:r>
          </w:p>
        </w:tc>
      </w:tr>
      <w:tr>
        <w:trPr>
          <w:trHeight w:val="189"/>
        </w:trPr>
        <w:tc>
          <w:tcPr>
            <w:tcW w:w="6380" w:type="dxa"/>
            <w:vAlign w:val="bottom"/>
          </w:tcPr>
          <w:p>
            <w:pPr>
              <w:ind w:left="140"/>
              <w:spacing w:after="0"/>
              <w:rPr>
                <w:sz w:val="20"/>
                <w:szCs w:val="20"/>
                <w:color w:val="auto"/>
              </w:rPr>
            </w:pPr>
            <w:r>
              <w:rPr>
                <w:rFonts w:ascii="Arial" w:cs="Arial" w:eastAsia="Arial" w:hAnsi="Arial"/>
                <w:sz w:val="16"/>
                <w:szCs w:val="16"/>
                <w:color w:val="auto"/>
              </w:rPr>
              <w:t>Financing activities</w:t>
            </w:r>
          </w:p>
        </w:tc>
        <w:tc>
          <w:tcPr>
            <w:tcW w:w="136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328,335</w:t>
            </w:r>
          </w:p>
        </w:tc>
        <w:tc>
          <w:tcPr>
            <w:tcW w:w="54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14</w:t>
            </w:r>
          </w:p>
        </w:tc>
      </w:tr>
      <w:tr>
        <w:trPr>
          <w:trHeight w:val="183"/>
        </w:trPr>
        <w:tc>
          <w:tcPr>
            <w:tcW w:w="6380" w:type="dxa"/>
            <w:vAlign w:val="bottom"/>
            <w:tcBorders>
              <w:bottom w:val="single" w:sz="8" w:color="auto"/>
            </w:tcBorders>
            <w:shd w:val="clear" w:color="auto" w:fill="CFF0FC"/>
          </w:tcPr>
          <w:p>
            <w:pPr>
              <w:spacing w:after="0" w:line="183" w:lineRule="exact"/>
              <w:rPr>
                <w:sz w:val="20"/>
                <w:szCs w:val="20"/>
                <w:color w:val="auto"/>
              </w:rPr>
            </w:pPr>
            <w:r>
              <w:rPr>
                <w:rFonts w:ascii="Arial" w:cs="Arial" w:eastAsia="Arial" w:hAnsi="Arial"/>
                <w:sz w:val="16"/>
                <w:szCs w:val="16"/>
                <w:color w:val="auto"/>
              </w:rPr>
              <w:t>Net increase (decrease) in cash, cash equivalents and restricted cash</w:t>
            </w:r>
          </w:p>
        </w:tc>
        <w:tc>
          <w:tcPr>
            <w:tcW w:w="1700" w:type="dxa"/>
            <w:vAlign w:val="bottom"/>
            <w:tcBorders>
              <w:bottom w:val="single" w:sz="8" w:color="auto"/>
            </w:tcBorders>
            <w:gridSpan w:val="2"/>
            <w:shd w:val="clear" w:color="auto" w:fill="CFF0FC"/>
          </w:tcPr>
          <w:p>
            <w:pPr>
              <w:jc w:val="right"/>
              <w:ind w:right="240"/>
              <w:spacing w:after="0" w:line="183" w:lineRule="exact"/>
              <w:rPr>
                <w:sz w:val="20"/>
                <w:szCs w:val="20"/>
                <w:color w:val="auto"/>
              </w:rPr>
            </w:pPr>
            <w:r>
              <w:rPr>
                <w:rFonts w:ascii="Arial" w:cs="Arial" w:eastAsia="Arial" w:hAnsi="Arial"/>
                <w:sz w:val="16"/>
                <w:szCs w:val="16"/>
                <w:color w:val="auto"/>
              </w:rPr>
              <w:t>$</w:t>
            </w:r>
          </w:p>
        </w:tc>
        <w:tc>
          <w:tcPr>
            <w:tcW w:w="1380" w:type="dxa"/>
            <w:vAlign w:val="bottom"/>
            <w:tcBorders>
              <w:bottom w:val="single" w:sz="8" w:color="auto"/>
            </w:tcBorders>
            <w:shd w:val="clear" w:color="auto" w:fill="CFF0FC"/>
          </w:tcPr>
          <w:p>
            <w:pPr>
              <w:jc w:val="right"/>
              <w:ind w:right="79"/>
              <w:spacing w:after="0" w:line="183" w:lineRule="exact"/>
              <w:rPr>
                <w:sz w:val="20"/>
                <w:szCs w:val="20"/>
                <w:color w:val="auto"/>
              </w:rPr>
            </w:pPr>
            <w:r>
              <w:rPr>
                <w:rFonts w:ascii="Arial" w:cs="Arial" w:eastAsia="Arial" w:hAnsi="Arial"/>
                <w:sz w:val="16"/>
                <w:szCs w:val="16"/>
                <w:color w:val="auto"/>
              </w:rPr>
              <w:t>29,969</w:t>
            </w:r>
          </w:p>
        </w:tc>
        <w:tc>
          <w:tcPr>
            <w:tcW w:w="540" w:type="dxa"/>
            <w:vAlign w:val="bottom"/>
            <w:tcBorders>
              <w:bottom w:val="single" w:sz="8" w:color="auto"/>
            </w:tcBorders>
            <w:shd w:val="clear" w:color="auto" w:fill="CFF0FC"/>
          </w:tcPr>
          <w:p>
            <w:pPr>
              <w:jc w:val="right"/>
              <w:ind w:right="259"/>
              <w:spacing w:after="0" w:line="183" w:lineRule="exact"/>
              <w:rPr>
                <w:sz w:val="20"/>
                <w:szCs w:val="20"/>
                <w:color w:val="auto"/>
              </w:rPr>
            </w:pPr>
            <w:r>
              <w:rPr>
                <w:rFonts w:ascii="Arial" w:cs="Arial" w:eastAsia="Arial" w:hAnsi="Arial"/>
                <w:sz w:val="16"/>
                <w:szCs w:val="16"/>
                <w:color w:val="auto"/>
              </w:rPr>
              <w:t>$</w:t>
            </w:r>
          </w:p>
        </w:tc>
        <w:tc>
          <w:tcPr>
            <w:tcW w:w="1240" w:type="dxa"/>
            <w:vAlign w:val="bottom"/>
            <w:tcBorders>
              <w:bottom w:val="single" w:sz="8" w:color="auto"/>
            </w:tcBorders>
            <w:shd w:val="clear" w:color="auto" w:fill="CFF0FC"/>
          </w:tcPr>
          <w:p>
            <w:pPr>
              <w:jc w:val="right"/>
              <w:spacing w:after="0" w:line="183" w:lineRule="exact"/>
              <w:rPr>
                <w:sz w:val="20"/>
                <w:szCs w:val="20"/>
                <w:color w:val="auto"/>
              </w:rPr>
            </w:pPr>
            <w:r>
              <w:rPr>
                <w:rFonts w:ascii="Arial" w:cs="Arial" w:eastAsia="Arial" w:hAnsi="Arial"/>
                <w:sz w:val="16"/>
                <w:szCs w:val="16"/>
                <w:color w:val="auto"/>
              </w:rPr>
              <w:t>(145,707)</w:t>
            </w:r>
          </w:p>
        </w:tc>
      </w:tr>
    </w:tbl>
    <w:p>
      <w:pPr>
        <w:spacing w:after="0" w:line="18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Operating activities</w:t>
      </w:r>
    </w:p>
    <w:p>
      <w:pPr>
        <w:spacing w:after="0" w:line="102" w:lineRule="exact"/>
        <w:rPr>
          <w:sz w:val="20"/>
          <w:szCs w:val="20"/>
          <w:color w:val="auto"/>
        </w:rPr>
      </w:pPr>
    </w:p>
    <w:p>
      <w:pPr>
        <w:jc w:val="both"/>
        <w:ind w:right="40"/>
        <w:spacing w:after="0" w:line="271" w:lineRule="auto"/>
        <w:rPr>
          <w:sz w:val="20"/>
          <w:szCs w:val="20"/>
          <w:color w:val="auto"/>
        </w:rPr>
      </w:pPr>
      <w:r>
        <w:rPr>
          <w:rFonts w:ascii="Arial" w:cs="Arial" w:eastAsia="Arial" w:hAnsi="Arial"/>
          <w:sz w:val="18"/>
          <w:szCs w:val="18"/>
          <w:color w:val="auto"/>
        </w:rPr>
        <w:t>Net cash used in operating activities of $37.4 million during the three months ended March 31, 2026, was attributable to our net loss of $44.5 million and a decrease in deferred revenue of $4.2 million, partially offset by increases in our working</w:t>
      </w:r>
    </w:p>
    <w:p>
      <w:pPr>
        <w:spacing w:after="0" w:line="2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20" w:right="339" w:bottom="1440" w:gutter="0" w:footer="0" w:header="0"/>
        </w:sectPr>
      </w:pPr>
    </w:p>
    <w:bookmarkStart w:id="28" w:name="page29"/>
    <w:bookmarkEnd w:id="28"/>
    <w:p>
      <w:pPr>
        <w:ind w:right="1080"/>
        <w:spacing w:after="0" w:line="271" w:lineRule="auto"/>
        <w:rPr>
          <w:sz w:val="20"/>
          <w:szCs w:val="20"/>
          <w:color w:val="auto"/>
        </w:rPr>
      </w:pPr>
      <w:r>
        <w:rPr>
          <w:rFonts w:ascii="Arial" w:cs="Arial" w:eastAsia="Arial" w:hAnsi="Arial"/>
          <w:sz w:val="18"/>
          <w:szCs w:val="18"/>
          <w:color w:val="auto"/>
        </w:rPr>
        <w:t>capital of $4.4 million and by non-cash charges of $7.0 million, principally with respect to depreciation expense and stock-based compensation.</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Net cash used in operating activities of $45.5 million during the three months ended March 31, 2025 was attributable to our net income of</w:t>
      </w:r>
    </w:p>
    <w:p>
      <w:pPr>
        <w:spacing w:after="0" w:line="14" w:lineRule="exact"/>
        <w:rPr>
          <w:sz w:val="20"/>
          <w:szCs w:val="20"/>
          <w:color w:val="auto"/>
        </w:rPr>
      </w:pPr>
    </w:p>
    <w:p>
      <w:pPr>
        <w:ind w:right="60"/>
        <w:spacing w:after="0" w:line="242" w:lineRule="auto"/>
        <w:rPr>
          <w:sz w:val="20"/>
          <w:szCs w:val="20"/>
          <w:color w:val="auto"/>
        </w:rPr>
      </w:pPr>
      <w:r>
        <w:rPr>
          <w:rFonts w:ascii="Arial" w:cs="Arial" w:eastAsia="Arial" w:hAnsi="Arial"/>
          <w:sz w:val="18"/>
          <w:szCs w:val="18"/>
          <w:color w:val="auto"/>
        </w:rPr>
        <w:t>$46.9 million, offset by decreases in our working capital of $14.7 million, and a decrease in deferred revenue of $83.9 million. The decreases in working capital accounts and deferred revenue were partially off-set by non-cash charges of $6.3 million, principally with respect to depreciation expense and stock-based compensation.</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Investing activities</w:t>
      </w:r>
    </w:p>
    <w:p>
      <w:pPr>
        <w:spacing w:after="0" w:line="102" w:lineRule="exact"/>
        <w:rPr>
          <w:sz w:val="20"/>
          <w:szCs w:val="20"/>
          <w:color w:val="auto"/>
        </w:rPr>
      </w:pPr>
    </w:p>
    <w:p>
      <w:pPr>
        <w:ind w:right="200"/>
        <w:spacing w:after="0" w:line="253" w:lineRule="auto"/>
        <w:rPr>
          <w:sz w:val="20"/>
          <w:szCs w:val="20"/>
          <w:color w:val="auto"/>
        </w:rPr>
      </w:pPr>
      <w:r>
        <w:rPr>
          <w:rFonts w:ascii="Arial" w:cs="Arial" w:eastAsia="Arial" w:hAnsi="Arial"/>
          <w:sz w:val="18"/>
          <w:szCs w:val="18"/>
          <w:color w:val="auto"/>
        </w:rPr>
        <w:t>Cash used in investing activities of $261.0 million during the three months ended March 31, 2026 was primarily attributable to purchases of marketable securities of $332.0 million and purchases of property and equipment of $1.9 million, partially offset by proceeds from the maturity of marketable securities of $72.9 million.</w:t>
      </w:r>
    </w:p>
    <w:p>
      <w:pPr>
        <w:spacing w:after="0" w:line="61" w:lineRule="exact"/>
        <w:rPr>
          <w:sz w:val="20"/>
          <w:szCs w:val="20"/>
          <w:color w:val="auto"/>
        </w:rPr>
      </w:pPr>
    </w:p>
    <w:p>
      <w:pPr>
        <w:ind w:right="80"/>
        <w:spacing w:after="0" w:line="253" w:lineRule="auto"/>
        <w:rPr>
          <w:sz w:val="20"/>
          <w:szCs w:val="20"/>
          <w:color w:val="auto"/>
        </w:rPr>
      </w:pPr>
      <w:r>
        <w:rPr>
          <w:rFonts w:ascii="Arial" w:cs="Arial" w:eastAsia="Arial" w:hAnsi="Arial"/>
          <w:sz w:val="18"/>
          <w:szCs w:val="18"/>
          <w:color w:val="auto"/>
        </w:rPr>
        <w:t>Cash used in investing activities of $ 100.2 million during the three months ended March 31, 2025 was primarily attributable to proceeds from the maturity of marketable securities of $39.4 million, offset by purchases of marketable securities of $138.0 million and purchases of property and equipment of $1.6 million.</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Financing activities</w:t>
      </w:r>
    </w:p>
    <w:p>
      <w:pPr>
        <w:spacing w:after="0" w:line="102" w:lineRule="exact"/>
        <w:rPr>
          <w:sz w:val="20"/>
          <w:szCs w:val="20"/>
          <w:color w:val="auto"/>
        </w:rPr>
      </w:pPr>
    </w:p>
    <w:p>
      <w:pPr>
        <w:spacing w:after="0" w:line="271" w:lineRule="auto"/>
        <w:rPr>
          <w:sz w:val="20"/>
          <w:szCs w:val="20"/>
          <w:color w:val="auto"/>
        </w:rPr>
      </w:pPr>
      <w:r>
        <w:rPr>
          <w:rFonts w:ascii="Arial" w:cs="Arial" w:eastAsia="Arial" w:hAnsi="Arial"/>
          <w:sz w:val="18"/>
          <w:szCs w:val="18"/>
          <w:color w:val="auto"/>
        </w:rPr>
        <w:t>Cash provided by financing activities of $328.3 million for the three months ended March 31, 2026 was primarily due to the proceeds from the 2026 Offering and to the exercise of employee stock options.</w:t>
      </w:r>
    </w:p>
    <w:p>
      <w:pPr>
        <w:spacing w:after="0" w:line="4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Funding requirements</w:t>
      </w:r>
    </w:p>
    <w:p>
      <w:pPr>
        <w:spacing w:after="0" w:line="102" w:lineRule="exact"/>
        <w:rPr>
          <w:sz w:val="20"/>
          <w:szCs w:val="20"/>
          <w:color w:val="auto"/>
        </w:rPr>
      </w:pPr>
    </w:p>
    <w:p>
      <w:pPr>
        <w:ind w:right="80"/>
        <w:spacing w:after="0"/>
        <w:rPr>
          <w:sz w:val="20"/>
          <w:szCs w:val="20"/>
          <w:color w:val="auto"/>
        </w:rPr>
      </w:pPr>
      <w:r>
        <w:rPr>
          <w:rFonts w:ascii="Arial" w:cs="Arial" w:eastAsia="Arial" w:hAnsi="Arial"/>
          <w:sz w:val="18"/>
          <w:szCs w:val="18"/>
          <w:color w:val="auto"/>
        </w:rPr>
        <w:t>Any product candidates we may develop may never achieve commercialization and we anticipate that we will continue to incur losses for the foreseeable future. We expect that our research and development expenses, general and administrative expenses and capital expenditures will continue to increase. As a result, until such time, if ever, as we can generate substantial product revenue, we expect to finance our cash needs through a combination of equity offerings, debt financings or other capital sources, including potential collaborations, licenses and other similar arrangements. Our primary uses of capital are, and we expect will continue to be, compensation and related expenses, third-party clinical research, manufacturing and development services, license payments or milestone obligations that may arise, laboratory and related supplies, clinical costs, manufacturing costs, legal and other regulatory expenses and general overhead costs.</w:t>
      </w:r>
    </w:p>
    <w:p>
      <w:pPr>
        <w:spacing w:after="0" w:line="77" w:lineRule="exact"/>
        <w:rPr>
          <w:sz w:val="20"/>
          <w:szCs w:val="20"/>
          <w:color w:val="auto"/>
        </w:rPr>
      </w:pPr>
    </w:p>
    <w:p>
      <w:pPr>
        <w:ind w:right="20"/>
        <w:spacing w:after="0" w:line="253" w:lineRule="auto"/>
        <w:rPr>
          <w:sz w:val="20"/>
          <w:szCs w:val="20"/>
          <w:color w:val="auto"/>
        </w:rPr>
      </w:pPr>
      <w:r>
        <w:rPr>
          <w:rFonts w:ascii="Arial" w:cs="Arial" w:eastAsia="Arial" w:hAnsi="Arial"/>
          <w:sz w:val="18"/>
          <w:szCs w:val="18"/>
          <w:color w:val="auto"/>
        </w:rPr>
        <w:t>Based upon our current operating plan, we believe that our existing cash, cash equivalents and marketable securities will enable us to fund our operating expenses and capital expenditure requirements for at least the next twelve months. We base this estimate on assumptions that may prove to be wrong, and we could utilize our available capital resources sooner than we currently expect.</w:t>
      </w:r>
    </w:p>
    <w:p>
      <w:pPr>
        <w:spacing w:after="0" w:line="61" w:lineRule="exact"/>
        <w:rPr>
          <w:sz w:val="20"/>
          <w:szCs w:val="20"/>
          <w:color w:val="auto"/>
        </w:rPr>
      </w:pPr>
    </w:p>
    <w:p>
      <w:pPr>
        <w:ind w:right="20"/>
        <w:spacing w:after="0" w:line="239" w:lineRule="auto"/>
        <w:rPr>
          <w:sz w:val="20"/>
          <w:szCs w:val="20"/>
          <w:color w:val="auto"/>
        </w:rPr>
      </w:pPr>
      <w:r>
        <w:rPr>
          <w:rFonts w:ascii="Arial" w:cs="Arial" w:eastAsia="Arial" w:hAnsi="Arial"/>
          <w:sz w:val="18"/>
          <w:szCs w:val="18"/>
          <w:color w:val="auto"/>
        </w:rPr>
        <w:t>We will continue to require additional financing to advance our current product candidates through clinical development, to develop, acquire or in-license other potential product candidates and to fund operations for the foreseeable future. We will continue to seek funds through equity offerings, debt financings or other capital sources, including potential collaborations, licenses and other similar arrangements. However, we may be unable to raise additional funds or enter into such other arrangements when needed on favorable terms or at all. If we do raise additional capital through public or private equity offerings, the ownership interest of our existing stockholders will be diluted, and the terms of these securities may include liquidation or other preferences that adversely affect our stockholders’ rights. If we raise additional capital through debt financing, we may be subject to covenants limiting or restricting our ability to take specific actions, such as incurring additional debt, making capital expenditures or declaring dividends. Any failure to raise capital as and when needed could have a negative impact on our financial condition and on our ability to pursue our business plans and strategies. If we are unable to raise capital, we will need to delay, reduce or terminate planned activities to reduce costs.</w:t>
      </w:r>
    </w:p>
    <w:p>
      <w:pPr>
        <w:spacing w:after="0" w:line="72" w:lineRule="exact"/>
        <w:rPr>
          <w:sz w:val="20"/>
          <w:szCs w:val="20"/>
          <w:color w:val="auto"/>
        </w:rPr>
      </w:pPr>
    </w:p>
    <w:p>
      <w:pPr>
        <w:ind w:right="80"/>
        <w:spacing w:after="0" w:line="253" w:lineRule="auto"/>
        <w:rPr>
          <w:sz w:val="20"/>
          <w:szCs w:val="20"/>
          <w:color w:val="auto"/>
        </w:rPr>
      </w:pPr>
      <w:r>
        <w:rPr>
          <w:rFonts w:ascii="Arial" w:cs="Arial" w:eastAsia="Arial" w:hAnsi="Arial"/>
          <w:sz w:val="18"/>
          <w:szCs w:val="18"/>
          <w:color w:val="auto"/>
        </w:rPr>
        <w:t>Because of the numerous risks and uncertainties associated with research, development and commercialization of pharmaceutical products, we are unable to estimate the exact amount of our operating capital requirements. Our future funding requirements will depend on many factors, including, but not limited to:</w:t>
      </w:r>
    </w:p>
    <w:p>
      <w:pPr>
        <w:spacing w:after="0" w:line="61" w:lineRule="exact"/>
        <w:rPr>
          <w:sz w:val="20"/>
          <w:szCs w:val="20"/>
          <w:color w:val="auto"/>
        </w:rPr>
      </w:pPr>
    </w:p>
    <w:p>
      <w:pPr>
        <w:ind w:left="260" w:right="40" w:hanging="252"/>
        <w:spacing w:after="0" w:line="270" w:lineRule="auto"/>
        <w:tabs>
          <w:tab w:leader="none" w:pos="260" w:val="left"/>
        </w:tabs>
        <w:numPr>
          <w:ilvl w:val="0"/>
          <w:numId w:val="10"/>
        </w:numPr>
        <w:rPr>
          <w:rFonts w:ascii="Times New Roman" w:cs="Times New Roman" w:eastAsia="Times New Roman" w:hAnsi="Times New Roman"/>
          <w:sz w:val="18"/>
          <w:szCs w:val="18"/>
          <w:color w:val="auto"/>
        </w:rPr>
      </w:pPr>
      <w:r>
        <w:rPr>
          <w:rFonts w:ascii="Arial" w:cs="Arial" w:eastAsia="Arial" w:hAnsi="Arial"/>
          <w:sz w:val="18"/>
          <w:szCs w:val="18"/>
          <w:color w:val="auto"/>
        </w:rPr>
        <w:t>the scope, progress, results and costs of researching, developing and manufacturing our current product candidates or any future product candidates, and conducting preclinical studies and clinical trials;</w:t>
      </w:r>
    </w:p>
    <w:p>
      <w:pPr>
        <w:spacing w:after="0" w:line="46" w:lineRule="exact"/>
        <w:rPr>
          <w:rFonts w:ascii="Times New Roman" w:cs="Times New Roman" w:eastAsia="Times New Roman" w:hAnsi="Times New Roman"/>
          <w:sz w:val="18"/>
          <w:szCs w:val="18"/>
          <w:color w:val="auto"/>
        </w:rPr>
      </w:pPr>
    </w:p>
    <w:p>
      <w:pPr>
        <w:ind w:left="260" w:right="40" w:hanging="252"/>
        <w:spacing w:after="0" w:line="270" w:lineRule="auto"/>
        <w:tabs>
          <w:tab w:leader="none" w:pos="260" w:val="left"/>
        </w:tabs>
        <w:numPr>
          <w:ilvl w:val="0"/>
          <w:numId w:val="10"/>
        </w:numPr>
        <w:rPr>
          <w:rFonts w:ascii="Times New Roman" w:cs="Times New Roman" w:eastAsia="Times New Roman" w:hAnsi="Times New Roman"/>
          <w:sz w:val="18"/>
          <w:szCs w:val="18"/>
          <w:color w:val="auto"/>
        </w:rPr>
      </w:pPr>
      <w:r>
        <w:rPr>
          <w:rFonts w:ascii="Arial" w:cs="Arial" w:eastAsia="Arial" w:hAnsi="Arial"/>
          <w:sz w:val="18"/>
          <w:szCs w:val="18"/>
          <w:color w:val="auto"/>
        </w:rPr>
        <w:t>the timing of, and the costs involved in, obtaining regulatory approvals or clearances for our lead product candidates or any future product candidates;</w:t>
      </w:r>
    </w:p>
    <w:p>
      <w:pPr>
        <w:spacing w:after="0" w:line="46" w:lineRule="exact"/>
        <w:rPr>
          <w:rFonts w:ascii="Times New Roman" w:cs="Times New Roman" w:eastAsia="Times New Roman" w:hAnsi="Times New Roman"/>
          <w:sz w:val="18"/>
          <w:szCs w:val="18"/>
          <w:color w:val="auto"/>
        </w:rPr>
      </w:pPr>
    </w:p>
    <w:p>
      <w:pPr>
        <w:ind w:left="260" w:hanging="252"/>
        <w:spacing w:after="0"/>
        <w:tabs>
          <w:tab w:leader="none" w:pos="260" w:val="left"/>
        </w:tabs>
        <w:numPr>
          <w:ilvl w:val="0"/>
          <w:numId w:val="10"/>
        </w:numPr>
        <w:rPr>
          <w:rFonts w:ascii="Times New Roman" w:cs="Times New Roman" w:eastAsia="Times New Roman" w:hAnsi="Times New Roman"/>
          <w:sz w:val="18"/>
          <w:szCs w:val="18"/>
          <w:color w:val="auto"/>
        </w:rPr>
      </w:pPr>
      <w:r>
        <w:rPr>
          <w:rFonts w:ascii="Arial" w:cs="Arial" w:eastAsia="Arial" w:hAnsi="Arial"/>
          <w:sz w:val="18"/>
          <w:szCs w:val="18"/>
          <w:color w:val="auto"/>
        </w:rPr>
        <w:t>the number and characteristics of any additional product candidates we develop or acquire;</w:t>
      </w:r>
    </w:p>
    <w:p>
      <w:pPr>
        <w:spacing w:after="0" w:line="116" w:lineRule="exact"/>
        <w:rPr>
          <w:rFonts w:ascii="Times New Roman" w:cs="Times New Roman" w:eastAsia="Times New Roman" w:hAnsi="Times New Roman"/>
          <w:sz w:val="18"/>
          <w:szCs w:val="18"/>
          <w:color w:val="auto"/>
        </w:rPr>
      </w:pPr>
    </w:p>
    <w:p>
      <w:pPr>
        <w:ind w:left="260" w:right="160" w:hanging="252"/>
        <w:spacing w:after="0" w:line="270" w:lineRule="auto"/>
        <w:tabs>
          <w:tab w:leader="none" w:pos="260" w:val="left"/>
        </w:tabs>
        <w:numPr>
          <w:ilvl w:val="0"/>
          <w:numId w:val="10"/>
        </w:numPr>
        <w:rPr>
          <w:rFonts w:ascii="Times New Roman" w:cs="Times New Roman" w:eastAsia="Times New Roman" w:hAnsi="Times New Roman"/>
          <w:sz w:val="18"/>
          <w:szCs w:val="18"/>
          <w:color w:val="auto"/>
        </w:rPr>
      </w:pPr>
      <w:r>
        <w:rPr>
          <w:rFonts w:ascii="Arial" w:cs="Arial" w:eastAsia="Arial" w:hAnsi="Arial"/>
          <w:sz w:val="18"/>
          <w:szCs w:val="18"/>
          <w:color w:val="auto"/>
        </w:rPr>
        <w:t>the cost of manufacturing our lead product candidate or any future product candidates and any products we successfully commercialize, including costs associated with building-out our manufacturing capabilities;</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20" w:right="339" w:bottom="1440" w:gutter="0" w:footer="0" w:header="0"/>
        </w:sectPr>
      </w:pPr>
    </w:p>
    <w:bookmarkStart w:id="29" w:name="page30"/>
    <w:bookmarkEnd w:id="29"/>
    <w:p>
      <w:pPr>
        <w:ind w:left="260" w:right="820" w:hanging="252"/>
        <w:spacing w:after="0" w:line="270" w:lineRule="auto"/>
        <w:tabs>
          <w:tab w:leader="none" w:pos="260" w:val="left"/>
        </w:tabs>
        <w:numPr>
          <w:ilvl w:val="0"/>
          <w:numId w:val="11"/>
        </w:numPr>
        <w:rPr>
          <w:rFonts w:ascii="Times New Roman" w:cs="Times New Roman" w:eastAsia="Times New Roman" w:hAnsi="Times New Roman"/>
          <w:sz w:val="18"/>
          <w:szCs w:val="18"/>
          <w:color w:val="auto"/>
        </w:rPr>
      </w:pPr>
      <w:r>
        <w:rPr>
          <w:rFonts w:ascii="Arial" w:cs="Arial" w:eastAsia="Arial" w:hAnsi="Arial"/>
          <w:sz w:val="18"/>
          <w:szCs w:val="18"/>
          <w:color w:val="auto"/>
        </w:rPr>
        <w:t>our ability to establish and maintain strategic collaborations, licensing or other arrangements and the financial terms of any such agreements that we may enter into;</w:t>
      </w:r>
    </w:p>
    <w:p>
      <w:pPr>
        <w:spacing w:after="0" w:line="46" w:lineRule="exact"/>
        <w:rPr>
          <w:rFonts w:ascii="Times New Roman" w:cs="Times New Roman" w:eastAsia="Times New Roman" w:hAnsi="Times New Roman"/>
          <w:sz w:val="18"/>
          <w:szCs w:val="18"/>
          <w:color w:val="auto"/>
        </w:rPr>
      </w:pPr>
    </w:p>
    <w:p>
      <w:pPr>
        <w:ind w:left="260" w:hanging="252"/>
        <w:spacing w:after="0"/>
        <w:tabs>
          <w:tab w:leader="none" w:pos="260" w:val="left"/>
        </w:tabs>
        <w:numPr>
          <w:ilvl w:val="0"/>
          <w:numId w:val="11"/>
        </w:numPr>
        <w:rPr>
          <w:rFonts w:ascii="Times New Roman" w:cs="Times New Roman" w:eastAsia="Times New Roman" w:hAnsi="Times New Roman"/>
          <w:sz w:val="18"/>
          <w:szCs w:val="18"/>
          <w:color w:val="auto"/>
        </w:rPr>
      </w:pPr>
      <w:r>
        <w:rPr>
          <w:rFonts w:ascii="Arial" w:cs="Arial" w:eastAsia="Arial" w:hAnsi="Arial"/>
          <w:sz w:val="18"/>
          <w:szCs w:val="18"/>
          <w:color w:val="auto"/>
        </w:rPr>
        <w:t>the expenses needed to attract and retain skilled personnel;</w:t>
      </w:r>
    </w:p>
    <w:p>
      <w:pPr>
        <w:spacing w:after="0" w:line="116" w:lineRule="exact"/>
        <w:rPr>
          <w:rFonts w:ascii="Times New Roman" w:cs="Times New Roman" w:eastAsia="Times New Roman" w:hAnsi="Times New Roman"/>
          <w:sz w:val="18"/>
          <w:szCs w:val="18"/>
          <w:color w:val="auto"/>
        </w:rPr>
      </w:pPr>
    </w:p>
    <w:p>
      <w:pPr>
        <w:ind w:left="260" w:hanging="252"/>
        <w:spacing w:after="0"/>
        <w:tabs>
          <w:tab w:leader="none" w:pos="260" w:val="left"/>
        </w:tabs>
        <w:numPr>
          <w:ilvl w:val="0"/>
          <w:numId w:val="11"/>
        </w:numPr>
        <w:rPr>
          <w:rFonts w:ascii="Times New Roman" w:cs="Times New Roman" w:eastAsia="Times New Roman" w:hAnsi="Times New Roman"/>
          <w:sz w:val="18"/>
          <w:szCs w:val="18"/>
          <w:color w:val="auto"/>
        </w:rPr>
      </w:pPr>
      <w:r>
        <w:rPr>
          <w:rFonts w:ascii="Arial" w:cs="Arial" w:eastAsia="Arial" w:hAnsi="Arial"/>
          <w:sz w:val="18"/>
          <w:szCs w:val="18"/>
          <w:color w:val="auto"/>
        </w:rPr>
        <w:t>the costs associated with being a public company;</w:t>
      </w:r>
    </w:p>
    <w:p>
      <w:pPr>
        <w:spacing w:after="0" w:line="116" w:lineRule="exact"/>
        <w:rPr>
          <w:rFonts w:ascii="Times New Roman" w:cs="Times New Roman" w:eastAsia="Times New Roman" w:hAnsi="Times New Roman"/>
          <w:sz w:val="18"/>
          <w:szCs w:val="18"/>
          <w:color w:val="auto"/>
        </w:rPr>
      </w:pPr>
    </w:p>
    <w:p>
      <w:pPr>
        <w:ind w:left="260" w:hanging="252"/>
        <w:spacing w:after="0"/>
        <w:tabs>
          <w:tab w:leader="none" w:pos="260" w:val="left"/>
        </w:tabs>
        <w:numPr>
          <w:ilvl w:val="0"/>
          <w:numId w:val="11"/>
        </w:numPr>
        <w:rPr>
          <w:rFonts w:ascii="Times New Roman" w:cs="Times New Roman" w:eastAsia="Times New Roman" w:hAnsi="Times New Roman"/>
          <w:sz w:val="18"/>
          <w:szCs w:val="18"/>
          <w:color w:val="auto"/>
        </w:rPr>
      </w:pPr>
      <w:r>
        <w:rPr>
          <w:rFonts w:ascii="Arial" w:cs="Arial" w:eastAsia="Arial" w:hAnsi="Arial"/>
          <w:sz w:val="18"/>
          <w:szCs w:val="18"/>
          <w:color w:val="auto"/>
        </w:rPr>
        <w:t>the timing, receipt and amount of sales of any future approved or cleared products, if any; and</w:t>
      </w:r>
    </w:p>
    <w:p>
      <w:pPr>
        <w:spacing w:after="0" w:line="116" w:lineRule="exact"/>
        <w:rPr>
          <w:rFonts w:ascii="Times New Roman" w:cs="Times New Roman" w:eastAsia="Times New Roman" w:hAnsi="Times New Roman"/>
          <w:sz w:val="18"/>
          <w:szCs w:val="18"/>
          <w:color w:val="auto"/>
        </w:rPr>
      </w:pPr>
    </w:p>
    <w:p>
      <w:pPr>
        <w:ind w:left="260" w:hanging="252"/>
        <w:spacing w:after="0" w:line="270" w:lineRule="auto"/>
        <w:tabs>
          <w:tab w:leader="none" w:pos="260" w:val="left"/>
        </w:tabs>
        <w:numPr>
          <w:ilvl w:val="0"/>
          <w:numId w:val="11"/>
        </w:numPr>
        <w:rPr>
          <w:rFonts w:ascii="Times New Roman" w:cs="Times New Roman" w:eastAsia="Times New Roman" w:hAnsi="Times New Roman"/>
          <w:sz w:val="18"/>
          <w:szCs w:val="18"/>
          <w:color w:val="auto"/>
        </w:rPr>
      </w:pPr>
      <w:r>
        <w:rPr>
          <w:rFonts w:ascii="Arial" w:cs="Arial" w:eastAsia="Arial" w:hAnsi="Arial"/>
          <w:sz w:val="18"/>
          <w:szCs w:val="18"/>
          <w:color w:val="auto"/>
        </w:rPr>
        <w:t>the impact of global economic and political developments, future public health events and the corresponding responses of businesses and governments.</w:t>
      </w:r>
    </w:p>
    <w:p>
      <w:pPr>
        <w:spacing w:after="0" w:line="46" w:lineRule="exact"/>
        <w:rPr>
          <w:sz w:val="20"/>
          <w:szCs w:val="20"/>
          <w:color w:val="auto"/>
        </w:rPr>
      </w:pPr>
    </w:p>
    <w:p>
      <w:pPr>
        <w:ind w:right="140"/>
        <w:spacing w:after="0" w:line="244" w:lineRule="auto"/>
        <w:rPr>
          <w:sz w:val="20"/>
          <w:szCs w:val="20"/>
          <w:color w:val="auto"/>
        </w:rPr>
      </w:pPr>
      <w:r>
        <w:rPr>
          <w:rFonts w:ascii="Arial" w:cs="Arial" w:eastAsia="Arial" w:hAnsi="Arial"/>
          <w:sz w:val="18"/>
          <w:szCs w:val="18"/>
          <w:color w:val="auto"/>
        </w:rPr>
        <w:t>Further, our operating plans may change, and we may need additional funds to meet operational needs and capital requirements for clinical trials and other research and development activities. We currently have no credit facility or committed sources of capital. Because of the numerous risks and uncertainties associated with the development and commercialization of our product candidates, we are unable to estimate the amounts of increased capital outlays and operating expenditures associated with our current and anticipated product development programs.</w:t>
      </w:r>
    </w:p>
    <w:p>
      <w:pPr>
        <w:spacing w:after="0" w:line="16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Critical accounting policies and significant judgments and estimates</w:t>
      </w:r>
    </w:p>
    <w:p>
      <w:pPr>
        <w:spacing w:after="0" w:line="108" w:lineRule="exact"/>
        <w:rPr>
          <w:sz w:val="20"/>
          <w:szCs w:val="20"/>
          <w:color w:val="auto"/>
        </w:rPr>
      </w:pPr>
    </w:p>
    <w:p>
      <w:pPr>
        <w:ind w:right="60"/>
        <w:spacing w:after="0"/>
        <w:rPr>
          <w:sz w:val="20"/>
          <w:szCs w:val="20"/>
          <w:color w:val="auto"/>
        </w:rPr>
      </w:pPr>
      <w:r>
        <w:rPr>
          <w:rFonts w:ascii="Arial" w:cs="Arial" w:eastAsia="Arial" w:hAnsi="Arial"/>
          <w:sz w:val="18"/>
          <w:szCs w:val="18"/>
          <w:color w:val="auto"/>
        </w:rPr>
        <w:t>Our management's discussion and analysis of our financial condition and results of operations is based on our unaudited interim condensed consolidated financial statements, which have been prepared in accordance with U.S. generally accepted accounting principles, or GAAP. The preparation of these financial statements requires us to make estimates and assumptions that affect the reported amounts of assets and liabilities and the disclosure of contingent assets and liabilities at the date of the financial statements, as well as the reported expenses incurred during the reporting periods. Our estimates are based on our historical experience and on various other factors that we believe are reasonable under the circumstances, the results of which form the basis for making judgments about the carrying value of assets and liabilities that are not readily apparent from other sources. Actual results may differ from these estimates under different assumptions or conditions.</w:t>
      </w:r>
    </w:p>
    <w:p>
      <w:pPr>
        <w:spacing w:after="0" w:line="72" w:lineRule="exact"/>
        <w:rPr>
          <w:sz w:val="20"/>
          <w:szCs w:val="20"/>
          <w:color w:val="auto"/>
        </w:rPr>
      </w:pPr>
    </w:p>
    <w:p>
      <w:pPr>
        <w:ind w:right="100"/>
        <w:spacing w:after="0" w:line="271" w:lineRule="auto"/>
        <w:rPr>
          <w:sz w:val="20"/>
          <w:szCs w:val="20"/>
          <w:color w:val="auto"/>
        </w:rPr>
      </w:pPr>
      <w:r>
        <w:rPr>
          <w:rFonts w:ascii="Arial" w:cs="Arial" w:eastAsia="Arial" w:hAnsi="Arial"/>
          <w:sz w:val="18"/>
          <w:szCs w:val="18"/>
          <w:color w:val="auto"/>
        </w:rPr>
        <w:t>There have been no significant changes to our critical accounting policies from those described in “Part II, Item 7, Management’s Discussion and Analysis of Financial Condition and Results of Operations” included in our 2025 Annual Report.</w:t>
      </w:r>
    </w:p>
    <w:p>
      <w:pPr>
        <w:spacing w:after="0" w:line="46" w:lineRule="exact"/>
        <w:rPr>
          <w:sz w:val="20"/>
          <w:szCs w:val="20"/>
          <w:color w:val="auto"/>
        </w:rPr>
      </w:pPr>
    </w:p>
    <w:p>
      <w:pPr>
        <w:ind w:right="580"/>
        <w:spacing w:after="0" w:line="271" w:lineRule="auto"/>
        <w:rPr>
          <w:sz w:val="20"/>
          <w:szCs w:val="20"/>
          <w:color w:val="auto"/>
        </w:rPr>
      </w:pPr>
      <w:r>
        <w:rPr>
          <w:rFonts w:ascii="Arial" w:cs="Arial" w:eastAsia="Arial" w:hAnsi="Arial"/>
          <w:sz w:val="18"/>
          <w:szCs w:val="18"/>
          <w:color w:val="auto"/>
        </w:rPr>
        <w:t>For a complete discussion of our significant accounting policies and recent accounting pronouncements, see Note 2 to our condensed consolidated financial statements appearing elsewhere in this Quarterly Report and Note 2 to our 2025 Annual Report.</w:t>
      </w:r>
    </w:p>
    <w:p>
      <w:pPr>
        <w:spacing w:after="0" w:line="15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Recently issued and adopted accounting pronouncements</w:t>
      </w:r>
    </w:p>
    <w:p>
      <w:pPr>
        <w:spacing w:after="0" w:line="108" w:lineRule="exact"/>
        <w:rPr>
          <w:sz w:val="20"/>
          <w:szCs w:val="20"/>
          <w:color w:val="auto"/>
        </w:rPr>
      </w:pPr>
    </w:p>
    <w:p>
      <w:pPr>
        <w:ind w:right="600"/>
        <w:spacing w:after="0" w:line="271" w:lineRule="auto"/>
        <w:rPr>
          <w:sz w:val="20"/>
          <w:szCs w:val="20"/>
          <w:color w:val="auto"/>
        </w:rPr>
      </w:pPr>
      <w:r>
        <w:rPr>
          <w:rFonts w:ascii="Arial" w:cs="Arial" w:eastAsia="Arial" w:hAnsi="Arial"/>
          <w:sz w:val="18"/>
          <w:szCs w:val="18"/>
          <w:color w:val="auto"/>
        </w:rPr>
        <w:t>Refer to Note 2, “Summary of significant accounting policies,” in the accompanying notes to our and condensed consolidated financial statements appearing elsewhere in this Quarterly Report on Form 10-Q for a discussion of recent accounting pronouncements.</w:t>
      </w:r>
    </w:p>
    <w:p>
      <w:pPr>
        <w:spacing w:after="0" w:line="14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Contractual obligations and commitments</w:t>
      </w:r>
    </w:p>
    <w:p>
      <w:pPr>
        <w:spacing w:after="0" w:line="108" w:lineRule="exact"/>
        <w:rPr>
          <w:sz w:val="20"/>
          <w:szCs w:val="20"/>
          <w:color w:val="auto"/>
        </w:rPr>
      </w:pPr>
    </w:p>
    <w:p>
      <w:pPr>
        <w:jc w:val="both"/>
        <w:ind w:right="120"/>
        <w:spacing w:after="0" w:line="247" w:lineRule="auto"/>
        <w:rPr>
          <w:sz w:val="20"/>
          <w:szCs w:val="20"/>
          <w:color w:val="auto"/>
        </w:rPr>
      </w:pPr>
      <w:r>
        <w:rPr>
          <w:rFonts w:ascii="Arial" w:cs="Arial" w:eastAsia="Arial" w:hAnsi="Arial"/>
          <w:sz w:val="18"/>
          <w:szCs w:val="18"/>
          <w:color w:val="auto"/>
        </w:rPr>
        <w:t>During the three months ended March 31, 2026, there have been no material changes to our contractual obligations and commitments from those described under “Part II, Item 7, Management’s Discussion and Analysis of Financial Condition and Results of Operations” included in our Annual Report on Form 10-K for the year ended December 31, 2025, filed with the Securities and Exchange Commission on March 17, 2026.</w:t>
      </w:r>
    </w:p>
    <w:p>
      <w:pPr>
        <w:spacing w:after="0" w:line="16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Emerging growth and smaller reporting company status</w:t>
      </w:r>
    </w:p>
    <w:p>
      <w:pPr>
        <w:spacing w:after="0" w:line="310" w:lineRule="exact"/>
        <w:rPr>
          <w:sz w:val="20"/>
          <w:szCs w:val="20"/>
          <w:color w:val="auto"/>
        </w:rPr>
      </w:pPr>
    </w:p>
    <w:p>
      <w:pPr>
        <w:ind w:right="20"/>
        <w:spacing w:after="0" w:line="242" w:lineRule="auto"/>
        <w:rPr>
          <w:sz w:val="20"/>
          <w:szCs w:val="20"/>
          <w:color w:val="auto"/>
        </w:rPr>
      </w:pPr>
      <w:r>
        <w:rPr>
          <w:rFonts w:ascii="Arial" w:cs="Arial" w:eastAsia="Arial" w:hAnsi="Arial"/>
          <w:sz w:val="18"/>
          <w:szCs w:val="18"/>
          <w:color w:val="auto"/>
        </w:rPr>
        <w:t>In April 2012, the Jumpstart Our Business Startups Act of 2012, or the JOBS Act, was enacted. Section 107 of the JOBS Act provides that an “emerging growth company” may take advantage of the extended transition period provided in Section 7(a)(2)(B) of the Securities Act for complying with new or revised accounting standards. Therefore, an emerging growth company can delay the adoption of certain accounting standards until those standards would otherwise apply to private companies. We have elected to avail ourselves of this extended transition period and, as a result, we may adopt new or revised accounting standards on the relevant dates on which adoption of such standards is required for non-public companies instead of the dates required for other public companies. However, we may early adopt these standards.</w:t>
      </w:r>
    </w:p>
    <w:p>
      <w:pPr>
        <w:spacing w:after="0" w:line="2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20" w:right="339" w:bottom="1440" w:gutter="0" w:footer="0" w:header="0"/>
        </w:sectPr>
      </w:pPr>
    </w:p>
    <w:bookmarkStart w:id="30" w:name="page31"/>
    <w:bookmarkEnd w:id="30"/>
    <w:p>
      <w:pPr>
        <w:jc w:val="both"/>
        <w:ind w:right="100"/>
        <w:spacing w:after="0" w:line="247" w:lineRule="auto"/>
        <w:rPr>
          <w:sz w:val="20"/>
          <w:szCs w:val="20"/>
          <w:color w:val="auto"/>
        </w:rPr>
      </w:pPr>
      <w:r>
        <w:rPr>
          <w:rFonts w:ascii="Arial" w:cs="Arial" w:eastAsia="Arial" w:hAnsi="Arial"/>
          <w:sz w:val="18"/>
          <w:szCs w:val="18"/>
          <w:color w:val="auto"/>
        </w:rPr>
        <w:t>We will cease to be an emerging growth company on the date that is the earliest of (i) the last day of the fiscal year in which we have total annual gross revenues of $ 1.235 billion or more, (ii) the last day of our fiscal year following the fifth anniversary of the date of the closing of our initial public offering, or our IPO, (iii) the date on which we have issued more than $1.0 billion in nonconvertible debt during the previous three years or (iv) the date on which we are deemed to be a large, accelerated filer under the rules of the SEC.</w:t>
      </w:r>
    </w:p>
    <w:p>
      <w:pPr>
        <w:spacing w:after="0" w:line="66" w:lineRule="exact"/>
        <w:rPr>
          <w:sz w:val="20"/>
          <w:szCs w:val="20"/>
          <w:color w:val="auto"/>
        </w:rPr>
      </w:pPr>
    </w:p>
    <w:p>
      <w:pPr>
        <w:spacing w:after="0" w:line="239" w:lineRule="auto"/>
        <w:rPr>
          <w:sz w:val="20"/>
          <w:szCs w:val="20"/>
          <w:color w:val="auto"/>
        </w:rPr>
      </w:pPr>
      <w:r>
        <w:rPr>
          <w:rFonts w:ascii="Arial" w:cs="Arial" w:eastAsia="Arial" w:hAnsi="Arial"/>
          <w:sz w:val="18"/>
          <w:szCs w:val="18"/>
          <w:color w:val="auto"/>
        </w:rPr>
        <w:t>We are also a “smaller reporting company,” meaning that the market value of our stock held by non-affiliates plus the aggregate amount of gross proceeds to us as a result of our IPO is less than $700 million and our annual revenue was less than $100 million during the most recently completed fiscal year. We may continue to be a smaller reporting company after our IPO if either (i) the market value of our stock held by non-affiliates is less than $250 million or (ii) our annual revenue was less than $ 100 million during the most recently completed fiscal year and the market value of our stock held by non-affiliates is less than $700 million. If we are a smaller reporting company at the time we cease to be an emerging growth company, we may continue to rely on exemptions from certain disclosure requirements that are available to smaller reporting companies. Specifically, as a smaller reporting company we may choose to present only the two most recent fiscal years of audited financial statements in our annual reports on Form 10-K and, similar to emerging growth companies, smaller reporting companies have reduced disclosure obligations regarding executive compensation.</w:t>
      </w:r>
    </w:p>
    <w:p>
      <w:pPr>
        <w:spacing w:after="0" w:line="29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120" w:right="399" w:bottom="1440" w:gutter="0" w:footer="0" w:header="0"/>
        </w:sectPr>
      </w:pPr>
    </w:p>
    <w:bookmarkStart w:id="31" w:name="page32"/>
    <w:bookmarkEnd w:id="31"/>
    <w:p>
      <w:pPr>
        <w:spacing w:after="0"/>
        <w:rPr>
          <w:sz w:val="20"/>
          <w:szCs w:val="20"/>
          <w:color w:val="auto"/>
        </w:rPr>
      </w:pPr>
      <w:r>
        <w:rPr>
          <w:rFonts w:ascii="Arial" w:cs="Arial" w:eastAsia="Arial" w:hAnsi="Arial"/>
          <w:sz w:val="32"/>
          <w:szCs w:val="32"/>
          <w:b w:val="1"/>
          <w:bCs w:val="1"/>
          <w:color w:val="auto"/>
        </w:rPr>
        <w:t>Item 3. Quantitative and qualitative disclosures about market risk</w:t>
      </w:r>
    </w:p>
    <w:p>
      <w:pPr>
        <w:spacing w:after="0" w:line="129" w:lineRule="exact"/>
        <w:rPr>
          <w:sz w:val="20"/>
          <w:szCs w:val="20"/>
          <w:color w:val="auto"/>
        </w:rPr>
      </w:pPr>
    </w:p>
    <w:p>
      <w:pPr>
        <w:ind w:right="160"/>
        <w:spacing w:after="0" w:line="271" w:lineRule="auto"/>
        <w:rPr>
          <w:sz w:val="20"/>
          <w:szCs w:val="20"/>
          <w:color w:val="auto"/>
        </w:rPr>
      </w:pPr>
      <w:r>
        <w:rPr>
          <w:rFonts w:ascii="Arial" w:cs="Arial" w:eastAsia="Arial" w:hAnsi="Arial"/>
          <w:sz w:val="18"/>
          <w:szCs w:val="18"/>
          <w:color w:val="auto"/>
        </w:rPr>
        <w:t>We are a smaller reporting company as defined by Rule 12b-2 of the Exchange Act and are not required to provide the information required under this Item 3.</w:t>
      </w:r>
    </w:p>
    <w:p>
      <w:pPr>
        <w:spacing w:after="0" w:line="142" w:lineRule="exact"/>
        <w:rPr>
          <w:sz w:val="20"/>
          <w:szCs w:val="20"/>
          <w:color w:val="auto"/>
        </w:rPr>
      </w:pPr>
    </w:p>
    <w:p>
      <w:pPr>
        <w:spacing w:after="0"/>
        <w:rPr>
          <w:sz w:val="20"/>
          <w:szCs w:val="20"/>
          <w:color w:val="auto"/>
        </w:rPr>
      </w:pPr>
      <w:r>
        <w:rPr>
          <w:rFonts w:ascii="Arial" w:cs="Arial" w:eastAsia="Arial" w:hAnsi="Arial"/>
          <w:sz w:val="32"/>
          <w:szCs w:val="32"/>
          <w:b w:val="1"/>
          <w:bCs w:val="1"/>
          <w:color w:val="auto"/>
        </w:rPr>
        <w:t>Item 4. Controls and procedures</w:t>
      </w:r>
    </w:p>
    <w:p>
      <w:pPr>
        <w:spacing w:after="0" w:line="12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Evaluation of Disclosure Controls and Procedures</w:t>
      </w:r>
    </w:p>
    <w:p>
      <w:pPr>
        <w:spacing w:after="0" w:line="108" w:lineRule="exact"/>
        <w:rPr>
          <w:sz w:val="20"/>
          <w:szCs w:val="20"/>
          <w:color w:val="auto"/>
        </w:rPr>
      </w:pPr>
    </w:p>
    <w:p>
      <w:pPr>
        <w:ind w:right="60"/>
        <w:spacing w:after="0" w:line="239" w:lineRule="auto"/>
        <w:rPr>
          <w:sz w:val="20"/>
          <w:szCs w:val="20"/>
          <w:color w:val="auto"/>
        </w:rPr>
      </w:pPr>
      <w:r>
        <w:rPr>
          <w:rFonts w:ascii="Arial" w:cs="Arial" w:eastAsia="Arial" w:hAnsi="Arial"/>
          <w:sz w:val="18"/>
          <w:szCs w:val="18"/>
          <w:color w:val="auto"/>
        </w:rPr>
        <w:t>Our management, with the participation of our principal executive officer and our principal financial officer, has evaluated the effectiveness of our disclosure controls and procedures as defined in Rules 13a-15(e) and 15d-15(e) under the Securities Exchange Act of 1934, as amended, or the Exchange Act, as of March 31, 2026. The term “disclosure controls and procedures,” as defined in the Exchange Act, means controls and other procedures of a company that are designed to ensure that information required to be disclosed by a company in the reports that it files or submits under the Exchange Act is recorded, processed, summarized and reported, within the time periods specified in the SEC’s rules and forms. Disclosure controls and procedures include, without limitation, controls and procedures designed to ensure that information required to be disclosed by a company in the reports that it files or submits under the Exchange Act is accumulated and communicated to the company’s management, including its principal executive and principal financial officers, or persons performing similar functions, as appropriate to allow timely decisions regarding required disclosure.</w:t>
      </w:r>
    </w:p>
    <w:p>
      <w:pPr>
        <w:spacing w:after="0" w:line="75" w:lineRule="exact"/>
        <w:rPr>
          <w:sz w:val="20"/>
          <w:szCs w:val="20"/>
          <w:color w:val="auto"/>
        </w:rPr>
      </w:pPr>
    </w:p>
    <w:p>
      <w:pPr>
        <w:spacing w:after="0" w:line="271" w:lineRule="auto"/>
        <w:rPr>
          <w:sz w:val="20"/>
          <w:szCs w:val="20"/>
          <w:color w:val="auto"/>
        </w:rPr>
      </w:pPr>
      <w:r>
        <w:rPr>
          <w:rFonts w:ascii="Arial" w:cs="Arial" w:eastAsia="Arial" w:hAnsi="Arial"/>
          <w:sz w:val="18"/>
          <w:szCs w:val="18"/>
          <w:color w:val="auto"/>
        </w:rPr>
        <w:t>Based on the evaluation of our disclosure controls and procedures as of March 31, 2026, our principal executive officer and principal financial officer concluded that our disclosure controls and procedures as of such date are effective at the reasonable assurance level.</w:t>
      </w:r>
    </w:p>
    <w:p>
      <w:pPr>
        <w:spacing w:after="0" w:line="3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Changes in Internal Control over Financial Reporting</w:t>
      </w:r>
    </w:p>
    <w:p>
      <w:pPr>
        <w:spacing w:after="0" w:line="108" w:lineRule="exact"/>
        <w:rPr>
          <w:sz w:val="20"/>
          <w:szCs w:val="20"/>
          <w:color w:val="auto"/>
        </w:rPr>
      </w:pPr>
    </w:p>
    <w:p>
      <w:pPr>
        <w:ind w:right="160"/>
        <w:spacing w:after="0" w:line="253" w:lineRule="auto"/>
        <w:rPr>
          <w:sz w:val="20"/>
          <w:szCs w:val="20"/>
          <w:color w:val="auto"/>
        </w:rPr>
      </w:pPr>
      <w:r>
        <w:rPr>
          <w:rFonts w:ascii="Arial" w:cs="Arial" w:eastAsia="Arial" w:hAnsi="Arial"/>
          <w:sz w:val="18"/>
          <w:szCs w:val="18"/>
          <w:color w:val="auto"/>
        </w:rPr>
        <w:t>There were no changes in our internal control over financial reporting (as defined in Rules 13a-15(f) and 15d-15(f) under the Exchange Act) during three months ended March 31, 2026 that materially affected, or were reasonably likely to materially affect, our internal control over financial reporting.</w:t>
      </w:r>
    </w:p>
    <w:p>
      <w:pPr>
        <w:spacing w:after="0" w:line="15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Inherent Limitations on Effectiveness of Controls</w:t>
      </w:r>
    </w:p>
    <w:p>
      <w:pPr>
        <w:spacing w:after="0" w:line="108" w:lineRule="exact"/>
        <w:rPr>
          <w:sz w:val="20"/>
          <w:szCs w:val="20"/>
          <w:color w:val="auto"/>
        </w:rPr>
      </w:pPr>
    </w:p>
    <w:p>
      <w:pPr>
        <w:ind w:right="60"/>
        <w:spacing w:after="0" w:line="244" w:lineRule="auto"/>
        <w:rPr>
          <w:sz w:val="20"/>
          <w:szCs w:val="20"/>
          <w:color w:val="auto"/>
        </w:rPr>
      </w:pPr>
      <w:r>
        <w:rPr>
          <w:rFonts w:ascii="Arial" w:cs="Arial" w:eastAsia="Arial" w:hAnsi="Arial"/>
          <w:sz w:val="18"/>
          <w:szCs w:val="18"/>
          <w:color w:val="auto"/>
        </w:rPr>
        <w:t>Our disclosure controls and procedures and internal control over financial reporting are designed to provide reasonable assurance of achieving the desired control objectives. Our management recognizes that any control system, no matter how well designed and operated, is based upon certain judgments and assumptions and cannot provide absolute assurance that its objectives will be met. Similarly, an evaluation of controls cannot provide absolute assurance that misstatements due to error or fraud will not occur or that all control issues and instances of fraud, if any, have been detected.</w:t>
      </w:r>
    </w:p>
    <w:p>
      <w:pPr>
        <w:spacing w:after="0" w:line="200" w:lineRule="exact"/>
        <w:rPr>
          <w:sz w:val="20"/>
          <w:szCs w:val="20"/>
          <w:color w:val="auto"/>
        </w:rPr>
      </w:pPr>
    </w:p>
    <w:p>
      <w:pPr>
        <w:spacing w:after="0" w:line="3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6" w:right="339" w:bottom="1440" w:gutter="0" w:footer="0" w:header="0"/>
        </w:sectPr>
      </w:pPr>
    </w:p>
    <w:bookmarkStart w:id="32" w:name="page33"/>
    <w:bookmarkEnd w:id="32"/>
    <w:p>
      <w:pPr>
        <w:ind w:right="3560" w:firstLine="3593"/>
        <w:spacing w:after="0" w:line="355" w:lineRule="auto"/>
        <w:rPr>
          <w:sz w:val="20"/>
          <w:szCs w:val="20"/>
          <w:color w:val="auto"/>
        </w:rPr>
      </w:pPr>
      <w:r>
        <w:rPr>
          <w:rFonts w:ascii="Arial" w:cs="Arial" w:eastAsia="Arial" w:hAnsi="Arial"/>
          <w:sz w:val="32"/>
          <w:szCs w:val="32"/>
          <w:b w:val="1"/>
          <w:bCs w:val="1"/>
          <w:color w:val="auto"/>
        </w:rPr>
        <w:t>Part II ─ Other Information Item 1. Legal proceedings</w:t>
      </w:r>
    </w:p>
    <w:p>
      <w:pPr>
        <w:spacing w:after="0" w:line="3" w:lineRule="exact"/>
        <w:rPr>
          <w:sz w:val="20"/>
          <w:szCs w:val="20"/>
          <w:color w:val="auto"/>
        </w:rPr>
      </w:pPr>
    </w:p>
    <w:p>
      <w:pPr>
        <w:ind w:right="380"/>
        <w:spacing w:after="0" w:line="244" w:lineRule="auto"/>
        <w:rPr>
          <w:sz w:val="20"/>
          <w:szCs w:val="20"/>
          <w:color w:val="auto"/>
        </w:rPr>
      </w:pPr>
      <w:r>
        <w:rPr>
          <w:rFonts w:ascii="Arial" w:cs="Arial" w:eastAsia="Arial" w:hAnsi="Arial"/>
          <w:sz w:val="18"/>
          <w:szCs w:val="18"/>
          <w:color w:val="auto"/>
        </w:rPr>
        <w:t>From time to time, we may become subject to various legal proceedings and claims that arise in the ordinary course of our business activities. Although the results of litigation and claims cannot be predicted with certainty, as of March 31, 2026, we do not believe we are party to any claim or litigation the outcome of which, if determined adversely to us, would individually or in the aggregate be reasonably expected to have a material adverse effect on our business. Regardless of the outcome, litigation can have an adverse impact on us because of defense and settlement costs, diversion of management resources and other factors.</w:t>
      </w:r>
    </w:p>
    <w:p>
      <w:pPr>
        <w:spacing w:after="0" w:line="165" w:lineRule="exact"/>
        <w:rPr>
          <w:sz w:val="20"/>
          <w:szCs w:val="20"/>
          <w:color w:val="auto"/>
        </w:rPr>
      </w:pPr>
    </w:p>
    <w:p>
      <w:pPr>
        <w:spacing w:after="0"/>
        <w:rPr>
          <w:sz w:val="20"/>
          <w:szCs w:val="20"/>
          <w:color w:val="auto"/>
        </w:rPr>
      </w:pPr>
      <w:r>
        <w:rPr>
          <w:rFonts w:ascii="Arial" w:cs="Arial" w:eastAsia="Arial" w:hAnsi="Arial"/>
          <w:sz w:val="32"/>
          <w:szCs w:val="32"/>
          <w:b w:val="1"/>
          <w:bCs w:val="1"/>
          <w:color w:val="auto"/>
        </w:rPr>
        <w:t>Item 1A. Risk factors</w:t>
      </w:r>
    </w:p>
    <w:p>
      <w:pPr>
        <w:spacing w:after="0" w:line="39" w:lineRule="exact"/>
        <w:rPr>
          <w:sz w:val="20"/>
          <w:szCs w:val="20"/>
          <w:color w:val="auto"/>
        </w:rPr>
      </w:pPr>
    </w:p>
    <w:p>
      <w:pPr>
        <w:spacing w:after="0" w:line="237" w:lineRule="auto"/>
        <w:rPr>
          <w:sz w:val="20"/>
          <w:szCs w:val="20"/>
          <w:color w:val="auto"/>
        </w:rPr>
      </w:pPr>
      <w:r>
        <w:rPr>
          <w:rFonts w:ascii="Arial" w:cs="Arial" w:eastAsia="Arial" w:hAnsi="Arial"/>
          <w:sz w:val="18"/>
          <w:szCs w:val="18"/>
          <w:i w:val="1"/>
          <w:iCs w:val="1"/>
          <w:color w:val="auto"/>
        </w:rPr>
        <w:t>Investing in our common stock involves a high degree of risk. You should carefully consider the following risks and uncertainties, those risks and uncertainties discussed in “Part I, Item 1A, Risk Factors” in our 2025 Annual Report, as amended and supplemented by the information in our subsequent Quarterly Reports on Form 10-Q, together with all of the other information contained in this Quarterly Report, including our unaudited condensed consolidated financial statements and the related notes appearing elsewhere in this Quarterly Report. The risk factor disclosure in our 2025 Annual Report and subsequent Quarterly Reports on Form 10-Q is qualified by the information that is described in this Quarterly Report. If any of the risks described below or in our 2025 Annual Report actually occur, our business, prospects, operating results and financial condition could suffer materially. In such event, the trading price of our common stock could decline and you might lose all or part of your investment.</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than as set forth below, there have been no material changes to the risk factors set forth in our 2025 Annual Report.</w:t>
      </w:r>
    </w:p>
    <w:p>
      <w:pPr>
        <w:spacing w:after="0" w:line="104" w:lineRule="exact"/>
        <w:rPr>
          <w:sz w:val="20"/>
          <w:szCs w:val="20"/>
          <w:color w:val="auto"/>
        </w:rPr>
      </w:pPr>
    </w:p>
    <w:p>
      <w:pPr>
        <w:ind w:right="680"/>
        <w:spacing w:after="0" w:line="278" w:lineRule="auto"/>
        <w:rPr>
          <w:sz w:val="20"/>
          <w:szCs w:val="20"/>
          <w:color w:val="auto"/>
        </w:rPr>
      </w:pPr>
      <w:r>
        <w:rPr>
          <w:rFonts w:ascii="Arial" w:cs="Arial" w:eastAsia="Arial" w:hAnsi="Arial"/>
          <w:sz w:val="18"/>
          <w:szCs w:val="18"/>
          <w:b w:val="1"/>
          <w:bCs w:val="1"/>
          <w:i w:val="1"/>
          <w:iCs w:val="1"/>
          <w:color w:val="auto"/>
        </w:rPr>
        <w:t>We have incurred significant operating losses since our inception and anticipate that we will incur continued losses for the foreseeable future.</w:t>
      </w:r>
    </w:p>
    <w:p>
      <w:pPr>
        <w:spacing w:after="0" w:line="37" w:lineRule="exact"/>
        <w:rPr>
          <w:sz w:val="20"/>
          <w:szCs w:val="20"/>
          <w:color w:val="auto"/>
        </w:rPr>
      </w:pPr>
    </w:p>
    <w:p>
      <w:pPr>
        <w:ind w:right="60"/>
        <w:spacing w:after="0" w:line="232" w:lineRule="auto"/>
        <w:rPr>
          <w:sz w:val="20"/>
          <w:szCs w:val="20"/>
          <w:color w:val="auto"/>
        </w:rPr>
      </w:pPr>
      <w:r>
        <w:rPr>
          <w:rFonts w:ascii="Arial" w:cs="Arial" w:eastAsia="Arial" w:hAnsi="Arial"/>
          <w:sz w:val="18"/>
          <w:szCs w:val="18"/>
          <w:color w:val="auto"/>
        </w:rPr>
        <w:t>Since our inception, we have focused substantially all of our efforts and financial resources on developing our proprietary QuEEN</w:t>
      </w:r>
      <w:r>
        <w:rPr>
          <w:rFonts w:ascii="Arial" w:cs="Arial" w:eastAsia="Arial" w:hAnsi="Arial"/>
          <w:sz w:val="24"/>
          <w:szCs w:val="24"/>
          <w:color w:val="auto"/>
          <w:vertAlign w:val="superscript"/>
        </w:rPr>
        <w:t>TM</w:t>
      </w:r>
      <w:r>
        <w:rPr>
          <w:rFonts w:ascii="Arial" w:cs="Arial" w:eastAsia="Arial" w:hAnsi="Arial"/>
          <w:sz w:val="18"/>
          <w:szCs w:val="18"/>
          <w:color w:val="auto"/>
        </w:rPr>
        <w:t xml:space="preserve"> discovery engine, our proprietary MGD library and our initial pipeline of product candidates. To date, we have financed our operations primarily through the issuance and sale of convertible promissory notes, and our convertible preferred stock to outside investors in private equity financings, public offerings of our common stock or warrants to purchase common stock, registered direct offerings, and our collaboration agreements with Roche and Novartis. From our inception through the date hereof, we raised an aggregate of $1.3 billion of gross proceeds from such transactions. As of March 31, 2026, our cash, cash equivalents, restricted cash and marketable securities were $671.2 million. We have incurred net losses in each year since our inception, and we had an accumulated deficit of $521.7 million as of March 31, 2026. For the three months ended March 31, 2026, we reported a net loss of $44.5 million. For the year ended December 31, 2025, we reported a net losses of $38.6 million. Substantially all of our operating losses have resulted from costs incurred in connection with our research and initial pipeline programs and from general and administrative costs associated with our operations. We expect to continue to incur significant expenses and increasing operating losses over the next several years and for the foreseeable future. Our prior losses, combined with expected future losses, have had and will continue to have an adverse effect on our stockholders’ deficit and working capital. We expect our expenses to significantly increase in connection with our ongoing activities, as we:</w:t>
      </w:r>
    </w:p>
    <w:p>
      <w:pPr>
        <w:spacing w:after="0" w:line="80" w:lineRule="exact"/>
        <w:rPr>
          <w:sz w:val="20"/>
          <w:szCs w:val="20"/>
          <w:color w:val="auto"/>
        </w:rPr>
      </w:pPr>
    </w:p>
    <w:p>
      <w:pPr>
        <w:ind w:left="520" w:hanging="512"/>
        <w:spacing w:after="0"/>
        <w:tabs>
          <w:tab w:leader="none" w:pos="520" w:val="left"/>
        </w:tabs>
        <w:numPr>
          <w:ilvl w:val="0"/>
          <w:numId w:val="12"/>
        </w:numPr>
        <w:rPr>
          <w:rFonts w:ascii="Times New Roman" w:cs="Times New Roman" w:eastAsia="Times New Roman" w:hAnsi="Times New Roman"/>
          <w:sz w:val="18"/>
          <w:szCs w:val="18"/>
          <w:color w:val="auto"/>
        </w:rPr>
      </w:pPr>
      <w:r>
        <w:rPr>
          <w:rFonts w:ascii="Arial" w:cs="Arial" w:eastAsia="Arial" w:hAnsi="Arial"/>
          <w:sz w:val="18"/>
          <w:szCs w:val="18"/>
          <w:color w:val="auto"/>
        </w:rPr>
        <w:t>conduct our clinical trial for MRT-2359, our MGD product candidate targeting GSPT1;</w:t>
      </w:r>
    </w:p>
    <w:p>
      <w:pPr>
        <w:spacing w:after="0" w:line="116" w:lineRule="exact"/>
        <w:rPr>
          <w:rFonts w:ascii="Times New Roman" w:cs="Times New Roman" w:eastAsia="Times New Roman" w:hAnsi="Times New Roman"/>
          <w:sz w:val="18"/>
          <w:szCs w:val="18"/>
          <w:color w:val="auto"/>
        </w:rPr>
      </w:pPr>
    </w:p>
    <w:p>
      <w:pPr>
        <w:ind w:left="520" w:right="80" w:hanging="512"/>
        <w:spacing w:after="0" w:line="270" w:lineRule="auto"/>
        <w:tabs>
          <w:tab w:leader="none" w:pos="520" w:val="left"/>
        </w:tabs>
        <w:numPr>
          <w:ilvl w:val="0"/>
          <w:numId w:val="12"/>
        </w:numPr>
        <w:rPr>
          <w:rFonts w:ascii="Times New Roman" w:cs="Times New Roman" w:eastAsia="Times New Roman" w:hAnsi="Times New Roman"/>
          <w:sz w:val="18"/>
          <w:szCs w:val="18"/>
          <w:color w:val="auto"/>
        </w:rPr>
      </w:pPr>
      <w:r>
        <w:rPr>
          <w:rFonts w:ascii="Arial" w:cs="Arial" w:eastAsia="Arial" w:hAnsi="Arial"/>
          <w:sz w:val="18"/>
          <w:szCs w:val="18"/>
          <w:color w:val="auto"/>
        </w:rPr>
        <w:t>finalize our Phase 1 clinical trial for MRT-8102, our NEK7-directed MGD being developed for the treatment of inflammatory conditions driven by the NLRP3 inflammasome, IL-1β, and IL-6;</w:t>
      </w:r>
    </w:p>
    <w:p>
      <w:pPr>
        <w:spacing w:after="0" w:line="46"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12"/>
        </w:numPr>
        <w:rPr>
          <w:rFonts w:ascii="Times New Roman" w:cs="Times New Roman" w:eastAsia="Times New Roman" w:hAnsi="Times New Roman"/>
          <w:sz w:val="18"/>
          <w:szCs w:val="18"/>
          <w:color w:val="auto"/>
        </w:rPr>
      </w:pPr>
      <w:r>
        <w:rPr>
          <w:rFonts w:ascii="Arial" w:cs="Arial" w:eastAsia="Arial" w:hAnsi="Arial"/>
          <w:sz w:val="18"/>
          <w:szCs w:val="18"/>
          <w:color w:val="auto"/>
        </w:rPr>
        <w:t>continue preclinical activities for CCNE1 and for CDK2 and other currently undisclosed programs;</w:t>
      </w:r>
    </w:p>
    <w:p>
      <w:pPr>
        <w:spacing w:after="0" w:line="116"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12"/>
        </w:numPr>
        <w:rPr>
          <w:rFonts w:ascii="Times New Roman" w:cs="Times New Roman" w:eastAsia="Times New Roman" w:hAnsi="Times New Roman"/>
          <w:sz w:val="18"/>
          <w:szCs w:val="18"/>
          <w:color w:val="auto"/>
        </w:rPr>
      </w:pPr>
      <w:r>
        <w:rPr>
          <w:rFonts w:ascii="Arial" w:cs="Arial" w:eastAsia="Arial" w:hAnsi="Arial"/>
          <w:sz w:val="18"/>
          <w:szCs w:val="18"/>
          <w:color w:val="auto"/>
        </w:rPr>
        <w:t>prepare and submit IND applications with the FDA for other current and future product candidates;</w:t>
      </w:r>
    </w:p>
    <w:p>
      <w:pPr>
        <w:spacing w:after="0" w:line="116"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12"/>
        </w:numPr>
        <w:rPr>
          <w:rFonts w:ascii="Times New Roman" w:cs="Times New Roman" w:eastAsia="Times New Roman" w:hAnsi="Times New Roman"/>
          <w:sz w:val="18"/>
          <w:szCs w:val="18"/>
          <w:color w:val="auto"/>
        </w:rPr>
      </w:pPr>
      <w:r>
        <w:rPr>
          <w:rFonts w:ascii="Arial" w:cs="Arial" w:eastAsia="Arial" w:hAnsi="Arial"/>
          <w:sz w:val="18"/>
          <w:szCs w:val="18"/>
          <w:color w:val="auto"/>
        </w:rPr>
        <w:t>complete preclinical studies for current or future product candidates;</w:t>
      </w:r>
    </w:p>
    <w:p>
      <w:pPr>
        <w:spacing w:after="0" w:line="116" w:lineRule="exact"/>
        <w:rPr>
          <w:rFonts w:ascii="Times New Roman" w:cs="Times New Roman" w:eastAsia="Times New Roman" w:hAnsi="Times New Roman"/>
          <w:sz w:val="18"/>
          <w:szCs w:val="18"/>
          <w:color w:val="auto"/>
        </w:rPr>
      </w:pPr>
    </w:p>
    <w:p>
      <w:pPr>
        <w:ind w:left="520" w:right="40" w:hanging="512"/>
        <w:spacing w:after="0" w:line="270" w:lineRule="auto"/>
        <w:tabs>
          <w:tab w:leader="none" w:pos="520" w:val="left"/>
        </w:tabs>
        <w:numPr>
          <w:ilvl w:val="0"/>
          <w:numId w:val="12"/>
        </w:numPr>
        <w:rPr>
          <w:rFonts w:ascii="Times New Roman" w:cs="Times New Roman" w:eastAsia="Times New Roman" w:hAnsi="Times New Roman"/>
          <w:sz w:val="18"/>
          <w:szCs w:val="18"/>
          <w:color w:val="auto"/>
        </w:rPr>
      </w:pPr>
      <w:r>
        <w:rPr>
          <w:rFonts w:ascii="Arial" w:cs="Arial" w:eastAsia="Arial" w:hAnsi="Arial"/>
          <w:sz w:val="18"/>
          <w:szCs w:val="18"/>
          <w:color w:val="auto"/>
        </w:rPr>
        <w:t>progress MGD molecules from our initial programs through lead optimization to development candidates and multiple areas of interest and indications;</w:t>
      </w:r>
    </w:p>
    <w:p>
      <w:pPr>
        <w:spacing w:after="0" w:line="46"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12"/>
        </w:numPr>
        <w:rPr>
          <w:rFonts w:ascii="Times New Roman" w:cs="Times New Roman" w:eastAsia="Times New Roman" w:hAnsi="Times New Roman"/>
          <w:sz w:val="18"/>
          <w:szCs w:val="18"/>
          <w:color w:val="auto"/>
        </w:rPr>
      </w:pPr>
      <w:r>
        <w:rPr>
          <w:rFonts w:ascii="Arial" w:cs="Arial" w:eastAsia="Arial" w:hAnsi="Arial"/>
          <w:sz w:val="18"/>
          <w:szCs w:val="18"/>
          <w:color w:val="auto"/>
        </w:rPr>
        <w:t>initiate and complete clinical trials for current or future product candidates;</w:t>
      </w:r>
    </w:p>
    <w:p>
      <w:pPr>
        <w:spacing w:after="0" w:line="121"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12"/>
        </w:numPr>
        <w:rPr>
          <w:rFonts w:ascii="Times New Roman" w:cs="Times New Roman" w:eastAsia="Times New Roman" w:hAnsi="Times New Roman"/>
          <w:sz w:val="18"/>
          <w:szCs w:val="18"/>
          <w:color w:val="auto"/>
        </w:rPr>
      </w:pPr>
      <w:r>
        <w:rPr>
          <w:rFonts w:ascii="Arial" w:cs="Arial" w:eastAsia="Arial" w:hAnsi="Arial"/>
          <w:sz w:val="18"/>
          <w:szCs w:val="18"/>
          <w:color w:val="auto"/>
        </w:rPr>
        <w:t>expand and improve the capabilities of our QuEEN</w:t>
      </w:r>
      <w:r>
        <w:rPr>
          <w:rFonts w:ascii="Arial" w:cs="Arial" w:eastAsia="Arial" w:hAnsi="Arial"/>
          <w:sz w:val="24"/>
          <w:szCs w:val="24"/>
          <w:color w:val="auto"/>
          <w:vertAlign w:val="superscript"/>
        </w:rPr>
        <w:t>TM</w:t>
      </w:r>
      <w:r>
        <w:rPr>
          <w:rFonts w:ascii="Arial" w:cs="Arial" w:eastAsia="Arial" w:hAnsi="Arial"/>
          <w:sz w:val="18"/>
          <w:szCs w:val="18"/>
          <w:color w:val="auto"/>
        </w:rPr>
        <w:t xml:space="preserve"> discovery engine;</w:t>
      </w:r>
    </w:p>
    <w:p>
      <w:pPr>
        <w:spacing w:after="0" w:line="69"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12"/>
        </w:numPr>
        <w:rPr>
          <w:rFonts w:ascii="Times New Roman" w:cs="Times New Roman" w:eastAsia="Times New Roman" w:hAnsi="Times New Roman"/>
          <w:sz w:val="18"/>
          <w:szCs w:val="18"/>
          <w:color w:val="auto"/>
        </w:rPr>
      </w:pPr>
      <w:r>
        <w:rPr>
          <w:rFonts w:ascii="Arial" w:cs="Arial" w:eastAsia="Arial" w:hAnsi="Arial"/>
          <w:sz w:val="18"/>
          <w:szCs w:val="18"/>
          <w:color w:val="auto"/>
        </w:rPr>
        <w:t>continue to build our proprietary library of MGDs;</w:t>
      </w:r>
    </w:p>
    <w:p>
      <w:pPr>
        <w:spacing w:after="0" w:line="22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000" w:right="379" w:bottom="1440" w:gutter="0" w:footer="0" w:header="0"/>
        </w:sectPr>
      </w:pPr>
    </w:p>
    <w:bookmarkStart w:id="33" w:name="page34"/>
    <w:bookmarkEnd w:id="33"/>
    <w:p>
      <w:pPr>
        <w:ind w:left="520" w:hanging="512"/>
        <w:spacing w:after="0"/>
        <w:tabs>
          <w:tab w:leader="none" w:pos="520" w:val="left"/>
        </w:tabs>
        <w:numPr>
          <w:ilvl w:val="0"/>
          <w:numId w:val="13"/>
        </w:numPr>
        <w:rPr>
          <w:rFonts w:ascii="Times New Roman" w:cs="Times New Roman" w:eastAsia="Times New Roman" w:hAnsi="Times New Roman"/>
          <w:sz w:val="18"/>
          <w:szCs w:val="18"/>
          <w:color w:val="auto"/>
        </w:rPr>
      </w:pPr>
      <w:r>
        <w:rPr>
          <w:rFonts w:ascii="Arial" w:cs="Arial" w:eastAsia="Arial" w:hAnsi="Arial"/>
          <w:sz w:val="18"/>
          <w:szCs w:val="18"/>
          <w:color w:val="auto"/>
        </w:rPr>
        <w:t>contract to manufacture our product candidates;</w:t>
      </w:r>
    </w:p>
    <w:p>
      <w:pPr>
        <w:spacing w:after="0" w:line="116"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13"/>
        </w:numPr>
        <w:rPr>
          <w:rFonts w:ascii="Times New Roman" w:cs="Times New Roman" w:eastAsia="Times New Roman" w:hAnsi="Times New Roman"/>
          <w:sz w:val="18"/>
          <w:szCs w:val="18"/>
          <w:color w:val="auto"/>
        </w:rPr>
      </w:pPr>
      <w:r>
        <w:rPr>
          <w:rFonts w:ascii="Arial" w:cs="Arial" w:eastAsia="Arial" w:hAnsi="Arial"/>
          <w:sz w:val="18"/>
          <w:szCs w:val="18"/>
          <w:color w:val="auto"/>
        </w:rPr>
        <w:t>advance research and development related activities to expand our product pipeline;</w:t>
      </w:r>
    </w:p>
    <w:p>
      <w:pPr>
        <w:spacing w:after="0" w:line="116"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13"/>
        </w:numPr>
        <w:rPr>
          <w:rFonts w:ascii="Times New Roman" w:cs="Times New Roman" w:eastAsia="Times New Roman" w:hAnsi="Times New Roman"/>
          <w:sz w:val="18"/>
          <w:szCs w:val="18"/>
          <w:color w:val="auto"/>
        </w:rPr>
      </w:pPr>
      <w:r>
        <w:rPr>
          <w:rFonts w:ascii="Arial" w:cs="Arial" w:eastAsia="Arial" w:hAnsi="Arial"/>
          <w:sz w:val="18"/>
          <w:szCs w:val="18"/>
          <w:color w:val="auto"/>
        </w:rPr>
        <w:t>seek regulatory approval for our product candidates that successfully complete clinical development;</w:t>
      </w:r>
    </w:p>
    <w:p>
      <w:pPr>
        <w:spacing w:after="0" w:line="116" w:lineRule="exact"/>
        <w:rPr>
          <w:rFonts w:ascii="Times New Roman" w:cs="Times New Roman" w:eastAsia="Times New Roman" w:hAnsi="Times New Roman"/>
          <w:sz w:val="18"/>
          <w:szCs w:val="18"/>
          <w:color w:val="auto"/>
        </w:rPr>
      </w:pPr>
    </w:p>
    <w:p>
      <w:pPr>
        <w:ind w:left="520" w:right="60" w:hanging="512"/>
        <w:spacing w:after="0" w:line="270" w:lineRule="auto"/>
        <w:tabs>
          <w:tab w:leader="none" w:pos="520" w:val="left"/>
        </w:tabs>
        <w:numPr>
          <w:ilvl w:val="0"/>
          <w:numId w:val="13"/>
        </w:numPr>
        <w:rPr>
          <w:rFonts w:ascii="Times New Roman" w:cs="Times New Roman" w:eastAsia="Times New Roman" w:hAnsi="Times New Roman"/>
          <w:sz w:val="18"/>
          <w:szCs w:val="18"/>
          <w:color w:val="auto"/>
        </w:rPr>
      </w:pPr>
      <w:r>
        <w:rPr>
          <w:rFonts w:ascii="Arial" w:cs="Arial" w:eastAsia="Arial" w:hAnsi="Arial"/>
          <w:sz w:val="18"/>
          <w:szCs w:val="18"/>
          <w:color w:val="auto"/>
        </w:rPr>
        <w:t>develop and scale up our capabilities to support our ongoing preclinical activities and future clinical trials for our product candidates and commercialization of any of our product candidates for which we may obtain marketing approval;</w:t>
      </w:r>
    </w:p>
    <w:p>
      <w:pPr>
        <w:spacing w:after="0" w:line="46"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13"/>
        </w:numPr>
        <w:rPr>
          <w:rFonts w:ascii="Times New Roman" w:cs="Times New Roman" w:eastAsia="Times New Roman" w:hAnsi="Times New Roman"/>
          <w:sz w:val="18"/>
          <w:szCs w:val="18"/>
          <w:color w:val="auto"/>
        </w:rPr>
      </w:pPr>
      <w:r>
        <w:rPr>
          <w:rFonts w:ascii="Arial" w:cs="Arial" w:eastAsia="Arial" w:hAnsi="Arial"/>
          <w:sz w:val="18"/>
          <w:szCs w:val="18"/>
          <w:color w:val="auto"/>
        </w:rPr>
        <w:t>maintain, expand, and protect our intellectual property portfolio;</w:t>
      </w:r>
    </w:p>
    <w:p>
      <w:pPr>
        <w:spacing w:after="0" w:line="116"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13"/>
        </w:numPr>
        <w:rPr>
          <w:rFonts w:ascii="Times New Roman" w:cs="Times New Roman" w:eastAsia="Times New Roman" w:hAnsi="Times New Roman"/>
          <w:sz w:val="18"/>
          <w:szCs w:val="18"/>
          <w:color w:val="auto"/>
        </w:rPr>
      </w:pPr>
      <w:r>
        <w:rPr>
          <w:rFonts w:ascii="Arial" w:cs="Arial" w:eastAsia="Arial" w:hAnsi="Arial"/>
          <w:sz w:val="18"/>
          <w:szCs w:val="18"/>
          <w:color w:val="auto"/>
        </w:rPr>
        <w:t>hire additional staff, including clinical, scientific and management personnel; and</w:t>
      </w:r>
    </w:p>
    <w:p>
      <w:pPr>
        <w:spacing w:after="0" w:line="116"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13"/>
        </w:numPr>
        <w:rPr>
          <w:rFonts w:ascii="Times New Roman" w:cs="Times New Roman" w:eastAsia="Times New Roman" w:hAnsi="Times New Roman"/>
          <w:sz w:val="18"/>
          <w:szCs w:val="18"/>
          <w:color w:val="auto"/>
        </w:rPr>
      </w:pPr>
      <w:r>
        <w:rPr>
          <w:rFonts w:ascii="Arial" w:cs="Arial" w:eastAsia="Arial" w:hAnsi="Arial"/>
          <w:sz w:val="18"/>
          <w:szCs w:val="18"/>
          <w:color w:val="auto"/>
        </w:rPr>
        <w:t>secure facilities to support continued growth in our research, development and commercialization efforts.</w:t>
      </w:r>
    </w:p>
    <w:p>
      <w:pPr>
        <w:spacing w:after="0" w:line="116" w:lineRule="exact"/>
        <w:rPr>
          <w:sz w:val="20"/>
          <w:szCs w:val="20"/>
          <w:color w:val="auto"/>
        </w:rPr>
      </w:pPr>
    </w:p>
    <w:p>
      <w:pPr>
        <w:ind w:right="20"/>
        <w:spacing w:after="0" w:line="247" w:lineRule="auto"/>
        <w:rPr>
          <w:sz w:val="20"/>
          <w:szCs w:val="20"/>
          <w:color w:val="auto"/>
        </w:rPr>
      </w:pPr>
      <w:r>
        <w:rPr>
          <w:rFonts w:ascii="Arial" w:cs="Arial" w:eastAsia="Arial" w:hAnsi="Arial"/>
          <w:sz w:val="18"/>
          <w:szCs w:val="18"/>
          <w:color w:val="auto"/>
        </w:rPr>
        <w:t>In addition, if we obtain marketing approval for our current or future product candidates, we will incur significant expenses relating to our commercialization of such product candidates via our sales, marketing, product manufacturing and distribution efforts. Because of the numerous risks and uncertainties associated with developing pharmaceutical drugs, including in light of any economic fluctuations, we are unable to predict the extent of any future losses or when we will become profitable, if at all.</w:t>
      </w:r>
    </w:p>
    <w:p>
      <w:pPr>
        <w:spacing w:after="0" w:line="66" w:lineRule="exact"/>
        <w:rPr>
          <w:sz w:val="20"/>
          <w:szCs w:val="20"/>
          <w:color w:val="auto"/>
        </w:rPr>
      </w:pPr>
    </w:p>
    <w:p>
      <w:pPr>
        <w:spacing w:after="0" w:line="247" w:lineRule="auto"/>
        <w:rPr>
          <w:sz w:val="20"/>
          <w:szCs w:val="20"/>
          <w:color w:val="auto"/>
        </w:rPr>
      </w:pPr>
      <w:r>
        <w:rPr>
          <w:rFonts w:ascii="Arial" w:cs="Arial" w:eastAsia="Arial" w:hAnsi="Arial"/>
          <w:sz w:val="18"/>
          <w:szCs w:val="18"/>
          <w:color w:val="auto"/>
        </w:rPr>
        <w:t>Even if we achieve profitability, we may not be able to sustain or increase our profitability on a quarterly or annual basis. Our failure to become and remain profitable would depress the value of our company and could impair our ability to raise capital, expand our business, maintain our development efforts, obtain product approvals, diversify our offerings or continue our operations. A decline in the value of our company could also cause you to lose all or part of your investment.</w:t>
      </w:r>
    </w:p>
    <w:p>
      <w:pPr>
        <w:spacing w:after="0" w:line="174" w:lineRule="exact"/>
        <w:rPr>
          <w:sz w:val="20"/>
          <w:szCs w:val="20"/>
          <w:color w:val="auto"/>
        </w:rPr>
      </w:pPr>
    </w:p>
    <w:p>
      <w:pPr>
        <w:jc w:val="center"/>
        <w:ind w:right="-279"/>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80"/>
          </w:cols>
          <w:pgMar w:left="320" w:top="1120" w:right="599" w:bottom="1440" w:gutter="0" w:footer="0" w:header="0"/>
        </w:sectPr>
      </w:pPr>
    </w:p>
    <w:bookmarkStart w:id="34" w:name="page35"/>
    <w:bookmarkEnd w:id="34"/>
    <w:p>
      <w:pPr>
        <w:ind w:right="840"/>
        <w:spacing w:after="0" w:line="298" w:lineRule="auto"/>
        <w:rPr>
          <w:sz w:val="20"/>
          <w:szCs w:val="20"/>
          <w:color w:val="auto"/>
        </w:rPr>
      </w:pPr>
      <w:r>
        <w:rPr>
          <w:rFonts w:ascii="Arial" w:cs="Arial" w:eastAsia="Arial" w:hAnsi="Arial"/>
          <w:sz w:val="32"/>
          <w:szCs w:val="32"/>
          <w:b w:val="1"/>
          <w:bCs w:val="1"/>
          <w:color w:val="auto"/>
        </w:rPr>
        <w:t>Item 2. Unregistered sales of equity securities, use of proceeds and issuer purchases of equity securities</w:t>
      </w:r>
    </w:p>
    <w:p>
      <w:pPr>
        <w:spacing w:after="0" w:line="6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Recent sales of unregistered equity securities</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9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Issuer purchases of equity securities</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rPr>
          <w:sz w:val="20"/>
          <w:szCs w:val="20"/>
          <w:color w:val="auto"/>
        </w:rPr>
      </w:pPr>
      <w:r>
        <w:rPr>
          <w:rFonts w:ascii="Arial" w:cs="Arial" w:eastAsia="Arial" w:hAnsi="Arial"/>
          <w:sz w:val="32"/>
          <w:szCs w:val="32"/>
          <w:b w:val="1"/>
          <w:bCs w:val="1"/>
          <w:color w:val="auto"/>
        </w:rPr>
        <w:t>Item 3. Defaults upon senior securities</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308" w:lineRule="exact"/>
        <w:rPr>
          <w:sz w:val="20"/>
          <w:szCs w:val="20"/>
          <w:color w:val="auto"/>
        </w:rPr>
      </w:pPr>
    </w:p>
    <w:p>
      <w:pPr>
        <w:spacing w:after="0"/>
        <w:rPr>
          <w:sz w:val="20"/>
          <w:szCs w:val="20"/>
          <w:color w:val="auto"/>
        </w:rPr>
      </w:pPr>
      <w:r>
        <w:rPr>
          <w:rFonts w:ascii="Arial" w:cs="Arial" w:eastAsia="Arial" w:hAnsi="Arial"/>
          <w:sz w:val="32"/>
          <w:szCs w:val="32"/>
          <w:b w:val="1"/>
          <w:bCs w:val="1"/>
          <w:color w:val="auto"/>
        </w:rPr>
        <w:t>Item 4. Mine safety disclosures</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308" w:lineRule="exact"/>
        <w:rPr>
          <w:sz w:val="20"/>
          <w:szCs w:val="20"/>
          <w:color w:val="auto"/>
        </w:rPr>
      </w:pPr>
    </w:p>
    <w:p>
      <w:pPr>
        <w:spacing w:after="0"/>
        <w:rPr>
          <w:sz w:val="20"/>
          <w:szCs w:val="20"/>
          <w:color w:val="auto"/>
        </w:rPr>
      </w:pPr>
      <w:r>
        <w:rPr>
          <w:rFonts w:ascii="Arial" w:cs="Arial" w:eastAsia="Arial" w:hAnsi="Arial"/>
          <w:sz w:val="32"/>
          <w:szCs w:val="32"/>
          <w:b w:val="1"/>
          <w:bCs w:val="1"/>
          <w:color w:val="auto"/>
        </w:rPr>
        <w:t>Item 5. Other information</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Rule 10b5-1 Trading Plans</w:t>
      </w:r>
    </w:p>
    <w:p>
      <w:pPr>
        <w:spacing w:after="0" w:line="102" w:lineRule="exact"/>
        <w:rPr>
          <w:sz w:val="20"/>
          <w:szCs w:val="20"/>
          <w:color w:val="auto"/>
        </w:rPr>
      </w:pPr>
    </w:p>
    <w:p>
      <w:pPr>
        <w:ind w:right="100"/>
        <w:spacing w:after="0" w:line="253" w:lineRule="auto"/>
        <w:rPr>
          <w:sz w:val="20"/>
          <w:szCs w:val="20"/>
          <w:color w:val="auto"/>
        </w:rPr>
      </w:pPr>
      <w:r>
        <w:rPr>
          <w:rFonts w:ascii="Arial" w:cs="Arial" w:eastAsia="Arial" w:hAnsi="Arial"/>
          <w:sz w:val="18"/>
          <w:szCs w:val="18"/>
          <w:color w:val="auto"/>
        </w:rPr>
        <w:t>During the fiscal quarter ended on March 31, 2026, none of our directors and officers (as defined in Rule 16a-1(f) under the Exchange Act) adopted, modified or terminated a “Rule 10b5-1 trading arrangement” or “non-Rule 10b5-1 trading arrangement,” as those terms are defined in Item 408(a) of Regulation S-K.</w:t>
      </w:r>
    </w:p>
    <w:p>
      <w:pPr>
        <w:spacing w:after="0" w:line="367" w:lineRule="exact"/>
        <w:rPr>
          <w:sz w:val="20"/>
          <w:szCs w:val="20"/>
          <w:color w:val="auto"/>
        </w:rPr>
      </w:pPr>
    </w:p>
    <w:tbl>
      <w:tblPr>
        <w:tblLayout w:type="fixed"/>
        <w:tblInd w:w="10" w:type="dxa"/>
        <w:tblCellMar>
          <w:top w:w="0" w:type="dxa"/>
          <w:left w:w="0" w:type="dxa"/>
          <w:bottom w:w="0" w:type="dxa"/>
          <w:right w:w="0" w:type="dxa"/>
        </w:tblCellMar>
      </w:tblPr>
      <w:tr>
        <w:trPr>
          <w:trHeight w:val="192"/>
        </w:trPr>
        <w:tc>
          <w:tcPr>
            <w:tcW w:w="2480" w:type="dxa"/>
            <w:vAlign w:val="bottom"/>
            <w:tcBorders>
              <w:top w:val="single" w:sz="8" w:color="auto"/>
              <w:left w:val="single" w:sz="8" w:color="auto"/>
              <w:right w:val="single" w:sz="8" w:color="auto"/>
            </w:tcBorders>
          </w:tcPr>
          <w:p>
            <w:pPr>
              <w:spacing w:after="0"/>
              <w:rPr>
                <w:sz w:val="16"/>
                <w:szCs w:val="16"/>
                <w:color w:val="auto"/>
              </w:rPr>
            </w:pPr>
          </w:p>
        </w:tc>
        <w:tc>
          <w:tcPr>
            <w:tcW w:w="1520" w:type="dxa"/>
            <w:vAlign w:val="bottom"/>
            <w:tcBorders>
              <w:top w:val="single" w:sz="8" w:color="auto"/>
              <w:right w:val="single" w:sz="8" w:color="auto"/>
            </w:tcBorders>
          </w:tcPr>
          <w:p>
            <w:pPr>
              <w:spacing w:after="0"/>
              <w:rPr>
                <w:sz w:val="16"/>
                <w:szCs w:val="16"/>
                <w:color w:val="auto"/>
              </w:rPr>
            </w:pPr>
          </w:p>
        </w:tc>
        <w:tc>
          <w:tcPr>
            <w:tcW w:w="1520" w:type="dxa"/>
            <w:vAlign w:val="bottom"/>
            <w:tcBorders>
              <w:top w:val="single" w:sz="8" w:color="auto"/>
              <w:right w:val="single" w:sz="8" w:color="auto"/>
            </w:tcBorders>
          </w:tcPr>
          <w:p>
            <w:pPr>
              <w:spacing w:after="0"/>
              <w:rPr>
                <w:sz w:val="16"/>
                <w:szCs w:val="16"/>
                <w:color w:val="auto"/>
              </w:rPr>
            </w:pPr>
          </w:p>
        </w:tc>
        <w:tc>
          <w:tcPr>
            <w:tcW w:w="1780" w:type="dxa"/>
            <w:vAlign w:val="bottom"/>
            <w:tcBorders>
              <w:top w:val="single" w:sz="8" w:color="auto"/>
              <w:right w:val="single" w:sz="8" w:color="auto"/>
            </w:tcBorders>
          </w:tcPr>
          <w:p>
            <w:pPr>
              <w:spacing w:after="0"/>
              <w:rPr>
                <w:sz w:val="16"/>
                <w:szCs w:val="16"/>
                <w:color w:val="auto"/>
              </w:rPr>
            </w:pPr>
          </w:p>
        </w:tc>
        <w:tc>
          <w:tcPr>
            <w:tcW w:w="150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6"/>
                <w:szCs w:val="16"/>
                <w:b w:val="1"/>
                <w:bCs w:val="1"/>
                <w:color w:val="auto"/>
              </w:rPr>
              <w:t>Rule 10b5-1</w:t>
            </w:r>
          </w:p>
        </w:tc>
        <w:tc>
          <w:tcPr>
            <w:tcW w:w="2440" w:type="dxa"/>
            <w:vAlign w:val="bottom"/>
            <w:tcBorders>
              <w:top w:val="single" w:sz="8" w:color="auto"/>
              <w:right w:val="single" w:sz="8" w:color="auto"/>
            </w:tcBorders>
          </w:tcPr>
          <w:p>
            <w:pPr>
              <w:spacing w:after="0"/>
              <w:rPr>
                <w:sz w:val="16"/>
                <w:szCs w:val="16"/>
                <w:color w:val="auto"/>
              </w:rPr>
            </w:pPr>
          </w:p>
        </w:tc>
      </w:tr>
      <w:tr>
        <w:trPr>
          <w:trHeight w:val="189"/>
        </w:trPr>
        <w:tc>
          <w:tcPr>
            <w:tcW w:w="2480" w:type="dxa"/>
            <w:vAlign w:val="bottom"/>
            <w:tcBorders>
              <w:left w:val="single" w:sz="8" w:color="auto"/>
              <w:right w:val="single" w:sz="8" w:color="auto"/>
            </w:tcBorders>
          </w:tcPr>
          <w:p>
            <w:pPr>
              <w:spacing w:after="0"/>
              <w:rPr>
                <w:sz w:val="16"/>
                <w:szCs w:val="16"/>
                <w:color w:val="auto"/>
              </w:rPr>
            </w:pPr>
          </w:p>
        </w:tc>
        <w:tc>
          <w:tcPr>
            <w:tcW w:w="1520" w:type="dxa"/>
            <w:vAlign w:val="bottom"/>
            <w:tcBorders>
              <w:right w:val="single" w:sz="8" w:color="auto"/>
            </w:tcBorders>
          </w:tcPr>
          <w:p>
            <w:pPr>
              <w:spacing w:after="0"/>
              <w:rPr>
                <w:sz w:val="16"/>
                <w:szCs w:val="16"/>
                <w:color w:val="auto"/>
              </w:rPr>
            </w:pPr>
          </w:p>
        </w:tc>
        <w:tc>
          <w:tcPr>
            <w:tcW w:w="1520" w:type="dxa"/>
            <w:vAlign w:val="bottom"/>
            <w:tcBorders>
              <w:right w:val="single" w:sz="8" w:color="auto"/>
            </w:tcBorders>
          </w:tcPr>
          <w:p>
            <w:pPr>
              <w:spacing w:after="0"/>
              <w:rPr>
                <w:sz w:val="16"/>
                <w:szCs w:val="16"/>
                <w:color w:val="auto"/>
              </w:rPr>
            </w:pPr>
          </w:p>
        </w:tc>
        <w:tc>
          <w:tcPr>
            <w:tcW w:w="1780" w:type="dxa"/>
            <w:vAlign w:val="bottom"/>
            <w:tcBorders>
              <w:right w:val="single" w:sz="8" w:color="auto"/>
            </w:tcBorders>
          </w:tcPr>
          <w:p>
            <w:pPr>
              <w:spacing w:after="0"/>
              <w:rPr>
                <w:sz w:val="16"/>
                <w:szCs w:val="16"/>
                <w:color w:val="auto"/>
              </w:rPr>
            </w:pPr>
          </w:p>
        </w:tc>
        <w:tc>
          <w:tcPr>
            <w:tcW w:w="1500" w:type="dxa"/>
            <w:vAlign w:val="bottom"/>
            <w:tcBorders>
              <w:right w:val="single" w:sz="8" w:color="auto"/>
            </w:tcBorders>
          </w:tcPr>
          <w:p>
            <w:pPr>
              <w:jc w:val="center"/>
              <w:ind w:right="19"/>
              <w:spacing w:after="0"/>
              <w:rPr>
                <w:sz w:val="20"/>
                <w:szCs w:val="20"/>
                <w:color w:val="auto"/>
              </w:rPr>
            </w:pPr>
            <w:r>
              <w:rPr>
                <w:rFonts w:ascii="Arial" w:cs="Arial" w:eastAsia="Arial" w:hAnsi="Arial"/>
                <w:sz w:val="16"/>
                <w:szCs w:val="16"/>
                <w:b w:val="1"/>
                <w:bCs w:val="1"/>
                <w:color w:val="auto"/>
              </w:rPr>
              <w:t>Trading</w:t>
            </w:r>
          </w:p>
        </w:tc>
        <w:tc>
          <w:tcPr>
            <w:tcW w:w="2440" w:type="dxa"/>
            <w:vAlign w:val="bottom"/>
            <w:tcBorders>
              <w:right w:val="single" w:sz="8" w:color="auto"/>
            </w:tcBorders>
          </w:tcPr>
          <w:p>
            <w:pPr>
              <w:jc w:val="center"/>
              <w:spacing w:after="0"/>
              <w:rPr>
                <w:sz w:val="20"/>
                <w:szCs w:val="20"/>
                <w:color w:val="auto"/>
              </w:rPr>
            </w:pPr>
            <w:r>
              <w:rPr>
                <w:rFonts w:ascii="Arial" w:cs="Arial" w:eastAsia="Arial" w:hAnsi="Arial"/>
                <w:sz w:val="16"/>
                <w:szCs w:val="16"/>
                <w:b w:val="1"/>
                <w:bCs w:val="1"/>
                <w:color w:val="auto"/>
              </w:rPr>
              <w:t>Aggregate Number of</w:t>
            </w:r>
          </w:p>
        </w:tc>
      </w:tr>
      <w:tr>
        <w:trPr>
          <w:trHeight w:val="189"/>
        </w:trPr>
        <w:tc>
          <w:tcPr>
            <w:tcW w:w="2480" w:type="dxa"/>
            <w:vAlign w:val="bottom"/>
            <w:tcBorders>
              <w:left w:val="single" w:sz="8" w:color="auto"/>
              <w:right w:val="single" w:sz="8" w:color="auto"/>
            </w:tcBorders>
          </w:tcPr>
          <w:p>
            <w:pPr>
              <w:spacing w:after="0"/>
              <w:rPr>
                <w:sz w:val="16"/>
                <w:szCs w:val="16"/>
                <w:color w:val="auto"/>
              </w:rPr>
            </w:pPr>
          </w:p>
        </w:tc>
        <w:tc>
          <w:tcPr>
            <w:tcW w:w="1520" w:type="dxa"/>
            <w:vAlign w:val="bottom"/>
            <w:tcBorders>
              <w:right w:val="single" w:sz="8" w:color="auto"/>
            </w:tcBorders>
          </w:tcPr>
          <w:p>
            <w:pPr>
              <w:spacing w:after="0"/>
              <w:rPr>
                <w:sz w:val="16"/>
                <w:szCs w:val="16"/>
                <w:color w:val="auto"/>
              </w:rPr>
            </w:pPr>
          </w:p>
        </w:tc>
        <w:tc>
          <w:tcPr>
            <w:tcW w:w="1520" w:type="dxa"/>
            <w:vAlign w:val="bottom"/>
            <w:tcBorders>
              <w:right w:val="single" w:sz="8" w:color="auto"/>
            </w:tcBorders>
          </w:tcPr>
          <w:p>
            <w:pPr>
              <w:spacing w:after="0"/>
              <w:rPr>
                <w:sz w:val="16"/>
                <w:szCs w:val="16"/>
                <w:color w:val="auto"/>
              </w:rPr>
            </w:pPr>
          </w:p>
        </w:tc>
        <w:tc>
          <w:tcPr>
            <w:tcW w:w="1780" w:type="dxa"/>
            <w:vAlign w:val="bottom"/>
            <w:tcBorders>
              <w:right w:val="single" w:sz="8" w:color="auto"/>
            </w:tcBorders>
          </w:tcPr>
          <w:p>
            <w:pPr>
              <w:ind w:left="100"/>
              <w:spacing w:after="0"/>
              <w:rPr>
                <w:sz w:val="20"/>
                <w:szCs w:val="20"/>
                <w:color w:val="auto"/>
              </w:rPr>
            </w:pPr>
            <w:r>
              <w:rPr>
                <w:rFonts w:ascii="Arial" w:cs="Arial" w:eastAsia="Arial" w:hAnsi="Arial"/>
                <w:sz w:val="16"/>
                <w:szCs w:val="16"/>
                <w:b w:val="1"/>
                <w:bCs w:val="1"/>
                <w:color w:val="auto"/>
              </w:rPr>
              <w:t>Duration of Trading</w:t>
            </w:r>
          </w:p>
        </w:tc>
        <w:tc>
          <w:tcPr>
            <w:tcW w:w="1500" w:type="dxa"/>
            <w:vAlign w:val="bottom"/>
            <w:tcBorders>
              <w:right w:val="single" w:sz="8" w:color="auto"/>
            </w:tcBorders>
          </w:tcPr>
          <w:p>
            <w:pPr>
              <w:jc w:val="center"/>
              <w:spacing w:after="0"/>
              <w:rPr>
                <w:sz w:val="20"/>
                <w:szCs w:val="20"/>
                <w:color w:val="auto"/>
              </w:rPr>
            </w:pPr>
            <w:r>
              <w:rPr>
                <w:rFonts w:ascii="Arial" w:cs="Arial" w:eastAsia="Arial" w:hAnsi="Arial"/>
                <w:sz w:val="16"/>
                <w:szCs w:val="16"/>
                <w:b w:val="1"/>
                <w:bCs w:val="1"/>
                <w:color w:val="auto"/>
              </w:rPr>
              <w:t>Arrangement?</w:t>
            </w:r>
          </w:p>
        </w:tc>
        <w:tc>
          <w:tcPr>
            <w:tcW w:w="2440" w:type="dxa"/>
            <w:vAlign w:val="bottom"/>
            <w:tcBorders>
              <w:right w:val="single" w:sz="8" w:color="auto"/>
            </w:tcBorders>
          </w:tcPr>
          <w:p>
            <w:pPr>
              <w:jc w:val="center"/>
              <w:spacing w:after="0"/>
              <w:rPr>
                <w:sz w:val="20"/>
                <w:szCs w:val="20"/>
                <w:color w:val="auto"/>
              </w:rPr>
            </w:pPr>
            <w:r>
              <w:rPr>
                <w:rFonts w:ascii="Arial" w:cs="Arial" w:eastAsia="Arial" w:hAnsi="Arial"/>
                <w:sz w:val="16"/>
                <w:szCs w:val="16"/>
                <w:b w:val="1"/>
                <w:bCs w:val="1"/>
                <w:color w:val="auto"/>
              </w:rPr>
              <w:t>Securities Subject to Trading</w:t>
            </w:r>
          </w:p>
        </w:tc>
      </w:tr>
      <w:tr>
        <w:trPr>
          <w:trHeight w:val="225"/>
        </w:trPr>
        <w:tc>
          <w:tcPr>
            <w:tcW w:w="2480" w:type="dxa"/>
            <w:vAlign w:val="bottom"/>
            <w:tcBorders>
              <w:left w:val="single" w:sz="8" w:color="auto"/>
              <w:bottom w:val="single" w:sz="8" w:color="auto"/>
              <w:right w:val="single" w:sz="8" w:color="auto"/>
            </w:tcBorders>
          </w:tcPr>
          <w:p>
            <w:pPr>
              <w:ind w:left="660"/>
              <w:spacing w:after="0"/>
              <w:rPr>
                <w:sz w:val="20"/>
                <w:szCs w:val="20"/>
                <w:color w:val="auto"/>
              </w:rPr>
            </w:pPr>
            <w:r>
              <w:rPr>
                <w:rFonts w:ascii="Arial" w:cs="Arial" w:eastAsia="Arial" w:hAnsi="Arial"/>
                <w:sz w:val="16"/>
                <w:szCs w:val="16"/>
                <w:b w:val="1"/>
                <w:bCs w:val="1"/>
                <w:color w:val="auto"/>
              </w:rPr>
              <w:t>Name and Title</w:t>
            </w:r>
          </w:p>
        </w:tc>
        <w:tc>
          <w:tcPr>
            <w:tcW w:w="1520" w:type="dxa"/>
            <w:vAlign w:val="bottom"/>
            <w:tcBorders>
              <w:bottom w:val="single" w:sz="8" w:color="auto"/>
              <w:right w:val="single" w:sz="8" w:color="auto"/>
            </w:tcBorders>
          </w:tcPr>
          <w:p>
            <w:pPr>
              <w:ind w:left="480"/>
              <w:spacing w:after="0"/>
              <w:rPr>
                <w:sz w:val="20"/>
                <w:szCs w:val="20"/>
                <w:color w:val="auto"/>
              </w:rPr>
            </w:pPr>
            <w:r>
              <w:rPr>
                <w:rFonts w:ascii="Arial" w:cs="Arial" w:eastAsia="Arial" w:hAnsi="Arial"/>
                <w:sz w:val="16"/>
                <w:szCs w:val="16"/>
                <w:b w:val="1"/>
                <w:bCs w:val="1"/>
                <w:color w:val="auto"/>
              </w:rPr>
              <w:t>Action</w:t>
            </w:r>
          </w:p>
        </w:tc>
        <w:tc>
          <w:tcPr>
            <w:tcW w:w="1520" w:type="dxa"/>
            <w:vAlign w:val="bottom"/>
            <w:tcBorders>
              <w:bottom w:val="single" w:sz="8" w:color="auto"/>
              <w:right w:val="single" w:sz="8" w:color="auto"/>
            </w:tcBorders>
          </w:tcPr>
          <w:p>
            <w:pPr>
              <w:ind w:left="300"/>
              <w:spacing w:after="0"/>
              <w:rPr>
                <w:sz w:val="20"/>
                <w:szCs w:val="20"/>
                <w:color w:val="auto"/>
              </w:rPr>
            </w:pPr>
            <w:r>
              <w:rPr>
                <w:rFonts w:ascii="Arial" w:cs="Arial" w:eastAsia="Arial" w:hAnsi="Arial"/>
                <w:sz w:val="16"/>
                <w:szCs w:val="16"/>
                <w:b w:val="1"/>
                <w:bCs w:val="1"/>
                <w:color w:val="auto"/>
              </w:rPr>
              <w:t>Action Date</w:t>
            </w:r>
          </w:p>
        </w:tc>
        <w:tc>
          <w:tcPr>
            <w:tcW w:w="1780" w:type="dxa"/>
            <w:vAlign w:val="bottom"/>
            <w:tcBorders>
              <w:bottom w:val="single" w:sz="8" w:color="auto"/>
              <w:right w:val="single" w:sz="8" w:color="auto"/>
            </w:tcBorders>
          </w:tcPr>
          <w:p>
            <w:pPr>
              <w:ind w:left="320"/>
              <w:spacing w:after="0"/>
              <w:rPr>
                <w:sz w:val="20"/>
                <w:szCs w:val="20"/>
                <w:color w:val="auto"/>
              </w:rPr>
            </w:pPr>
            <w:r>
              <w:rPr>
                <w:rFonts w:ascii="Arial" w:cs="Arial" w:eastAsia="Arial" w:hAnsi="Arial"/>
                <w:sz w:val="16"/>
                <w:szCs w:val="16"/>
                <w:b w:val="1"/>
                <w:bCs w:val="1"/>
                <w:color w:val="auto"/>
              </w:rPr>
              <w:t>Arrangements</w:t>
            </w:r>
          </w:p>
        </w:tc>
        <w:tc>
          <w:tcPr>
            <w:tcW w:w="15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b w:val="1"/>
                <w:bCs w:val="1"/>
                <w:color w:val="auto"/>
              </w:rPr>
              <w:t>(Y/N)*</w:t>
            </w:r>
          </w:p>
        </w:tc>
        <w:tc>
          <w:tcPr>
            <w:tcW w:w="24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b w:val="1"/>
                <w:bCs w:val="1"/>
                <w:color w:val="auto"/>
              </w:rPr>
              <w:t>Arrangement</w:t>
            </w:r>
          </w:p>
        </w:tc>
      </w:tr>
      <w:tr>
        <w:trPr>
          <w:trHeight w:val="152"/>
        </w:trPr>
        <w:tc>
          <w:tcPr>
            <w:tcW w:w="2480" w:type="dxa"/>
            <w:vAlign w:val="bottom"/>
            <w:tcBorders>
              <w:top w:val="single" w:sz="8" w:color="auto"/>
              <w:left w:val="single" w:sz="8" w:color="CFF0FC"/>
              <w:right w:val="single" w:sz="8" w:color="auto"/>
            </w:tcBorders>
            <w:shd w:val="clear" w:color="auto" w:fill="CFF0FC"/>
          </w:tcPr>
          <w:p>
            <w:pPr>
              <w:ind w:left="20"/>
              <w:spacing w:after="0" w:line="152" w:lineRule="exact"/>
              <w:rPr>
                <w:sz w:val="20"/>
                <w:szCs w:val="20"/>
                <w:color w:val="auto"/>
              </w:rPr>
            </w:pPr>
            <w:r>
              <w:rPr>
                <w:rFonts w:ascii="Arial" w:cs="Arial" w:eastAsia="Arial" w:hAnsi="Arial"/>
                <w:sz w:val="16"/>
                <w:szCs w:val="16"/>
                <w:color w:val="auto"/>
              </w:rPr>
              <w:t>Jennifer Champoux</w:t>
            </w:r>
          </w:p>
        </w:tc>
        <w:tc>
          <w:tcPr>
            <w:tcW w:w="1520" w:type="dxa"/>
            <w:vAlign w:val="bottom"/>
            <w:tcBorders>
              <w:top w:val="single" w:sz="8" w:color="CFF0FC"/>
              <w:right w:val="single" w:sz="8" w:color="auto"/>
            </w:tcBorders>
            <w:shd w:val="clear" w:color="auto" w:fill="CFF0FC"/>
          </w:tcPr>
          <w:p>
            <w:pPr>
              <w:spacing w:after="0" w:line="152" w:lineRule="exact"/>
              <w:rPr>
                <w:sz w:val="20"/>
                <w:szCs w:val="20"/>
                <w:color w:val="auto"/>
              </w:rPr>
            </w:pPr>
            <w:r>
              <w:rPr>
                <w:rFonts w:ascii="Arial" w:cs="Arial" w:eastAsia="Arial" w:hAnsi="Arial"/>
                <w:sz w:val="16"/>
                <w:szCs w:val="16"/>
                <w:color w:val="auto"/>
              </w:rPr>
              <w:t>Adopt</w:t>
            </w:r>
          </w:p>
        </w:tc>
        <w:tc>
          <w:tcPr>
            <w:tcW w:w="1520" w:type="dxa"/>
            <w:vAlign w:val="bottom"/>
            <w:tcBorders>
              <w:top w:val="single" w:sz="8" w:color="CFF0FC"/>
              <w:right w:val="single" w:sz="8" w:color="auto"/>
            </w:tcBorders>
            <w:shd w:val="clear" w:color="auto" w:fill="CFF0FC"/>
          </w:tcPr>
          <w:p>
            <w:pPr>
              <w:spacing w:after="0" w:line="152" w:lineRule="exact"/>
              <w:rPr>
                <w:sz w:val="20"/>
                <w:szCs w:val="20"/>
                <w:color w:val="auto"/>
              </w:rPr>
            </w:pPr>
            <w:r>
              <w:rPr>
                <w:rFonts w:ascii="Arial" w:cs="Arial" w:eastAsia="Arial" w:hAnsi="Arial"/>
                <w:sz w:val="16"/>
                <w:szCs w:val="16"/>
                <w:color w:val="auto"/>
              </w:rPr>
              <w:t>February 19, 2026</w:t>
            </w:r>
          </w:p>
        </w:tc>
        <w:tc>
          <w:tcPr>
            <w:tcW w:w="1780" w:type="dxa"/>
            <w:vAlign w:val="bottom"/>
            <w:tcBorders>
              <w:top w:val="single" w:sz="8" w:color="CFF0FC"/>
              <w:right w:val="single" w:sz="8" w:color="auto"/>
            </w:tcBorders>
            <w:shd w:val="clear" w:color="auto" w:fill="CFF0FC"/>
          </w:tcPr>
          <w:p>
            <w:pPr>
              <w:spacing w:after="0" w:line="152" w:lineRule="exact"/>
              <w:rPr>
                <w:sz w:val="20"/>
                <w:szCs w:val="20"/>
                <w:color w:val="auto"/>
              </w:rPr>
            </w:pPr>
            <w:r>
              <w:rPr>
                <w:rFonts w:ascii="Arial" w:cs="Arial" w:eastAsia="Arial" w:hAnsi="Arial"/>
                <w:sz w:val="16"/>
                <w:szCs w:val="16"/>
                <w:color w:val="auto"/>
              </w:rPr>
              <w:t>May 22, 2026 -</w:t>
            </w:r>
          </w:p>
        </w:tc>
        <w:tc>
          <w:tcPr>
            <w:tcW w:w="1500" w:type="dxa"/>
            <w:vAlign w:val="bottom"/>
            <w:tcBorders>
              <w:top w:val="single" w:sz="8" w:color="CFF0FC"/>
              <w:right w:val="single" w:sz="8" w:color="auto"/>
            </w:tcBorders>
            <w:shd w:val="clear" w:color="auto" w:fill="CFF0FC"/>
          </w:tcPr>
          <w:p>
            <w:pPr>
              <w:jc w:val="center"/>
              <w:spacing w:after="0" w:line="152" w:lineRule="exact"/>
              <w:rPr>
                <w:sz w:val="20"/>
                <w:szCs w:val="20"/>
                <w:color w:val="auto"/>
              </w:rPr>
            </w:pPr>
            <w:r>
              <w:rPr>
                <w:rFonts w:ascii="Arial" w:cs="Arial" w:eastAsia="Arial" w:hAnsi="Arial"/>
                <w:sz w:val="16"/>
                <w:szCs w:val="16"/>
                <w:color w:val="auto"/>
                <w:w w:val="93"/>
              </w:rPr>
              <w:t>Y</w:t>
            </w:r>
          </w:p>
        </w:tc>
        <w:tc>
          <w:tcPr>
            <w:tcW w:w="2440" w:type="dxa"/>
            <w:vAlign w:val="bottom"/>
            <w:tcBorders>
              <w:top w:val="single" w:sz="8" w:color="CFF0FC"/>
              <w:right w:val="single" w:sz="8" w:color="auto"/>
            </w:tcBorders>
            <w:shd w:val="clear" w:color="auto" w:fill="CFF0FC"/>
          </w:tcPr>
          <w:p>
            <w:pPr>
              <w:spacing w:after="0" w:line="152" w:lineRule="exact"/>
              <w:rPr>
                <w:sz w:val="20"/>
                <w:szCs w:val="20"/>
                <w:color w:val="auto"/>
              </w:rPr>
            </w:pPr>
            <w:r>
              <w:rPr>
                <w:rFonts w:ascii="Arial" w:cs="Arial" w:eastAsia="Arial" w:hAnsi="Arial"/>
                <w:sz w:val="16"/>
                <w:szCs w:val="16"/>
                <w:color w:val="auto"/>
              </w:rPr>
              <w:t>Up to 30,456 shares of common</w:t>
            </w:r>
          </w:p>
        </w:tc>
      </w:tr>
      <w:tr>
        <w:trPr>
          <w:trHeight w:val="189"/>
        </w:trPr>
        <w:tc>
          <w:tcPr>
            <w:tcW w:w="2480" w:type="dxa"/>
            <w:vAlign w:val="bottom"/>
            <w:tcBorders>
              <w:left w:val="single" w:sz="8" w:color="CFF0FC"/>
              <w:right w:val="single" w:sz="8" w:color="auto"/>
            </w:tcBorders>
            <w:shd w:val="clear" w:color="auto" w:fill="CFF0FC"/>
          </w:tcPr>
          <w:p>
            <w:pPr>
              <w:ind w:left="20"/>
              <w:spacing w:after="0"/>
              <w:rPr>
                <w:sz w:val="20"/>
                <w:szCs w:val="20"/>
                <w:color w:val="auto"/>
              </w:rPr>
            </w:pPr>
            <w:r>
              <w:rPr>
                <w:rFonts w:ascii="Arial" w:cs="Arial" w:eastAsia="Arial" w:hAnsi="Arial"/>
                <w:sz w:val="16"/>
                <w:szCs w:val="16"/>
                <w:color w:val="auto"/>
              </w:rPr>
              <w:t>Chief Operating Officer</w:t>
            </w:r>
          </w:p>
        </w:tc>
        <w:tc>
          <w:tcPr>
            <w:tcW w:w="1520" w:type="dxa"/>
            <w:vAlign w:val="bottom"/>
            <w:tcBorders>
              <w:right w:val="single" w:sz="8" w:color="auto"/>
            </w:tcBorders>
            <w:shd w:val="clear" w:color="auto" w:fill="CFF0FC"/>
          </w:tcPr>
          <w:p>
            <w:pPr>
              <w:spacing w:after="0"/>
              <w:rPr>
                <w:sz w:val="16"/>
                <w:szCs w:val="16"/>
                <w:color w:val="auto"/>
              </w:rPr>
            </w:pPr>
          </w:p>
        </w:tc>
        <w:tc>
          <w:tcPr>
            <w:tcW w:w="1520" w:type="dxa"/>
            <w:vAlign w:val="bottom"/>
            <w:tcBorders>
              <w:right w:val="single" w:sz="8" w:color="auto"/>
            </w:tcBorders>
            <w:shd w:val="clear" w:color="auto" w:fill="CFF0FC"/>
          </w:tcPr>
          <w:p>
            <w:pPr>
              <w:spacing w:after="0"/>
              <w:rPr>
                <w:sz w:val="16"/>
                <w:szCs w:val="16"/>
                <w:color w:val="auto"/>
              </w:rPr>
            </w:pPr>
          </w:p>
        </w:tc>
        <w:tc>
          <w:tcPr>
            <w:tcW w:w="1780" w:type="dxa"/>
            <w:vAlign w:val="bottom"/>
            <w:tcBorders>
              <w:right w:val="single" w:sz="8" w:color="auto"/>
            </w:tcBorders>
            <w:shd w:val="clear" w:color="auto" w:fill="CFF0FC"/>
          </w:tcPr>
          <w:p>
            <w:pPr>
              <w:spacing w:after="0"/>
              <w:rPr>
                <w:sz w:val="20"/>
                <w:szCs w:val="20"/>
                <w:color w:val="auto"/>
              </w:rPr>
            </w:pPr>
            <w:r>
              <w:rPr>
                <w:rFonts w:ascii="Arial" w:cs="Arial" w:eastAsia="Arial" w:hAnsi="Arial"/>
                <w:sz w:val="16"/>
                <w:szCs w:val="16"/>
                <w:color w:val="auto"/>
              </w:rPr>
              <w:t>December 15, 2026</w:t>
            </w:r>
          </w:p>
        </w:tc>
        <w:tc>
          <w:tcPr>
            <w:tcW w:w="1500" w:type="dxa"/>
            <w:vAlign w:val="bottom"/>
            <w:tcBorders>
              <w:right w:val="single" w:sz="8" w:color="auto"/>
            </w:tcBorders>
            <w:shd w:val="clear" w:color="auto" w:fill="CFF0FC"/>
          </w:tcPr>
          <w:p>
            <w:pPr>
              <w:spacing w:after="0"/>
              <w:rPr>
                <w:sz w:val="16"/>
                <w:szCs w:val="16"/>
                <w:color w:val="auto"/>
              </w:rPr>
            </w:pPr>
          </w:p>
        </w:tc>
        <w:tc>
          <w:tcPr>
            <w:tcW w:w="2440" w:type="dxa"/>
            <w:vAlign w:val="bottom"/>
            <w:tcBorders>
              <w:right w:val="single" w:sz="8" w:color="auto"/>
            </w:tcBorders>
            <w:shd w:val="clear" w:color="auto" w:fill="CFF0FC"/>
          </w:tcPr>
          <w:p>
            <w:pPr>
              <w:spacing w:after="0"/>
              <w:rPr>
                <w:sz w:val="20"/>
                <w:szCs w:val="20"/>
                <w:color w:val="auto"/>
              </w:rPr>
            </w:pPr>
            <w:r>
              <w:rPr>
                <w:rFonts w:ascii="Arial" w:cs="Arial" w:eastAsia="Arial" w:hAnsi="Arial"/>
                <w:sz w:val="16"/>
                <w:szCs w:val="16"/>
                <w:color w:val="auto"/>
              </w:rPr>
              <w:t>stock underlying stock options to</w:t>
            </w:r>
          </w:p>
        </w:tc>
      </w:tr>
      <w:tr>
        <w:trPr>
          <w:trHeight w:val="203"/>
        </w:trPr>
        <w:tc>
          <w:tcPr>
            <w:tcW w:w="2480" w:type="dxa"/>
            <w:vAlign w:val="bottom"/>
            <w:tcBorders>
              <w:left w:val="single" w:sz="8" w:color="CFF0FC"/>
              <w:bottom w:val="single" w:sz="8" w:color="auto"/>
              <w:right w:val="single" w:sz="8" w:color="auto"/>
            </w:tcBorders>
            <w:shd w:val="clear" w:color="auto" w:fill="CFF0FC"/>
          </w:tcPr>
          <w:p>
            <w:pPr>
              <w:spacing w:after="0"/>
              <w:rPr>
                <w:sz w:val="17"/>
                <w:szCs w:val="17"/>
                <w:color w:val="auto"/>
              </w:rPr>
            </w:pPr>
          </w:p>
        </w:tc>
        <w:tc>
          <w:tcPr>
            <w:tcW w:w="1520" w:type="dxa"/>
            <w:vAlign w:val="bottom"/>
            <w:tcBorders>
              <w:bottom w:val="single" w:sz="8" w:color="auto"/>
              <w:right w:val="single" w:sz="8" w:color="auto"/>
            </w:tcBorders>
            <w:shd w:val="clear" w:color="auto" w:fill="CFF0FC"/>
          </w:tcPr>
          <w:p>
            <w:pPr>
              <w:spacing w:after="0"/>
              <w:rPr>
                <w:sz w:val="17"/>
                <w:szCs w:val="17"/>
                <w:color w:val="auto"/>
              </w:rPr>
            </w:pPr>
          </w:p>
        </w:tc>
        <w:tc>
          <w:tcPr>
            <w:tcW w:w="1520" w:type="dxa"/>
            <w:vAlign w:val="bottom"/>
            <w:tcBorders>
              <w:bottom w:val="single" w:sz="8" w:color="auto"/>
              <w:right w:val="single" w:sz="8" w:color="auto"/>
            </w:tcBorders>
            <w:shd w:val="clear" w:color="auto" w:fill="CFF0FC"/>
          </w:tcPr>
          <w:p>
            <w:pPr>
              <w:spacing w:after="0"/>
              <w:rPr>
                <w:sz w:val="17"/>
                <w:szCs w:val="17"/>
                <w:color w:val="auto"/>
              </w:rPr>
            </w:pPr>
          </w:p>
        </w:tc>
        <w:tc>
          <w:tcPr>
            <w:tcW w:w="1780" w:type="dxa"/>
            <w:vAlign w:val="bottom"/>
            <w:tcBorders>
              <w:bottom w:val="single" w:sz="8" w:color="auto"/>
              <w:right w:val="single" w:sz="8" w:color="auto"/>
            </w:tcBorders>
            <w:shd w:val="clear" w:color="auto" w:fill="CFF0FC"/>
          </w:tcPr>
          <w:p>
            <w:pPr>
              <w:spacing w:after="0"/>
              <w:rPr>
                <w:sz w:val="17"/>
                <w:szCs w:val="17"/>
                <w:color w:val="auto"/>
              </w:rPr>
            </w:pPr>
          </w:p>
        </w:tc>
        <w:tc>
          <w:tcPr>
            <w:tcW w:w="1500" w:type="dxa"/>
            <w:vAlign w:val="bottom"/>
            <w:tcBorders>
              <w:bottom w:val="single" w:sz="8" w:color="auto"/>
              <w:right w:val="single" w:sz="8" w:color="auto"/>
            </w:tcBorders>
            <w:shd w:val="clear" w:color="auto" w:fill="CFF0FC"/>
          </w:tcPr>
          <w:p>
            <w:pPr>
              <w:spacing w:after="0"/>
              <w:rPr>
                <w:sz w:val="17"/>
                <w:szCs w:val="17"/>
                <w:color w:val="auto"/>
              </w:rPr>
            </w:pPr>
          </w:p>
        </w:tc>
        <w:tc>
          <w:tcPr>
            <w:tcW w:w="2440" w:type="dxa"/>
            <w:vAlign w:val="bottom"/>
            <w:tcBorders>
              <w:bottom w:val="single" w:sz="8" w:color="auto"/>
              <w:right w:val="single" w:sz="8" w:color="auto"/>
            </w:tcBorders>
            <w:shd w:val="clear" w:color="auto" w:fill="CFF0FC"/>
          </w:tcPr>
          <w:p>
            <w:pPr>
              <w:spacing w:after="0"/>
              <w:rPr>
                <w:sz w:val="20"/>
                <w:szCs w:val="20"/>
                <w:color w:val="auto"/>
              </w:rPr>
            </w:pPr>
            <w:r>
              <w:rPr>
                <w:rFonts w:ascii="Arial" w:cs="Arial" w:eastAsia="Arial" w:hAnsi="Arial"/>
                <w:sz w:val="16"/>
                <w:szCs w:val="16"/>
                <w:color w:val="auto"/>
              </w:rPr>
              <w:t>be sold</w:t>
            </w:r>
          </w:p>
        </w:tc>
      </w:tr>
      <w:tr>
        <w:trPr>
          <w:trHeight w:val="168"/>
        </w:trPr>
        <w:tc>
          <w:tcPr>
            <w:tcW w:w="2480" w:type="dxa"/>
            <w:vAlign w:val="bottom"/>
            <w:tcBorders>
              <w:right w:val="single" w:sz="8" w:color="auto"/>
            </w:tcBorders>
          </w:tcPr>
          <w:p>
            <w:pPr>
              <w:ind w:left="20"/>
              <w:spacing w:after="0" w:line="168" w:lineRule="exact"/>
              <w:rPr>
                <w:sz w:val="20"/>
                <w:szCs w:val="20"/>
                <w:color w:val="auto"/>
              </w:rPr>
            </w:pPr>
            <w:r>
              <w:rPr>
                <w:rFonts w:ascii="Arial" w:cs="Arial" w:eastAsia="Arial" w:hAnsi="Arial"/>
                <w:sz w:val="16"/>
                <w:szCs w:val="16"/>
                <w:color w:val="auto"/>
              </w:rPr>
              <w:t>Sharon Townson</w:t>
            </w:r>
          </w:p>
        </w:tc>
        <w:tc>
          <w:tcPr>
            <w:tcW w:w="1520" w:type="dxa"/>
            <w:vAlign w:val="bottom"/>
            <w:tcBorders>
              <w:right w:val="single" w:sz="8" w:color="auto"/>
            </w:tcBorders>
          </w:tcPr>
          <w:p>
            <w:pPr>
              <w:spacing w:after="0" w:line="168" w:lineRule="exact"/>
              <w:rPr>
                <w:sz w:val="20"/>
                <w:szCs w:val="20"/>
                <w:color w:val="auto"/>
              </w:rPr>
            </w:pPr>
            <w:r>
              <w:rPr>
                <w:rFonts w:ascii="Arial" w:cs="Arial" w:eastAsia="Arial" w:hAnsi="Arial"/>
                <w:sz w:val="16"/>
                <w:szCs w:val="16"/>
                <w:color w:val="auto"/>
              </w:rPr>
              <w:t>Adopt</w:t>
            </w:r>
          </w:p>
        </w:tc>
        <w:tc>
          <w:tcPr>
            <w:tcW w:w="1520" w:type="dxa"/>
            <w:vAlign w:val="bottom"/>
            <w:tcBorders>
              <w:right w:val="single" w:sz="8" w:color="auto"/>
            </w:tcBorders>
          </w:tcPr>
          <w:p>
            <w:pPr>
              <w:spacing w:after="0" w:line="168" w:lineRule="exact"/>
              <w:rPr>
                <w:sz w:val="20"/>
                <w:szCs w:val="20"/>
                <w:color w:val="auto"/>
              </w:rPr>
            </w:pPr>
            <w:r>
              <w:rPr>
                <w:rFonts w:ascii="Arial" w:cs="Arial" w:eastAsia="Arial" w:hAnsi="Arial"/>
                <w:sz w:val="16"/>
                <w:szCs w:val="16"/>
                <w:color w:val="auto"/>
              </w:rPr>
              <w:t>February 27, 2026</w:t>
            </w:r>
          </w:p>
        </w:tc>
        <w:tc>
          <w:tcPr>
            <w:tcW w:w="1780" w:type="dxa"/>
            <w:vAlign w:val="bottom"/>
            <w:tcBorders>
              <w:right w:val="single" w:sz="8" w:color="auto"/>
            </w:tcBorders>
          </w:tcPr>
          <w:p>
            <w:pPr>
              <w:spacing w:after="0" w:line="168" w:lineRule="exact"/>
              <w:rPr>
                <w:sz w:val="20"/>
                <w:szCs w:val="20"/>
                <w:color w:val="auto"/>
              </w:rPr>
            </w:pPr>
            <w:r>
              <w:rPr>
                <w:rFonts w:ascii="Arial" w:cs="Arial" w:eastAsia="Arial" w:hAnsi="Arial"/>
                <w:sz w:val="16"/>
                <w:szCs w:val="16"/>
                <w:color w:val="auto"/>
              </w:rPr>
              <w:t>May 29 2026 - January</w:t>
            </w:r>
          </w:p>
        </w:tc>
        <w:tc>
          <w:tcPr>
            <w:tcW w:w="1500" w:type="dxa"/>
            <w:vAlign w:val="bottom"/>
            <w:tcBorders>
              <w:right w:val="single" w:sz="8" w:color="auto"/>
            </w:tcBorders>
          </w:tcPr>
          <w:p>
            <w:pPr>
              <w:jc w:val="center"/>
              <w:spacing w:after="0" w:line="168" w:lineRule="exact"/>
              <w:rPr>
                <w:sz w:val="20"/>
                <w:szCs w:val="20"/>
                <w:color w:val="auto"/>
              </w:rPr>
            </w:pPr>
            <w:r>
              <w:rPr>
                <w:rFonts w:ascii="Arial" w:cs="Arial" w:eastAsia="Arial" w:hAnsi="Arial"/>
                <w:sz w:val="16"/>
                <w:szCs w:val="16"/>
                <w:color w:val="auto"/>
                <w:w w:val="93"/>
              </w:rPr>
              <w:t>Y</w:t>
            </w:r>
          </w:p>
        </w:tc>
        <w:tc>
          <w:tcPr>
            <w:tcW w:w="2440" w:type="dxa"/>
            <w:vAlign w:val="bottom"/>
            <w:tcBorders>
              <w:right w:val="single" w:sz="8" w:color="auto"/>
            </w:tcBorders>
          </w:tcPr>
          <w:p>
            <w:pPr>
              <w:spacing w:after="0" w:line="168" w:lineRule="exact"/>
              <w:rPr>
                <w:sz w:val="20"/>
                <w:szCs w:val="20"/>
                <w:color w:val="auto"/>
              </w:rPr>
            </w:pPr>
            <w:r>
              <w:rPr>
                <w:rFonts w:ascii="Arial" w:cs="Arial" w:eastAsia="Arial" w:hAnsi="Arial"/>
                <w:sz w:val="16"/>
                <w:szCs w:val="16"/>
                <w:color w:val="auto"/>
              </w:rPr>
              <w:t>Up to 50,000 shares of common</w:t>
            </w:r>
          </w:p>
        </w:tc>
      </w:tr>
      <w:tr>
        <w:trPr>
          <w:trHeight w:val="189"/>
        </w:trPr>
        <w:tc>
          <w:tcPr>
            <w:tcW w:w="248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Chief Scientific Officer</w:t>
            </w:r>
          </w:p>
        </w:tc>
        <w:tc>
          <w:tcPr>
            <w:tcW w:w="1520" w:type="dxa"/>
            <w:vAlign w:val="bottom"/>
            <w:tcBorders>
              <w:right w:val="single" w:sz="8" w:color="auto"/>
            </w:tcBorders>
          </w:tcPr>
          <w:p>
            <w:pPr>
              <w:spacing w:after="0"/>
              <w:rPr>
                <w:sz w:val="16"/>
                <w:szCs w:val="16"/>
                <w:color w:val="auto"/>
              </w:rPr>
            </w:pPr>
          </w:p>
        </w:tc>
        <w:tc>
          <w:tcPr>
            <w:tcW w:w="1520" w:type="dxa"/>
            <w:vAlign w:val="bottom"/>
            <w:tcBorders>
              <w:right w:val="single" w:sz="8" w:color="auto"/>
            </w:tcBorders>
          </w:tcPr>
          <w:p>
            <w:pPr>
              <w:spacing w:after="0"/>
              <w:rPr>
                <w:sz w:val="16"/>
                <w:szCs w:val="16"/>
                <w:color w:val="auto"/>
              </w:rPr>
            </w:pPr>
          </w:p>
        </w:tc>
        <w:tc>
          <w:tcPr>
            <w:tcW w:w="1780" w:type="dxa"/>
            <w:vAlign w:val="bottom"/>
            <w:tcBorders>
              <w:right w:val="single" w:sz="8" w:color="auto"/>
            </w:tcBorders>
          </w:tcPr>
          <w:p>
            <w:pPr>
              <w:spacing w:after="0"/>
              <w:rPr>
                <w:sz w:val="20"/>
                <w:szCs w:val="20"/>
                <w:color w:val="auto"/>
              </w:rPr>
            </w:pPr>
            <w:r>
              <w:rPr>
                <w:rFonts w:ascii="Arial" w:cs="Arial" w:eastAsia="Arial" w:hAnsi="Arial"/>
                <w:sz w:val="16"/>
                <w:szCs w:val="16"/>
                <w:color w:val="auto"/>
              </w:rPr>
              <w:t>29, 2027</w:t>
            </w:r>
          </w:p>
        </w:tc>
        <w:tc>
          <w:tcPr>
            <w:tcW w:w="1500" w:type="dxa"/>
            <w:vAlign w:val="bottom"/>
            <w:tcBorders>
              <w:right w:val="single" w:sz="8" w:color="auto"/>
            </w:tcBorders>
          </w:tcPr>
          <w:p>
            <w:pPr>
              <w:spacing w:after="0"/>
              <w:rPr>
                <w:sz w:val="16"/>
                <w:szCs w:val="16"/>
                <w:color w:val="auto"/>
              </w:rPr>
            </w:pPr>
          </w:p>
        </w:tc>
        <w:tc>
          <w:tcPr>
            <w:tcW w:w="2440" w:type="dxa"/>
            <w:vAlign w:val="bottom"/>
            <w:tcBorders>
              <w:right w:val="single" w:sz="8" w:color="auto"/>
            </w:tcBorders>
          </w:tcPr>
          <w:p>
            <w:pPr>
              <w:spacing w:after="0"/>
              <w:rPr>
                <w:sz w:val="20"/>
                <w:szCs w:val="20"/>
                <w:color w:val="auto"/>
              </w:rPr>
            </w:pPr>
            <w:r>
              <w:rPr>
                <w:rFonts w:ascii="Arial" w:cs="Arial" w:eastAsia="Arial" w:hAnsi="Arial"/>
                <w:sz w:val="16"/>
                <w:szCs w:val="16"/>
                <w:color w:val="auto"/>
              </w:rPr>
              <w:t>stock underlying stock options to</w:t>
            </w:r>
          </w:p>
        </w:tc>
      </w:tr>
      <w:tr>
        <w:trPr>
          <w:trHeight w:val="203"/>
        </w:trPr>
        <w:tc>
          <w:tcPr>
            <w:tcW w:w="2480" w:type="dxa"/>
            <w:vAlign w:val="bottom"/>
            <w:tcBorders>
              <w:bottom w:val="single" w:sz="8" w:color="auto"/>
              <w:right w:val="single" w:sz="8" w:color="auto"/>
            </w:tcBorders>
          </w:tcPr>
          <w:p>
            <w:pPr>
              <w:spacing w:after="0"/>
              <w:rPr>
                <w:sz w:val="17"/>
                <w:szCs w:val="17"/>
                <w:color w:val="auto"/>
              </w:rPr>
            </w:pPr>
          </w:p>
        </w:tc>
        <w:tc>
          <w:tcPr>
            <w:tcW w:w="1520" w:type="dxa"/>
            <w:vAlign w:val="bottom"/>
            <w:tcBorders>
              <w:bottom w:val="single" w:sz="8" w:color="auto"/>
              <w:right w:val="single" w:sz="8" w:color="auto"/>
            </w:tcBorders>
          </w:tcPr>
          <w:p>
            <w:pPr>
              <w:spacing w:after="0"/>
              <w:rPr>
                <w:sz w:val="17"/>
                <w:szCs w:val="17"/>
                <w:color w:val="auto"/>
              </w:rPr>
            </w:pPr>
          </w:p>
        </w:tc>
        <w:tc>
          <w:tcPr>
            <w:tcW w:w="1520" w:type="dxa"/>
            <w:vAlign w:val="bottom"/>
            <w:tcBorders>
              <w:bottom w:val="single" w:sz="8" w:color="auto"/>
              <w:right w:val="single" w:sz="8" w:color="auto"/>
            </w:tcBorders>
          </w:tcPr>
          <w:p>
            <w:pPr>
              <w:spacing w:after="0"/>
              <w:rPr>
                <w:sz w:val="17"/>
                <w:szCs w:val="17"/>
                <w:color w:val="auto"/>
              </w:rPr>
            </w:pPr>
          </w:p>
        </w:tc>
        <w:tc>
          <w:tcPr>
            <w:tcW w:w="1780" w:type="dxa"/>
            <w:vAlign w:val="bottom"/>
            <w:tcBorders>
              <w:bottom w:val="single" w:sz="8" w:color="auto"/>
              <w:right w:val="single" w:sz="8" w:color="auto"/>
            </w:tcBorders>
          </w:tcPr>
          <w:p>
            <w:pPr>
              <w:spacing w:after="0"/>
              <w:rPr>
                <w:sz w:val="17"/>
                <w:szCs w:val="17"/>
                <w:color w:val="auto"/>
              </w:rPr>
            </w:pPr>
          </w:p>
        </w:tc>
        <w:tc>
          <w:tcPr>
            <w:tcW w:w="1500" w:type="dxa"/>
            <w:vAlign w:val="bottom"/>
            <w:tcBorders>
              <w:bottom w:val="single" w:sz="8" w:color="auto"/>
              <w:right w:val="single" w:sz="8" w:color="auto"/>
            </w:tcBorders>
          </w:tcPr>
          <w:p>
            <w:pPr>
              <w:spacing w:after="0"/>
              <w:rPr>
                <w:sz w:val="17"/>
                <w:szCs w:val="17"/>
                <w:color w:val="auto"/>
              </w:rPr>
            </w:pPr>
          </w:p>
        </w:tc>
        <w:tc>
          <w:tcPr>
            <w:tcW w:w="244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6"/>
                <w:szCs w:val="16"/>
                <w:color w:val="auto"/>
              </w:rPr>
              <w:t>be sold</w:t>
            </w:r>
          </w:p>
        </w:tc>
      </w:tr>
      <w:tr>
        <w:trPr>
          <w:trHeight w:val="168"/>
        </w:trPr>
        <w:tc>
          <w:tcPr>
            <w:tcW w:w="2480" w:type="dxa"/>
            <w:vAlign w:val="bottom"/>
            <w:tcBorders>
              <w:left w:val="single" w:sz="8" w:color="CFF0FC"/>
              <w:right w:val="single" w:sz="8" w:color="auto"/>
            </w:tcBorders>
            <w:shd w:val="clear" w:color="auto" w:fill="CFF0FC"/>
          </w:tcPr>
          <w:p>
            <w:pPr>
              <w:ind w:left="20"/>
              <w:spacing w:after="0" w:line="168" w:lineRule="exact"/>
              <w:rPr>
                <w:sz w:val="20"/>
                <w:szCs w:val="20"/>
                <w:color w:val="auto"/>
              </w:rPr>
            </w:pPr>
            <w:r>
              <w:rPr>
                <w:rFonts w:ascii="Arial" w:cs="Arial" w:eastAsia="Arial" w:hAnsi="Arial"/>
                <w:sz w:val="16"/>
                <w:szCs w:val="16"/>
                <w:color w:val="auto"/>
              </w:rPr>
              <w:t>Filip Janku</w:t>
            </w:r>
          </w:p>
        </w:tc>
        <w:tc>
          <w:tcPr>
            <w:tcW w:w="1520" w:type="dxa"/>
            <w:vAlign w:val="bottom"/>
            <w:tcBorders>
              <w:right w:val="single" w:sz="8" w:color="auto"/>
            </w:tcBorders>
            <w:shd w:val="clear" w:color="auto" w:fill="CFF0FC"/>
          </w:tcPr>
          <w:p>
            <w:pPr>
              <w:spacing w:after="0" w:line="168" w:lineRule="exact"/>
              <w:rPr>
                <w:sz w:val="20"/>
                <w:szCs w:val="20"/>
                <w:color w:val="auto"/>
              </w:rPr>
            </w:pPr>
            <w:r>
              <w:rPr>
                <w:rFonts w:ascii="Arial" w:cs="Arial" w:eastAsia="Arial" w:hAnsi="Arial"/>
                <w:sz w:val="16"/>
                <w:szCs w:val="16"/>
                <w:color w:val="auto"/>
              </w:rPr>
              <w:t>Adopt</w:t>
            </w:r>
          </w:p>
        </w:tc>
        <w:tc>
          <w:tcPr>
            <w:tcW w:w="1520" w:type="dxa"/>
            <w:vAlign w:val="bottom"/>
            <w:tcBorders>
              <w:right w:val="single" w:sz="8" w:color="auto"/>
            </w:tcBorders>
            <w:shd w:val="clear" w:color="auto" w:fill="CFF0FC"/>
          </w:tcPr>
          <w:p>
            <w:pPr>
              <w:spacing w:after="0" w:line="168" w:lineRule="exact"/>
              <w:rPr>
                <w:sz w:val="20"/>
                <w:szCs w:val="20"/>
                <w:color w:val="auto"/>
              </w:rPr>
            </w:pPr>
            <w:r>
              <w:rPr>
                <w:rFonts w:ascii="Arial" w:cs="Arial" w:eastAsia="Arial" w:hAnsi="Arial"/>
                <w:sz w:val="16"/>
                <w:szCs w:val="16"/>
                <w:color w:val="auto"/>
              </w:rPr>
              <w:t>March 4, 2026</w:t>
            </w:r>
          </w:p>
        </w:tc>
        <w:tc>
          <w:tcPr>
            <w:tcW w:w="1780" w:type="dxa"/>
            <w:vAlign w:val="bottom"/>
            <w:tcBorders>
              <w:right w:val="single" w:sz="8" w:color="auto"/>
            </w:tcBorders>
            <w:shd w:val="clear" w:color="auto" w:fill="CFF0FC"/>
          </w:tcPr>
          <w:p>
            <w:pPr>
              <w:spacing w:after="0" w:line="168" w:lineRule="exact"/>
              <w:rPr>
                <w:sz w:val="20"/>
                <w:szCs w:val="20"/>
                <w:color w:val="auto"/>
              </w:rPr>
            </w:pPr>
            <w:r>
              <w:rPr>
                <w:rFonts w:ascii="Arial" w:cs="Arial" w:eastAsia="Arial" w:hAnsi="Arial"/>
                <w:sz w:val="16"/>
                <w:szCs w:val="16"/>
                <w:color w:val="auto"/>
              </w:rPr>
              <w:t>June 3, 2026 - February</w:t>
            </w:r>
          </w:p>
        </w:tc>
        <w:tc>
          <w:tcPr>
            <w:tcW w:w="1500" w:type="dxa"/>
            <w:vAlign w:val="bottom"/>
            <w:tcBorders>
              <w:right w:val="single" w:sz="8" w:color="auto"/>
            </w:tcBorders>
            <w:shd w:val="clear" w:color="auto" w:fill="CFF0FC"/>
          </w:tcPr>
          <w:p>
            <w:pPr>
              <w:jc w:val="center"/>
              <w:spacing w:after="0" w:line="168" w:lineRule="exact"/>
              <w:rPr>
                <w:sz w:val="20"/>
                <w:szCs w:val="20"/>
                <w:color w:val="auto"/>
              </w:rPr>
            </w:pPr>
            <w:r>
              <w:rPr>
                <w:rFonts w:ascii="Arial" w:cs="Arial" w:eastAsia="Arial" w:hAnsi="Arial"/>
                <w:sz w:val="16"/>
                <w:szCs w:val="16"/>
                <w:color w:val="auto"/>
                <w:w w:val="93"/>
              </w:rPr>
              <w:t>Y</w:t>
            </w:r>
          </w:p>
        </w:tc>
        <w:tc>
          <w:tcPr>
            <w:tcW w:w="2440" w:type="dxa"/>
            <w:vAlign w:val="bottom"/>
            <w:tcBorders>
              <w:right w:val="single" w:sz="8" w:color="auto"/>
            </w:tcBorders>
            <w:shd w:val="clear" w:color="auto" w:fill="CFF0FC"/>
          </w:tcPr>
          <w:p>
            <w:pPr>
              <w:spacing w:after="0" w:line="168" w:lineRule="exact"/>
              <w:rPr>
                <w:sz w:val="20"/>
                <w:szCs w:val="20"/>
                <w:color w:val="auto"/>
              </w:rPr>
            </w:pPr>
            <w:r>
              <w:rPr>
                <w:rFonts w:ascii="Arial" w:cs="Arial" w:eastAsia="Arial" w:hAnsi="Arial"/>
                <w:sz w:val="16"/>
                <w:szCs w:val="16"/>
                <w:color w:val="auto"/>
              </w:rPr>
              <w:t>Up to 74,304 shares of common</w:t>
            </w:r>
          </w:p>
        </w:tc>
      </w:tr>
      <w:tr>
        <w:trPr>
          <w:trHeight w:val="189"/>
        </w:trPr>
        <w:tc>
          <w:tcPr>
            <w:tcW w:w="2480" w:type="dxa"/>
            <w:vAlign w:val="bottom"/>
            <w:tcBorders>
              <w:left w:val="single" w:sz="8" w:color="CFF0FC"/>
              <w:right w:val="single" w:sz="8" w:color="auto"/>
            </w:tcBorders>
            <w:shd w:val="clear" w:color="auto" w:fill="CFF0FC"/>
          </w:tcPr>
          <w:p>
            <w:pPr>
              <w:ind w:left="20"/>
              <w:spacing w:after="0"/>
              <w:rPr>
                <w:sz w:val="20"/>
                <w:szCs w:val="20"/>
                <w:color w:val="auto"/>
              </w:rPr>
            </w:pPr>
            <w:r>
              <w:rPr>
                <w:rFonts w:ascii="Arial" w:cs="Arial" w:eastAsia="Arial" w:hAnsi="Arial"/>
                <w:sz w:val="16"/>
                <w:szCs w:val="16"/>
                <w:color w:val="auto"/>
              </w:rPr>
              <w:t>Chief Medical Officer</w:t>
            </w:r>
          </w:p>
        </w:tc>
        <w:tc>
          <w:tcPr>
            <w:tcW w:w="1520" w:type="dxa"/>
            <w:vAlign w:val="bottom"/>
            <w:tcBorders>
              <w:right w:val="single" w:sz="8" w:color="auto"/>
            </w:tcBorders>
            <w:shd w:val="clear" w:color="auto" w:fill="CFF0FC"/>
          </w:tcPr>
          <w:p>
            <w:pPr>
              <w:spacing w:after="0"/>
              <w:rPr>
                <w:sz w:val="16"/>
                <w:szCs w:val="16"/>
                <w:color w:val="auto"/>
              </w:rPr>
            </w:pPr>
          </w:p>
        </w:tc>
        <w:tc>
          <w:tcPr>
            <w:tcW w:w="1520" w:type="dxa"/>
            <w:vAlign w:val="bottom"/>
            <w:tcBorders>
              <w:right w:val="single" w:sz="8" w:color="auto"/>
            </w:tcBorders>
            <w:shd w:val="clear" w:color="auto" w:fill="CFF0FC"/>
          </w:tcPr>
          <w:p>
            <w:pPr>
              <w:spacing w:after="0"/>
              <w:rPr>
                <w:sz w:val="16"/>
                <w:szCs w:val="16"/>
                <w:color w:val="auto"/>
              </w:rPr>
            </w:pPr>
          </w:p>
        </w:tc>
        <w:tc>
          <w:tcPr>
            <w:tcW w:w="1780" w:type="dxa"/>
            <w:vAlign w:val="bottom"/>
            <w:tcBorders>
              <w:right w:val="single" w:sz="8" w:color="auto"/>
            </w:tcBorders>
            <w:shd w:val="clear" w:color="auto" w:fill="CFF0FC"/>
          </w:tcPr>
          <w:p>
            <w:pPr>
              <w:spacing w:after="0"/>
              <w:rPr>
                <w:sz w:val="20"/>
                <w:szCs w:val="20"/>
                <w:color w:val="auto"/>
              </w:rPr>
            </w:pPr>
            <w:r>
              <w:rPr>
                <w:rFonts w:ascii="Arial" w:cs="Arial" w:eastAsia="Arial" w:hAnsi="Arial"/>
                <w:sz w:val="16"/>
                <w:szCs w:val="16"/>
                <w:color w:val="auto"/>
              </w:rPr>
              <w:t>5, 2027</w:t>
            </w:r>
          </w:p>
        </w:tc>
        <w:tc>
          <w:tcPr>
            <w:tcW w:w="1500" w:type="dxa"/>
            <w:vAlign w:val="bottom"/>
            <w:tcBorders>
              <w:right w:val="single" w:sz="8" w:color="auto"/>
            </w:tcBorders>
            <w:shd w:val="clear" w:color="auto" w:fill="CFF0FC"/>
          </w:tcPr>
          <w:p>
            <w:pPr>
              <w:spacing w:after="0"/>
              <w:rPr>
                <w:sz w:val="16"/>
                <w:szCs w:val="16"/>
                <w:color w:val="auto"/>
              </w:rPr>
            </w:pPr>
          </w:p>
        </w:tc>
        <w:tc>
          <w:tcPr>
            <w:tcW w:w="2440" w:type="dxa"/>
            <w:vAlign w:val="bottom"/>
            <w:tcBorders>
              <w:right w:val="single" w:sz="8" w:color="auto"/>
            </w:tcBorders>
            <w:shd w:val="clear" w:color="auto" w:fill="CFF0FC"/>
          </w:tcPr>
          <w:p>
            <w:pPr>
              <w:spacing w:after="0"/>
              <w:rPr>
                <w:sz w:val="20"/>
                <w:szCs w:val="20"/>
                <w:color w:val="auto"/>
              </w:rPr>
            </w:pPr>
            <w:r>
              <w:rPr>
                <w:rFonts w:ascii="Arial" w:cs="Arial" w:eastAsia="Arial" w:hAnsi="Arial"/>
                <w:sz w:val="16"/>
                <w:szCs w:val="16"/>
                <w:color w:val="auto"/>
              </w:rPr>
              <w:t>stock to be sold, consisting of up</w:t>
            </w:r>
          </w:p>
        </w:tc>
      </w:tr>
      <w:tr>
        <w:trPr>
          <w:trHeight w:val="189"/>
        </w:trPr>
        <w:tc>
          <w:tcPr>
            <w:tcW w:w="2480" w:type="dxa"/>
            <w:vAlign w:val="bottom"/>
            <w:tcBorders>
              <w:left w:val="single" w:sz="8" w:color="CFF0FC"/>
              <w:right w:val="single" w:sz="8" w:color="auto"/>
            </w:tcBorders>
            <w:shd w:val="clear" w:color="auto" w:fill="CFF0FC"/>
          </w:tcPr>
          <w:p>
            <w:pPr>
              <w:spacing w:after="0"/>
              <w:rPr>
                <w:sz w:val="16"/>
                <w:szCs w:val="16"/>
                <w:color w:val="auto"/>
              </w:rPr>
            </w:pPr>
          </w:p>
        </w:tc>
        <w:tc>
          <w:tcPr>
            <w:tcW w:w="1520" w:type="dxa"/>
            <w:vAlign w:val="bottom"/>
            <w:tcBorders>
              <w:right w:val="single" w:sz="8" w:color="auto"/>
            </w:tcBorders>
            <w:shd w:val="clear" w:color="auto" w:fill="CFF0FC"/>
          </w:tcPr>
          <w:p>
            <w:pPr>
              <w:spacing w:after="0"/>
              <w:rPr>
                <w:sz w:val="16"/>
                <w:szCs w:val="16"/>
                <w:color w:val="auto"/>
              </w:rPr>
            </w:pPr>
          </w:p>
        </w:tc>
        <w:tc>
          <w:tcPr>
            <w:tcW w:w="1520" w:type="dxa"/>
            <w:vAlign w:val="bottom"/>
            <w:tcBorders>
              <w:right w:val="single" w:sz="8" w:color="auto"/>
            </w:tcBorders>
            <w:shd w:val="clear" w:color="auto" w:fill="CFF0FC"/>
          </w:tcPr>
          <w:p>
            <w:pPr>
              <w:spacing w:after="0"/>
              <w:rPr>
                <w:sz w:val="16"/>
                <w:szCs w:val="16"/>
                <w:color w:val="auto"/>
              </w:rPr>
            </w:pPr>
          </w:p>
        </w:tc>
        <w:tc>
          <w:tcPr>
            <w:tcW w:w="1780" w:type="dxa"/>
            <w:vAlign w:val="bottom"/>
            <w:tcBorders>
              <w:right w:val="single" w:sz="8" w:color="auto"/>
            </w:tcBorders>
            <w:shd w:val="clear" w:color="auto" w:fill="CFF0FC"/>
          </w:tcPr>
          <w:p>
            <w:pPr>
              <w:spacing w:after="0"/>
              <w:rPr>
                <w:sz w:val="16"/>
                <w:szCs w:val="16"/>
                <w:color w:val="auto"/>
              </w:rPr>
            </w:pPr>
          </w:p>
        </w:tc>
        <w:tc>
          <w:tcPr>
            <w:tcW w:w="1500" w:type="dxa"/>
            <w:vAlign w:val="bottom"/>
            <w:tcBorders>
              <w:right w:val="single" w:sz="8" w:color="auto"/>
            </w:tcBorders>
            <w:shd w:val="clear" w:color="auto" w:fill="CFF0FC"/>
          </w:tcPr>
          <w:p>
            <w:pPr>
              <w:spacing w:after="0"/>
              <w:rPr>
                <w:sz w:val="16"/>
                <w:szCs w:val="16"/>
                <w:color w:val="auto"/>
              </w:rPr>
            </w:pPr>
          </w:p>
        </w:tc>
        <w:tc>
          <w:tcPr>
            <w:tcW w:w="2440" w:type="dxa"/>
            <w:vAlign w:val="bottom"/>
            <w:tcBorders>
              <w:right w:val="single" w:sz="8" w:color="auto"/>
            </w:tcBorders>
            <w:shd w:val="clear" w:color="auto" w:fill="CFF0FC"/>
          </w:tcPr>
          <w:p>
            <w:pPr>
              <w:spacing w:after="0"/>
              <w:rPr>
                <w:sz w:val="20"/>
                <w:szCs w:val="20"/>
                <w:color w:val="auto"/>
              </w:rPr>
            </w:pPr>
            <w:r>
              <w:rPr>
                <w:rFonts w:ascii="Arial" w:cs="Arial" w:eastAsia="Arial" w:hAnsi="Arial"/>
                <w:sz w:val="16"/>
                <w:szCs w:val="16"/>
                <w:color w:val="auto"/>
              </w:rPr>
              <w:t>to 68,459 shares underlying</w:t>
            </w:r>
          </w:p>
        </w:tc>
      </w:tr>
      <w:tr>
        <w:trPr>
          <w:trHeight w:val="189"/>
        </w:trPr>
        <w:tc>
          <w:tcPr>
            <w:tcW w:w="2480" w:type="dxa"/>
            <w:vAlign w:val="bottom"/>
            <w:tcBorders>
              <w:left w:val="single" w:sz="8" w:color="CFF0FC"/>
              <w:right w:val="single" w:sz="8" w:color="auto"/>
            </w:tcBorders>
            <w:shd w:val="clear" w:color="auto" w:fill="CFF0FC"/>
          </w:tcPr>
          <w:p>
            <w:pPr>
              <w:spacing w:after="0"/>
              <w:rPr>
                <w:sz w:val="16"/>
                <w:szCs w:val="16"/>
                <w:color w:val="auto"/>
              </w:rPr>
            </w:pPr>
          </w:p>
        </w:tc>
        <w:tc>
          <w:tcPr>
            <w:tcW w:w="1520" w:type="dxa"/>
            <w:vAlign w:val="bottom"/>
            <w:tcBorders>
              <w:right w:val="single" w:sz="8" w:color="auto"/>
            </w:tcBorders>
            <w:shd w:val="clear" w:color="auto" w:fill="CFF0FC"/>
          </w:tcPr>
          <w:p>
            <w:pPr>
              <w:spacing w:after="0"/>
              <w:rPr>
                <w:sz w:val="16"/>
                <w:szCs w:val="16"/>
                <w:color w:val="auto"/>
              </w:rPr>
            </w:pPr>
          </w:p>
        </w:tc>
        <w:tc>
          <w:tcPr>
            <w:tcW w:w="1520" w:type="dxa"/>
            <w:vAlign w:val="bottom"/>
            <w:tcBorders>
              <w:right w:val="single" w:sz="8" w:color="auto"/>
            </w:tcBorders>
            <w:shd w:val="clear" w:color="auto" w:fill="CFF0FC"/>
          </w:tcPr>
          <w:p>
            <w:pPr>
              <w:spacing w:after="0"/>
              <w:rPr>
                <w:sz w:val="16"/>
                <w:szCs w:val="16"/>
                <w:color w:val="auto"/>
              </w:rPr>
            </w:pPr>
          </w:p>
        </w:tc>
        <w:tc>
          <w:tcPr>
            <w:tcW w:w="1780" w:type="dxa"/>
            <w:vAlign w:val="bottom"/>
            <w:tcBorders>
              <w:right w:val="single" w:sz="8" w:color="auto"/>
            </w:tcBorders>
            <w:shd w:val="clear" w:color="auto" w:fill="CFF0FC"/>
          </w:tcPr>
          <w:p>
            <w:pPr>
              <w:spacing w:after="0"/>
              <w:rPr>
                <w:sz w:val="16"/>
                <w:szCs w:val="16"/>
                <w:color w:val="auto"/>
              </w:rPr>
            </w:pPr>
          </w:p>
        </w:tc>
        <w:tc>
          <w:tcPr>
            <w:tcW w:w="1500" w:type="dxa"/>
            <w:vAlign w:val="bottom"/>
            <w:tcBorders>
              <w:right w:val="single" w:sz="8" w:color="auto"/>
            </w:tcBorders>
            <w:shd w:val="clear" w:color="auto" w:fill="CFF0FC"/>
          </w:tcPr>
          <w:p>
            <w:pPr>
              <w:spacing w:after="0"/>
              <w:rPr>
                <w:sz w:val="16"/>
                <w:szCs w:val="16"/>
                <w:color w:val="auto"/>
              </w:rPr>
            </w:pPr>
          </w:p>
        </w:tc>
        <w:tc>
          <w:tcPr>
            <w:tcW w:w="2440" w:type="dxa"/>
            <w:vAlign w:val="bottom"/>
            <w:tcBorders>
              <w:right w:val="single" w:sz="8" w:color="auto"/>
            </w:tcBorders>
            <w:shd w:val="clear" w:color="auto" w:fill="CFF0FC"/>
          </w:tcPr>
          <w:p>
            <w:pPr>
              <w:spacing w:after="0"/>
              <w:rPr>
                <w:sz w:val="20"/>
                <w:szCs w:val="20"/>
                <w:color w:val="auto"/>
              </w:rPr>
            </w:pPr>
            <w:r>
              <w:rPr>
                <w:rFonts w:ascii="Arial" w:cs="Arial" w:eastAsia="Arial" w:hAnsi="Arial"/>
                <w:sz w:val="16"/>
                <w:szCs w:val="16"/>
                <w:color w:val="auto"/>
              </w:rPr>
              <w:t>stock options and up to 5,485</w:t>
            </w:r>
          </w:p>
        </w:tc>
      </w:tr>
      <w:tr>
        <w:trPr>
          <w:trHeight w:val="189"/>
        </w:trPr>
        <w:tc>
          <w:tcPr>
            <w:tcW w:w="2480" w:type="dxa"/>
            <w:vAlign w:val="bottom"/>
            <w:tcBorders>
              <w:left w:val="single" w:sz="8" w:color="CFF0FC"/>
              <w:right w:val="single" w:sz="8" w:color="auto"/>
            </w:tcBorders>
            <w:shd w:val="clear" w:color="auto" w:fill="CFF0FC"/>
          </w:tcPr>
          <w:p>
            <w:pPr>
              <w:spacing w:after="0"/>
              <w:rPr>
                <w:sz w:val="16"/>
                <w:szCs w:val="16"/>
                <w:color w:val="auto"/>
              </w:rPr>
            </w:pPr>
          </w:p>
        </w:tc>
        <w:tc>
          <w:tcPr>
            <w:tcW w:w="1520" w:type="dxa"/>
            <w:vAlign w:val="bottom"/>
            <w:tcBorders>
              <w:right w:val="single" w:sz="8" w:color="auto"/>
            </w:tcBorders>
            <w:shd w:val="clear" w:color="auto" w:fill="CFF0FC"/>
          </w:tcPr>
          <w:p>
            <w:pPr>
              <w:spacing w:after="0"/>
              <w:rPr>
                <w:sz w:val="16"/>
                <w:szCs w:val="16"/>
                <w:color w:val="auto"/>
              </w:rPr>
            </w:pPr>
          </w:p>
        </w:tc>
        <w:tc>
          <w:tcPr>
            <w:tcW w:w="1520" w:type="dxa"/>
            <w:vAlign w:val="bottom"/>
            <w:tcBorders>
              <w:right w:val="single" w:sz="8" w:color="auto"/>
            </w:tcBorders>
            <w:shd w:val="clear" w:color="auto" w:fill="CFF0FC"/>
          </w:tcPr>
          <w:p>
            <w:pPr>
              <w:spacing w:after="0"/>
              <w:rPr>
                <w:sz w:val="16"/>
                <w:szCs w:val="16"/>
                <w:color w:val="auto"/>
              </w:rPr>
            </w:pPr>
          </w:p>
        </w:tc>
        <w:tc>
          <w:tcPr>
            <w:tcW w:w="1780" w:type="dxa"/>
            <w:vAlign w:val="bottom"/>
            <w:tcBorders>
              <w:right w:val="single" w:sz="8" w:color="auto"/>
            </w:tcBorders>
            <w:shd w:val="clear" w:color="auto" w:fill="CFF0FC"/>
          </w:tcPr>
          <w:p>
            <w:pPr>
              <w:spacing w:after="0"/>
              <w:rPr>
                <w:sz w:val="16"/>
                <w:szCs w:val="16"/>
                <w:color w:val="auto"/>
              </w:rPr>
            </w:pPr>
          </w:p>
        </w:tc>
        <w:tc>
          <w:tcPr>
            <w:tcW w:w="1500" w:type="dxa"/>
            <w:vAlign w:val="bottom"/>
            <w:tcBorders>
              <w:right w:val="single" w:sz="8" w:color="auto"/>
            </w:tcBorders>
            <w:shd w:val="clear" w:color="auto" w:fill="CFF0FC"/>
          </w:tcPr>
          <w:p>
            <w:pPr>
              <w:spacing w:after="0"/>
              <w:rPr>
                <w:sz w:val="16"/>
                <w:szCs w:val="16"/>
                <w:color w:val="auto"/>
              </w:rPr>
            </w:pPr>
          </w:p>
        </w:tc>
        <w:tc>
          <w:tcPr>
            <w:tcW w:w="2440" w:type="dxa"/>
            <w:vAlign w:val="bottom"/>
            <w:tcBorders>
              <w:right w:val="single" w:sz="8" w:color="auto"/>
            </w:tcBorders>
            <w:shd w:val="clear" w:color="auto" w:fill="CFF0FC"/>
          </w:tcPr>
          <w:p>
            <w:pPr>
              <w:spacing w:after="0"/>
              <w:rPr>
                <w:sz w:val="20"/>
                <w:szCs w:val="20"/>
                <w:color w:val="auto"/>
              </w:rPr>
            </w:pPr>
            <w:r>
              <w:rPr>
                <w:rFonts w:ascii="Arial" w:cs="Arial" w:eastAsia="Arial" w:hAnsi="Arial"/>
                <w:sz w:val="16"/>
                <w:szCs w:val="16"/>
                <w:color w:val="auto"/>
              </w:rPr>
              <w:t>shares underlying restricted stock</w:t>
            </w:r>
          </w:p>
        </w:tc>
      </w:tr>
      <w:tr>
        <w:trPr>
          <w:trHeight w:val="203"/>
        </w:trPr>
        <w:tc>
          <w:tcPr>
            <w:tcW w:w="2480" w:type="dxa"/>
            <w:vAlign w:val="bottom"/>
            <w:tcBorders>
              <w:left w:val="single" w:sz="8" w:color="CFF0FC"/>
              <w:bottom w:val="single" w:sz="8" w:color="auto"/>
              <w:right w:val="single" w:sz="8" w:color="auto"/>
            </w:tcBorders>
            <w:shd w:val="clear" w:color="auto" w:fill="CFF0FC"/>
          </w:tcPr>
          <w:p>
            <w:pPr>
              <w:spacing w:after="0"/>
              <w:rPr>
                <w:sz w:val="17"/>
                <w:szCs w:val="17"/>
                <w:color w:val="auto"/>
              </w:rPr>
            </w:pPr>
          </w:p>
        </w:tc>
        <w:tc>
          <w:tcPr>
            <w:tcW w:w="1520" w:type="dxa"/>
            <w:vAlign w:val="bottom"/>
            <w:tcBorders>
              <w:bottom w:val="single" w:sz="8" w:color="auto"/>
              <w:right w:val="single" w:sz="8" w:color="auto"/>
            </w:tcBorders>
            <w:shd w:val="clear" w:color="auto" w:fill="CFF0FC"/>
          </w:tcPr>
          <w:p>
            <w:pPr>
              <w:spacing w:after="0"/>
              <w:rPr>
                <w:sz w:val="17"/>
                <w:szCs w:val="17"/>
                <w:color w:val="auto"/>
              </w:rPr>
            </w:pPr>
          </w:p>
        </w:tc>
        <w:tc>
          <w:tcPr>
            <w:tcW w:w="1520" w:type="dxa"/>
            <w:vAlign w:val="bottom"/>
            <w:tcBorders>
              <w:bottom w:val="single" w:sz="8" w:color="auto"/>
              <w:right w:val="single" w:sz="8" w:color="auto"/>
            </w:tcBorders>
            <w:shd w:val="clear" w:color="auto" w:fill="CFF0FC"/>
          </w:tcPr>
          <w:p>
            <w:pPr>
              <w:spacing w:after="0"/>
              <w:rPr>
                <w:sz w:val="17"/>
                <w:szCs w:val="17"/>
                <w:color w:val="auto"/>
              </w:rPr>
            </w:pPr>
          </w:p>
        </w:tc>
        <w:tc>
          <w:tcPr>
            <w:tcW w:w="1780" w:type="dxa"/>
            <w:vAlign w:val="bottom"/>
            <w:tcBorders>
              <w:bottom w:val="single" w:sz="8" w:color="auto"/>
              <w:right w:val="single" w:sz="8" w:color="auto"/>
            </w:tcBorders>
            <w:shd w:val="clear" w:color="auto" w:fill="CFF0FC"/>
          </w:tcPr>
          <w:p>
            <w:pPr>
              <w:spacing w:after="0"/>
              <w:rPr>
                <w:sz w:val="17"/>
                <w:szCs w:val="17"/>
                <w:color w:val="auto"/>
              </w:rPr>
            </w:pPr>
          </w:p>
        </w:tc>
        <w:tc>
          <w:tcPr>
            <w:tcW w:w="1500" w:type="dxa"/>
            <w:vAlign w:val="bottom"/>
            <w:tcBorders>
              <w:bottom w:val="single" w:sz="8" w:color="auto"/>
              <w:right w:val="single" w:sz="8" w:color="auto"/>
            </w:tcBorders>
            <w:shd w:val="clear" w:color="auto" w:fill="CFF0FC"/>
          </w:tcPr>
          <w:p>
            <w:pPr>
              <w:spacing w:after="0"/>
              <w:rPr>
                <w:sz w:val="17"/>
                <w:szCs w:val="17"/>
                <w:color w:val="auto"/>
              </w:rPr>
            </w:pPr>
          </w:p>
        </w:tc>
        <w:tc>
          <w:tcPr>
            <w:tcW w:w="2440" w:type="dxa"/>
            <w:vAlign w:val="bottom"/>
            <w:tcBorders>
              <w:bottom w:val="single" w:sz="8" w:color="auto"/>
              <w:right w:val="single" w:sz="8" w:color="auto"/>
            </w:tcBorders>
            <w:shd w:val="clear" w:color="auto" w:fill="CFF0FC"/>
          </w:tcPr>
          <w:p>
            <w:pPr>
              <w:spacing w:after="0"/>
              <w:rPr>
                <w:sz w:val="20"/>
                <w:szCs w:val="20"/>
                <w:color w:val="auto"/>
              </w:rPr>
            </w:pPr>
            <w:r>
              <w:rPr>
                <w:rFonts w:ascii="Arial" w:cs="Arial" w:eastAsia="Arial" w:hAnsi="Arial"/>
                <w:sz w:val="16"/>
                <w:szCs w:val="16"/>
                <w:color w:val="auto"/>
              </w:rPr>
              <w:t>units</w:t>
            </w:r>
          </w:p>
        </w:tc>
      </w:tr>
    </w:tbl>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24" w:right="339" w:bottom="1440" w:gutter="0" w:footer="0" w:header="0"/>
        </w:sectPr>
      </w:pPr>
    </w:p>
    <w:bookmarkStart w:id="35" w:name="page36"/>
    <w:bookmarkEnd w:id="35"/>
    <w:p>
      <w:pPr>
        <w:spacing w:after="0"/>
        <w:rPr>
          <w:sz w:val="20"/>
          <w:szCs w:val="20"/>
          <w:color w:val="auto"/>
        </w:rPr>
      </w:pPr>
      <w:r>
        <w:rPr>
          <w:rFonts w:ascii="Arial" w:cs="Arial" w:eastAsia="Arial" w:hAnsi="Arial"/>
          <w:sz w:val="32"/>
          <w:szCs w:val="32"/>
          <w:b w:val="1"/>
          <w:bCs w:val="1"/>
          <w:color w:val="auto"/>
        </w:rPr>
        <w:t>Item 6. Exhibits</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180" w:type="dxa"/>
            <w:vAlign w:val="bottom"/>
          </w:tcPr>
          <w:p>
            <w:pPr>
              <w:ind w:left="340"/>
              <w:spacing w:after="0"/>
              <w:rPr>
                <w:sz w:val="20"/>
                <w:szCs w:val="20"/>
                <w:color w:val="auto"/>
              </w:rPr>
            </w:pPr>
            <w:r>
              <w:rPr>
                <w:rFonts w:ascii="Arial" w:cs="Arial" w:eastAsia="Arial" w:hAnsi="Arial"/>
                <w:sz w:val="14"/>
                <w:szCs w:val="14"/>
                <w:b w:val="1"/>
                <w:bCs w:val="1"/>
                <w:color w:val="auto"/>
              </w:rPr>
              <w:t>Exhibit</w:t>
            </w:r>
          </w:p>
        </w:tc>
        <w:tc>
          <w:tcPr>
            <w:tcW w:w="140" w:type="dxa"/>
            <w:vAlign w:val="bottom"/>
          </w:tcPr>
          <w:p>
            <w:pPr>
              <w:spacing w:after="0"/>
              <w:rPr>
                <w:sz w:val="14"/>
                <w:szCs w:val="14"/>
                <w:color w:val="auto"/>
              </w:rPr>
            </w:pPr>
          </w:p>
        </w:tc>
        <w:tc>
          <w:tcPr>
            <w:tcW w:w="4760" w:type="dxa"/>
            <w:vAlign w:val="bottom"/>
          </w:tcPr>
          <w:p>
            <w:pPr>
              <w:spacing w:after="0"/>
              <w:rPr>
                <w:sz w:val="14"/>
                <w:szCs w:val="14"/>
                <w:color w:val="auto"/>
              </w:rPr>
            </w:pPr>
          </w:p>
        </w:tc>
        <w:tc>
          <w:tcPr>
            <w:tcW w:w="24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1180" w:type="dxa"/>
            <w:vAlign w:val="bottom"/>
            <w:tcBorders>
              <w:bottom w:val="single" w:sz="8" w:color="auto"/>
            </w:tcBorders>
          </w:tcPr>
          <w:p>
            <w:pPr>
              <w:ind w:left="320"/>
              <w:spacing w:after="0"/>
              <w:rPr>
                <w:sz w:val="20"/>
                <w:szCs w:val="20"/>
                <w:color w:val="auto"/>
              </w:rPr>
            </w:pPr>
            <w:r>
              <w:rPr>
                <w:rFonts w:ascii="Arial" w:cs="Arial" w:eastAsia="Arial" w:hAnsi="Arial"/>
                <w:sz w:val="14"/>
                <w:szCs w:val="14"/>
                <w:b w:val="1"/>
                <w:bCs w:val="1"/>
                <w:color w:val="auto"/>
              </w:rPr>
              <w:t>Number</w:t>
            </w:r>
          </w:p>
        </w:tc>
        <w:tc>
          <w:tcPr>
            <w:tcW w:w="140" w:type="dxa"/>
            <w:vAlign w:val="bottom"/>
          </w:tcPr>
          <w:p>
            <w:pPr>
              <w:spacing w:after="0"/>
              <w:rPr>
                <w:sz w:val="14"/>
                <w:szCs w:val="14"/>
                <w:color w:val="auto"/>
              </w:rPr>
            </w:pPr>
          </w:p>
        </w:tc>
        <w:tc>
          <w:tcPr>
            <w:tcW w:w="9920" w:type="dxa"/>
            <w:vAlign w:val="bottom"/>
            <w:tcBorders>
              <w:bottom w:val="single" w:sz="8" w:color="auto"/>
            </w:tcBorders>
            <w:gridSpan w:val="11"/>
          </w:tcPr>
          <w:p>
            <w:pPr>
              <w:ind w:left="4540"/>
              <w:spacing w:after="0"/>
              <w:rPr>
                <w:sz w:val="20"/>
                <w:szCs w:val="20"/>
                <w:color w:val="auto"/>
              </w:rPr>
            </w:pPr>
            <w:r>
              <w:rPr>
                <w:rFonts w:ascii="Arial" w:cs="Arial" w:eastAsia="Arial" w:hAnsi="Arial"/>
                <w:sz w:val="14"/>
                <w:szCs w:val="14"/>
                <w:b w:val="1"/>
                <w:bCs w:val="1"/>
                <w:color w:val="auto"/>
              </w:rPr>
              <w:t>Description</w:t>
            </w:r>
          </w:p>
        </w:tc>
        <w:tc>
          <w:tcPr>
            <w:tcW w:w="0" w:type="dxa"/>
            <w:vAlign w:val="bottom"/>
          </w:tcPr>
          <w:p>
            <w:pPr>
              <w:spacing w:after="0"/>
              <w:rPr>
                <w:sz w:val="1"/>
                <w:szCs w:val="1"/>
                <w:color w:val="auto"/>
              </w:rPr>
            </w:pPr>
          </w:p>
        </w:tc>
      </w:tr>
      <w:tr>
        <w:trPr>
          <w:trHeight w:val="291"/>
        </w:trPr>
        <w:tc>
          <w:tcPr>
            <w:tcW w:w="1180" w:type="dxa"/>
            <w:vAlign w:val="bottom"/>
          </w:tcPr>
          <w:p>
            <w:pPr>
              <w:spacing w:after="0"/>
              <w:rPr>
                <w:sz w:val="20"/>
                <w:szCs w:val="20"/>
                <w:color w:val="auto"/>
              </w:rPr>
            </w:pPr>
            <w:r>
              <w:rPr>
                <w:rFonts w:ascii="Arial" w:cs="Arial" w:eastAsia="Arial" w:hAnsi="Arial"/>
                <w:sz w:val="18"/>
                <w:szCs w:val="18"/>
                <w:color w:val="auto"/>
              </w:rPr>
              <w:t>3.1</w:t>
            </w:r>
          </w:p>
        </w:tc>
        <w:tc>
          <w:tcPr>
            <w:tcW w:w="140" w:type="dxa"/>
            <w:vAlign w:val="bottom"/>
          </w:tcPr>
          <w:p>
            <w:pPr>
              <w:spacing w:after="0"/>
              <w:rPr>
                <w:sz w:val="24"/>
                <w:szCs w:val="24"/>
                <w:color w:val="auto"/>
              </w:rPr>
            </w:pPr>
          </w:p>
        </w:tc>
        <w:tc>
          <w:tcPr>
            <w:tcW w:w="9920" w:type="dxa"/>
            <w:vAlign w:val="bottom"/>
            <w:gridSpan w:val="11"/>
          </w:tcPr>
          <w:p>
            <w:pPr>
              <w:spacing w:after="0"/>
              <w:rPr>
                <w:rFonts w:ascii="Arial" w:cs="Arial" w:eastAsia="Arial" w:hAnsi="Arial"/>
                <w:sz w:val="18"/>
                <w:szCs w:val="18"/>
                <w:color w:val="0000FF"/>
              </w:rPr>
            </w:pPr>
            <w:hyperlink r:id="rId95">
              <w:r>
                <w:rPr>
                  <w:rFonts w:ascii="Arial" w:cs="Arial" w:eastAsia="Arial" w:hAnsi="Arial"/>
                  <w:sz w:val="18"/>
                  <w:szCs w:val="18"/>
                  <w:color w:val="0000FF"/>
                </w:rPr>
                <w:t>Fourth Amended and Restated Certificate of Incorporation of Registrant, as currently in effect (incorporated by reference to</w:t>
              </w:r>
            </w:hyperlink>
          </w:p>
        </w:tc>
        <w:tc>
          <w:tcPr>
            <w:tcW w:w="0" w:type="dxa"/>
            <w:vAlign w:val="bottom"/>
          </w:tcPr>
          <w:p>
            <w:pPr>
              <w:spacing w:after="0"/>
              <w:rPr>
                <w:sz w:val="1"/>
                <w:szCs w:val="1"/>
                <w:color w:val="auto"/>
              </w:rPr>
            </w:pPr>
          </w:p>
        </w:tc>
      </w:tr>
      <w:tr>
        <w:trPr>
          <w:trHeight w:val="183"/>
        </w:trPr>
        <w:tc>
          <w:tcPr>
            <w:tcW w:w="1180" w:type="dxa"/>
            <w:vAlign w:val="bottom"/>
            <w:vMerge w:val="restart"/>
          </w:tcPr>
          <w:p>
            <w:pPr>
              <w:spacing w:after="0"/>
              <w:rPr>
                <w:sz w:val="20"/>
                <w:szCs w:val="20"/>
                <w:color w:val="auto"/>
              </w:rPr>
            </w:pPr>
            <w:r>
              <w:rPr>
                <w:rFonts w:ascii="Arial" w:cs="Arial" w:eastAsia="Arial" w:hAnsi="Arial"/>
                <w:sz w:val="18"/>
                <w:szCs w:val="18"/>
                <w:color w:val="auto"/>
              </w:rPr>
              <w:t>3.2</w:t>
            </w:r>
          </w:p>
        </w:tc>
        <w:tc>
          <w:tcPr>
            <w:tcW w:w="140" w:type="dxa"/>
            <w:vAlign w:val="bottom"/>
          </w:tcPr>
          <w:p>
            <w:pPr>
              <w:spacing w:after="0"/>
              <w:rPr>
                <w:sz w:val="15"/>
                <w:szCs w:val="15"/>
                <w:color w:val="auto"/>
              </w:rPr>
            </w:pPr>
          </w:p>
        </w:tc>
        <w:tc>
          <w:tcPr>
            <w:tcW w:w="9780" w:type="dxa"/>
            <w:vAlign w:val="bottom"/>
            <w:tcBorders>
              <w:top w:val="single" w:sz="8" w:color="0000FF"/>
            </w:tcBorders>
            <w:gridSpan w:val="9"/>
          </w:tcPr>
          <w:p>
            <w:pPr>
              <w:spacing w:after="0" w:line="182" w:lineRule="exact"/>
              <w:rPr>
                <w:rFonts w:ascii="Arial" w:cs="Arial" w:eastAsia="Arial" w:hAnsi="Arial"/>
                <w:sz w:val="18"/>
                <w:szCs w:val="18"/>
                <w:color w:val="0000FF"/>
              </w:rPr>
            </w:pPr>
            <w:hyperlink r:id="rId95">
              <w:r>
                <w:rPr>
                  <w:rFonts w:ascii="Arial" w:cs="Arial" w:eastAsia="Arial" w:hAnsi="Arial"/>
                  <w:sz w:val="18"/>
                  <w:szCs w:val="18"/>
                  <w:color w:val="0000FF"/>
                </w:rPr>
                <w:t>Exhibit 3.1 of the Registrant's Current Report on Form 8-K (File No. 001-40522) filed on June 28, 2021).</w:t>
              </w:r>
            </w:hyperlink>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180" w:type="dxa"/>
            <w:vAlign w:val="bottom"/>
            <w:vMerge w:val="continue"/>
          </w:tcPr>
          <w:p>
            <w:pPr>
              <w:spacing w:after="0" w:line="20" w:lineRule="exact"/>
              <w:rPr>
                <w:sz w:val="1"/>
                <w:szCs w:val="1"/>
                <w:color w:val="auto"/>
              </w:rPr>
            </w:pPr>
          </w:p>
        </w:tc>
        <w:tc>
          <w:tcPr>
            <w:tcW w:w="140" w:type="dxa"/>
            <w:vAlign w:val="bottom"/>
            <w:tcBorders>
              <w:right w:val="single" w:sz="8" w:color="0000EE"/>
            </w:tcBorders>
          </w:tcPr>
          <w:p>
            <w:pPr>
              <w:spacing w:after="0" w:line="20" w:lineRule="exact"/>
              <w:rPr>
                <w:sz w:val="1"/>
                <w:szCs w:val="1"/>
                <w:color w:val="auto"/>
              </w:rPr>
            </w:pPr>
          </w:p>
        </w:tc>
        <w:tc>
          <w:tcPr>
            <w:tcW w:w="4760" w:type="dxa"/>
            <w:vAlign w:val="bottom"/>
            <w:tcBorders>
              <w:right w:val="single" w:sz="8" w:color="0000FF"/>
            </w:tcBorders>
            <w:shd w:val="clear" w:color="auto" w:fill="0000FF"/>
          </w:tcPr>
          <w:p>
            <w:pPr>
              <w:spacing w:after="0" w:line="20" w:lineRule="exact"/>
              <w:rPr>
                <w:sz w:val="1"/>
                <w:szCs w:val="1"/>
                <w:color w:val="auto"/>
              </w:rPr>
            </w:pPr>
          </w:p>
        </w:tc>
        <w:tc>
          <w:tcPr>
            <w:tcW w:w="2440" w:type="dxa"/>
            <w:vAlign w:val="bottom"/>
            <w:shd w:val="clear" w:color="auto" w:fill="0000FF"/>
          </w:tcPr>
          <w:p>
            <w:pPr>
              <w:spacing w:after="0" w:line="20" w:lineRule="exact"/>
              <w:rPr>
                <w:sz w:val="1"/>
                <w:szCs w:val="1"/>
                <w:color w:val="auto"/>
              </w:rPr>
            </w:pPr>
          </w:p>
        </w:tc>
        <w:tc>
          <w:tcPr>
            <w:tcW w:w="1040" w:type="dxa"/>
            <w:vAlign w:val="bottom"/>
            <w:tcBorders>
              <w:right w:val="single" w:sz="8" w:color="0000EE"/>
            </w:tcBorders>
            <w:shd w:val="clear" w:color="auto" w:fill="0000FF"/>
          </w:tcPr>
          <w:p>
            <w:pPr>
              <w:spacing w:after="0" w:line="20" w:lineRule="exact"/>
              <w:rPr>
                <w:sz w:val="1"/>
                <w:szCs w:val="1"/>
                <w:color w:val="auto"/>
              </w:rPr>
            </w:pPr>
          </w:p>
        </w:tc>
        <w:tc>
          <w:tcPr>
            <w:tcW w:w="1680" w:type="dxa"/>
            <w:vAlign w:val="bottom"/>
            <w:gridSpan w:val="8"/>
            <w:vMerge w:val="restart"/>
          </w:tcPr>
          <w:p>
            <w:pPr>
              <w:ind w:left="60"/>
              <w:spacing w:after="0" w:line="202" w:lineRule="exact"/>
              <w:rPr>
                <w:rFonts w:ascii="Arial" w:cs="Arial" w:eastAsia="Arial" w:hAnsi="Arial"/>
                <w:sz w:val="18"/>
                <w:szCs w:val="18"/>
                <w:color w:val="0000FF"/>
              </w:rPr>
            </w:pPr>
            <w:hyperlink r:id="rId96">
              <w:r>
                <w:rPr>
                  <w:rFonts w:ascii="Arial" w:cs="Arial" w:eastAsia="Arial" w:hAnsi="Arial"/>
                  <w:sz w:val="18"/>
                  <w:szCs w:val="18"/>
                  <w:color w:val="0000FF"/>
                </w:rPr>
                <w:t>(incorporated by</w:t>
              </w:r>
            </w:hyperlink>
          </w:p>
        </w:tc>
        <w:tc>
          <w:tcPr>
            <w:tcW w:w="0" w:type="dxa"/>
            <w:vAlign w:val="bottom"/>
          </w:tcPr>
          <w:p>
            <w:pPr>
              <w:spacing w:after="0" w:line="20" w:lineRule="exact"/>
              <w:rPr>
                <w:sz w:val="1"/>
                <w:szCs w:val="1"/>
                <w:color w:val="auto"/>
              </w:rPr>
            </w:pPr>
          </w:p>
        </w:tc>
      </w:tr>
      <w:tr>
        <w:trPr>
          <w:trHeight w:val="183"/>
        </w:trPr>
        <w:tc>
          <w:tcPr>
            <w:tcW w:w="1180" w:type="dxa"/>
            <w:vAlign w:val="bottom"/>
            <w:vMerge w:val="continue"/>
          </w:tcPr>
          <w:p>
            <w:pPr>
              <w:spacing w:after="0"/>
              <w:rPr>
                <w:sz w:val="15"/>
                <w:szCs w:val="15"/>
                <w:color w:val="auto"/>
              </w:rPr>
            </w:pPr>
          </w:p>
        </w:tc>
        <w:tc>
          <w:tcPr>
            <w:tcW w:w="140" w:type="dxa"/>
            <w:vAlign w:val="bottom"/>
          </w:tcPr>
          <w:p>
            <w:pPr>
              <w:spacing w:after="0"/>
              <w:rPr>
                <w:sz w:val="15"/>
                <w:szCs w:val="15"/>
                <w:color w:val="auto"/>
              </w:rPr>
            </w:pPr>
          </w:p>
        </w:tc>
        <w:tc>
          <w:tcPr>
            <w:tcW w:w="8240" w:type="dxa"/>
            <w:vAlign w:val="bottom"/>
            <w:gridSpan w:val="3"/>
          </w:tcPr>
          <w:p>
            <w:pPr>
              <w:spacing w:after="0" w:line="182" w:lineRule="exact"/>
              <w:rPr>
                <w:rFonts w:ascii="Arial" w:cs="Arial" w:eastAsia="Arial" w:hAnsi="Arial"/>
                <w:sz w:val="18"/>
                <w:szCs w:val="18"/>
                <w:color w:val="0000FF"/>
                <w:w w:val="99"/>
              </w:rPr>
            </w:pPr>
            <w:hyperlink r:id="rId96">
              <w:r>
                <w:rPr>
                  <w:rFonts w:ascii="Arial" w:cs="Arial" w:eastAsia="Arial" w:hAnsi="Arial"/>
                  <w:sz w:val="18"/>
                  <w:szCs w:val="18"/>
                  <w:color w:val="0000FF"/>
                  <w:w w:val="99"/>
                </w:rPr>
                <w:t>Certificate of Amendment to the Fourth Amended and Restated Certificate of Incorporation of Registrant</w:t>
              </w:r>
            </w:hyperlink>
          </w:p>
        </w:tc>
        <w:tc>
          <w:tcPr>
            <w:tcW w:w="1680" w:type="dxa"/>
            <w:vAlign w:val="bottom"/>
            <w:gridSpan w:val="8"/>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1180" w:type="dxa"/>
            <w:vAlign w:val="bottom"/>
            <w:vMerge w:val="restart"/>
          </w:tcPr>
          <w:p>
            <w:pPr>
              <w:spacing w:after="0"/>
              <w:rPr>
                <w:sz w:val="20"/>
                <w:szCs w:val="20"/>
                <w:color w:val="auto"/>
              </w:rPr>
            </w:pPr>
            <w:r>
              <w:rPr>
                <w:rFonts w:ascii="Arial" w:cs="Arial" w:eastAsia="Arial" w:hAnsi="Arial"/>
                <w:sz w:val="18"/>
                <w:szCs w:val="18"/>
                <w:color w:val="auto"/>
              </w:rPr>
              <w:t>3.3</w:t>
            </w:r>
          </w:p>
        </w:tc>
        <w:tc>
          <w:tcPr>
            <w:tcW w:w="140" w:type="dxa"/>
            <w:vAlign w:val="bottom"/>
          </w:tcPr>
          <w:p>
            <w:pPr>
              <w:spacing w:after="0"/>
              <w:rPr>
                <w:sz w:val="15"/>
                <w:szCs w:val="15"/>
                <w:color w:val="auto"/>
              </w:rPr>
            </w:pPr>
          </w:p>
        </w:tc>
        <w:tc>
          <w:tcPr>
            <w:tcW w:w="9640" w:type="dxa"/>
            <w:vAlign w:val="bottom"/>
            <w:tcBorders>
              <w:top w:val="single" w:sz="8" w:color="0000FF"/>
            </w:tcBorders>
            <w:gridSpan w:val="6"/>
          </w:tcPr>
          <w:p>
            <w:pPr>
              <w:spacing w:after="0" w:line="182" w:lineRule="exact"/>
              <w:rPr>
                <w:rFonts w:ascii="Arial" w:cs="Arial" w:eastAsia="Arial" w:hAnsi="Arial"/>
                <w:sz w:val="18"/>
                <w:szCs w:val="18"/>
                <w:color w:val="0000FF"/>
              </w:rPr>
            </w:pPr>
            <w:hyperlink r:id="rId96">
              <w:r>
                <w:rPr>
                  <w:rFonts w:ascii="Arial" w:cs="Arial" w:eastAsia="Arial" w:hAnsi="Arial"/>
                  <w:sz w:val="18"/>
                  <w:szCs w:val="18"/>
                  <w:color w:val="0000FF"/>
                </w:rPr>
                <w:t>reference to Exhibit 3.1 of the Registrant’s Current Report on Form 8-K (File No. 001-40522) filed on June 14, 2023)</w:t>
              </w:r>
              <w:r>
                <w:rPr>
                  <w:rFonts w:ascii="Arial" w:cs="Arial" w:eastAsia="Arial" w:hAnsi="Arial"/>
                  <w:sz w:val="18"/>
                  <w:szCs w:val="18"/>
                  <w:color w:val="000000"/>
                </w:rPr>
                <w:t>.</w:t>
              </w:r>
            </w:hyperlink>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gridSpan w:val="2"/>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180" w:type="dxa"/>
            <w:vAlign w:val="bottom"/>
            <w:vMerge w:val="continue"/>
          </w:tcPr>
          <w:p>
            <w:pPr>
              <w:spacing w:after="0" w:line="20" w:lineRule="exact"/>
              <w:rPr>
                <w:sz w:val="1"/>
                <w:szCs w:val="1"/>
                <w:color w:val="auto"/>
              </w:rPr>
            </w:pPr>
          </w:p>
        </w:tc>
        <w:tc>
          <w:tcPr>
            <w:tcW w:w="140" w:type="dxa"/>
            <w:vAlign w:val="bottom"/>
            <w:tcBorders>
              <w:right w:val="single" w:sz="8" w:color="0000EE"/>
            </w:tcBorders>
          </w:tcPr>
          <w:p>
            <w:pPr>
              <w:spacing w:after="0" w:line="20" w:lineRule="exact"/>
              <w:rPr>
                <w:sz w:val="1"/>
                <w:szCs w:val="1"/>
                <w:color w:val="auto"/>
              </w:rPr>
            </w:pPr>
          </w:p>
        </w:tc>
        <w:tc>
          <w:tcPr>
            <w:tcW w:w="4760" w:type="dxa"/>
            <w:vAlign w:val="bottom"/>
            <w:tcBorders>
              <w:right w:val="single" w:sz="8" w:color="0000FF"/>
            </w:tcBorders>
            <w:shd w:val="clear" w:color="auto" w:fill="0000FF"/>
          </w:tcPr>
          <w:p>
            <w:pPr>
              <w:spacing w:after="0" w:line="20" w:lineRule="exact"/>
              <w:rPr>
                <w:sz w:val="1"/>
                <w:szCs w:val="1"/>
                <w:color w:val="auto"/>
              </w:rPr>
            </w:pPr>
          </w:p>
        </w:tc>
        <w:tc>
          <w:tcPr>
            <w:tcW w:w="2440" w:type="dxa"/>
            <w:vAlign w:val="bottom"/>
            <w:shd w:val="clear" w:color="auto" w:fill="0000FF"/>
          </w:tcPr>
          <w:p>
            <w:pPr>
              <w:spacing w:after="0" w:line="20" w:lineRule="exact"/>
              <w:rPr>
                <w:sz w:val="1"/>
                <w:szCs w:val="1"/>
                <w:color w:val="auto"/>
              </w:rPr>
            </w:pPr>
          </w:p>
        </w:tc>
        <w:tc>
          <w:tcPr>
            <w:tcW w:w="1500" w:type="dxa"/>
            <w:vAlign w:val="bottom"/>
            <w:gridSpan w:val="2"/>
            <w:shd w:val="clear" w:color="auto" w:fill="0000FF"/>
          </w:tcPr>
          <w:p>
            <w:pPr>
              <w:spacing w:after="0" w:line="20" w:lineRule="exact"/>
              <w:rPr>
                <w:sz w:val="1"/>
                <w:szCs w:val="1"/>
                <w:color w:val="auto"/>
              </w:rPr>
            </w:pPr>
          </w:p>
        </w:tc>
        <w:tc>
          <w:tcPr>
            <w:tcW w:w="520" w:type="dxa"/>
            <w:vAlign w:val="bottom"/>
            <w:tcBorders>
              <w:right w:val="single" w:sz="8" w:color="0000EE"/>
            </w:tcBorders>
            <w:shd w:val="clear" w:color="auto" w:fill="0000FF"/>
          </w:tcPr>
          <w:p>
            <w:pPr>
              <w:spacing w:after="0" w:line="20" w:lineRule="exact"/>
              <w:rPr>
                <w:sz w:val="1"/>
                <w:szCs w:val="1"/>
                <w:color w:val="auto"/>
              </w:rPr>
            </w:pPr>
          </w:p>
        </w:tc>
        <w:tc>
          <w:tcPr>
            <w:tcW w:w="700" w:type="dxa"/>
            <w:vAlign w:val="bottom"/>
            <w:gridSpan w:val="6"/>
            <w:vMerge w:val="restart"/>
          </w:tcPr>
          <w:p>
            <w:pPr>
              <w:ind w:left="60"/>
              <w:spacing w:after="0" w:line="202" w:lineRule="exact"/>
              <w:rPr>
                <w:rFonts w:ascii="Arial" w:cs="Arial" w:eastAsia="Arial" w:hAnsi="Arial"/>
                <w:sz w:val="18"/>
                <w:szCs w:val="18"/>
                <w:color w:val="0000FF"/>
              </w:rPr>
            </w:pPr>
            <w:hyperlink r:id="rId97">
              <w:r>
                <w:rPr>
                  <w:rFonts w:ascii="Arial" w:cs="Arial" w:eastAsia="Arial" w:hAnsi="Arial"/>
                  <w:sz w:val="18"/>
                  <w:szCs w:val="18"/>
                  <w:color w:val="0000FF"/>
                </w:rPr>
                <w:t>3.3 of</w:t>
              </w:r>
            </w:hyperlink>
          </w:p>
        </w:tc>
        <w:tc>
          <w:tcPr>
            <w:tcW w:w="0" w:type="dxa"/>
            <w:vAlign w:val="bottom"/>
          </w:tcPr>
          <w:p>
            <w:pPr>
              <w:spacing w:after="0" w:line="20" w:lineRule="exact"/>
              <w:rPr>
                <w:sz w:val="1"/>
                <w:szCs w:val="1"/>
                <w:color w:val="auto"/>
              </w:rPr>
            </w:pPr>
          </w:p>
        </w:tc>
      </w:tr>
      <w:tr>
        <w:trPr>
          <w:trHeight w:val="183"/>
        </w:trPr>
        <w:tc>
          <w:tcPr>
            <w:tcW w:w="1180" w:type="dxa"/>
            <w:vAlign w:val="bottom"/>
            <w:vMerge w:val="continue"/>
          </w:tcPr>
          <w:p>
            <w:pPr>
              <w:spacing w:after="0"/>
              <w:rPr>
                <w:sz w:val="15"/>
                <w:szCs w:val="15"/>
                <w:color w:val="auto"/>
              </w:rPr>
            </w:pPr>
          </w:p>
        </w:tc>
        <w:tc>
          <w:tcPr>
            <w:tcW w:w="140" w:type="dxa"/>
            <w:vAlign w:val="bottom"/>
          </w:tcPr>
          <w:p>
            <w:pPr>
              <w:spacing w:after="0"/>
              <w:rPr>
                <w:sz w:val="15"/>
                <w:szCs w:val="15"/>
                <w:color w:val="auto"/>
              </w:rPr>
            </w:pPr>
          </w:p>
        </w:tc>
        <w:tc>
          <w:tcPr>
            <w:tcW w:w="9220" w:type="dxa"/>
            <w:vAlign w:val="bottom"/>
            <w:gridSpan w:val="5"/>
          </w:tcPr>
          <w:p>
            <w:pPr>
              <w:spacing w:after="0" w:line="182" w:lineRule="exact"/>
              <w:rPr>
                <w:rFonts w:ascii="Arial" w:cs="Arial" w:eastAsia="Arial" w:hAnsi="Arial"/>
                <w:sz w:val="18"/>
                <w:szCs w:val="18"/>
                <w:color w:val="0000FF"/>
                <w:w w:val="99"/>
              </w:rPr>
            </w:pPr>
            <w:hyperlink r:id="rId97">
              <w:r>
                <w:rPr>
                  <w:rFonts w:ascii="Arial" w:cs="Arial" w:eastAsia="Arial" w:hAnsi="Arial"/>
                  <w:sz w:val="18"/>
                  <w:szCs w:val="18"/>
                  <w:color w:val="0000FF"/>
                  <w:w w:val="99"/>
                </w:rPr>
                <w:t>Second Amended and Restated By-laws of the Registrant, as currently in effect (incorporated by reference to Exhibit</w:t>
              </w:r>
            </w:hyperlink>
          </w:p>
        </w:tc>
        <w:tc>
          <w:tcPr>
            <w:tcW w:w="700" w:type="dxa"/>
            <w:vAlign w:val="bottom"/>
            <w:gridSpan w:val="6"/>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1180" w:type="dxa"/>
            <w:vAlign w:val="bottom"/>
            <w:vMerge w:val="restart"/>
          </w:tcPr>
          <w:p>
            <w:pPr>
              <w:spacing w:after="0"/>
              <w:rPr>
                <w:sz w:val="20"/>
                <w:szCs w:val="20"/>
                <w:color w:val="auto"/>
              </w:rPr>
            </w:pPr>
            <w:r>
              <w:rPr>
                <w:rFonts w:ascii="Arial" w:cs="Arial" w:eastAsia="Arial" w:hAnsi="Arial"/>
                <w:sz w:val="18"/>
                <w:szCs w:val="18"/>
                <w:color w:val="auto"/>
              </w:rPr>
              <w:t>31.1*</w:t>
            </w:r>
          </w:p>
        </w:tc>
        <w:tc>
          <w:tcPr>
            <w:tcW w:w="140" w:type="dxa"/>
            <w:vAlign w:val="bottom"/>
          </w:tcPr>
          <w:p>
            <w:pPr>
              <w:spacing w:after="0"/>
              <w:rPr>
                <w:sz w:val="15"/>
                <w:szCs w:val="15"/>
                <w:color w:val="auto"/>
              </w:rPr>
            </w:pPr>
          </w:p>
        </w:tc>
        <w:tc>
          <w:tcPr>
            <w:tcW w:w="7200" w:type="dxa"/>
            <w:vAlign w:val="bottom"/>
            <w:tcBorders>
              <w:top w:val="single" w:sz="8" w:color="0000FF"/>
              <w:bottom w:val="single" w:sz="8" w:color="0000FF"/>
            </w:tcBorders>
            <w:gridSpan w:val="2"/>
          </w:tcPr>
          <w:p>
            <w:pPr>
              <w:spacing w:after="0" w:line="182" w:lineRule="exact"/>
              <w:rPr>
                <w:rFonts w:ascii="Arial" w:cs="Arial" w:eastAsia="Arial" w:hAnsi="Arial"/>
                <w:sz w:val="18"/>
                <w:szCs w:val="18"/>
                <w:color w:val="0000FF"/>
                <w:w w:val="99"/>
              </w:rPr>
            </w:pPr>
            <w:hyperlink r:id="rId97">
              <w:r>
                <w:rPr>
                  <w:rFonts w:ascii="Arial" w:cs="Arial" w:eastAsia="Arial" w:hAnsi="Arial"/>
                  <w:sz w:val="18"/>
                  <w:szCs w:val="18"/>
                  <w:color w:val="0000FF"/>
                  <w:w w:val="99"/>
                </w:rPr>
                <w:t>the Registrant's Quarterly Report on Form 10-Q (File No. 001-40522) filed on May 9, 2024)</w:t>
              </w:r>
            </w:hyperlink>
          </w:p>
        </w:tc>
        <w:tc>
          <w:tcPr>
            <w:tcW w:w="2600" w:type="dxa"/>
            <w:vAlign w:val="bottom"/>
            <w:tcBorders>
              <w:top w:val="single" w:sz="8" w:color="0000FF"/>
            </w:tcBorders>
            <w:gridSpan w:val="8"/>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1180" w:type="dxa"/>
            <w:vAlign w:val="bottom"/>
            <w:vMerge w:val="continue"/>
          </w:tcPr>
          <w:p>
            <w:pPr>
              <w:spacing w:after="0"/>
              <w:rPr>
                <w:sz w:val="15"/>
                <w:szCs w:val="15"/>
                <w:color w:val="auto"/>
              </w:rPr>
            </w:pPr>
          </w:p>
        </w:tc>
        <w:tc>
          <w:tcPr>
            <w:tcW w:w="140" w:type="dxa"/>
            <w:vAlign w:val="bottom"/>
          </w:tcPr>
          <w:p>
            <w:pPr>
              <w:spacing w:after="0"/>
              <w:rPr>
                <w:sz w:val="15"/>
                <w:szCs w:val="15"/>
                <w:color w:val="auto"/>
              </w:rPr>
            </w:pPr>
          </w:p>
        </w:tc>
        <w:tc>
          <w:tcPr>
            <w:tcW w:w="7200" w:type="dxa"/>
            <w:vAlign w:val="bottom"/>
            <w:gridSpan w:val="2"/>
          </w:tcPr>
          <w:p>
            <w:pPr>
              <w:spacing w:after="0" w:line="182" w:lineRule="exact"/>
              <w:rPr>
                <w:sz w:val="20"/>
                <w:szCs w:val="20"/>
                <w:color w:val="auto"/>
              </w:rPr>
            </w:pPr>
            <w:r>
              <w:rPr>
                <w:rFonts w:ascii="Arial" w:cs="Arial" w:eastAsia="Arial" w:hAnsi="Arial"/>
                <w:sz w:val="18"/>
                <w:szCs w:val="18"/>
                <w:color w:val="0000FF"/>
                <w:w w:val="99"/>
              </w:rPr>
              <w:t>Certification of Principal Executive Officer and Principal Financial Officer Pursuant to Rules</w:t>
            </w:r>
          </w:p>
        </w:tc>
        <w:tc>
          <w:tcPr>
            <w:tcW w:w="2720" w:type="dxa"/>
            <w:vAlign w:val="bottom"/>
            <w:gridSpan w:val="9"/>
          </w:tcPr>
          <w:p>
            <w:pPr>
              <w:ind w:left="40"/>
              <w:spacing w:after="0" w:line="182" w:lineRule="exact"/>
              <w:rPr>
                <w:sz w:val="20"/>
                <w:szCs w:val="20"/>
                <w:color w:val="auto"/>
              </w:rPr>
            </w:pPr>
            <w:r>
              <w:rPr>
                <w:rFonts w:ascii="Arial" w:cs="Arial" w:eastAsia="Arial" w:hAnsi="Arial"/>
                <w:sz w:val="18"/>
                <w:szCs w:val="18"/>
                <w:color w:val="0000FF"/>
              </w:rPr>
              <w:t>13a-14(a) and 15d-14(a) under</w:t>
            </w:r>
          </w:p>
        </w:tc>
        <w:tc>
          <w:tcPr>
            <w:tcW w:w="0" w:type="dxa"/>
            <w:vAlign w:val="bottom"/>
          </w:tcPr>
          <w:p>
            <w:pPr>
              <w:spacing w:after="0"/>
              <w:rPr>
                <w:sz w:val="1"/>
                <w:szCs w:val="1"/>
                <w:color w:val="auto"/>
              </w:rPr>
            </w:pPr>
          </w:p>
        </w:tc>
      </w:tr>
      <w:tr>
        <w:trPr>
          <w:trHeight w:val="183"/>
        </w:trPr>
        <w:tc>
          <w:tcPr>
            <w:tcW w:w="1180" w:type="dxa"/>
            <w:vAlign w:val="bottom"/>
            <w:vMerge w:val="restart"/>
          </w:tcPr>
          <w:p>
            <w:pPr>
              <w:spacing w:after="0"/>
              <w:rPr>
                <w:sz w:val="20"/>
                <w:szCs w:val="20"/>
                <w:color w:val="auto"/>
              </w:rPr>
            </w:pPr>
            <w:r>
              <w:rPr>
                <w:rFonts w:ascii="Arial" w:cs="Arial" w:eastAsia="Arial" w:hAnsi="Arial"/>
                <w:sz w:val="18"/>
                <w:szCs w:val="18"/>
                <w:color w:val="auto"/>
              </w:rPr>
              <w:t>32.1**</w:t>
            </w:r>
          </w:p>
        </w:tc>
        <w:tc>
          <w:tcPr>
            <w:tcW w:w="140" w:type="dxa"/>
            <w:vAlign w:val="bottom"/>
          </w:tcPr>
          <w:p>
            <w:pPr>
              <w:spacing w:after="0"/>
              <w:rPr>
                <w:sz w:val="15"/>
                <w:szCs w:val="15"/>
                <w:color w:val="auto"/>
              </w:rPr>
            </w:pPr>
          </w:p>
        </w:tc>
        <w:tc>
          <w:tcPr>
            <w:tcW w:w="9760" w:type="dxa"/>
            <w:vAlign w:val="bottom"/>
            <w:tcBorders>
              <w:top w:val="single" w:sz="8" w:color="0000FF"/>
            </w:tcBorders>
            <w:gridSpan w:val="8"/>
          </w:tcPr>
          <w:p>
            <w:pPr>
              <w:spacing w:after="0" w:line="182" w:lineRule="exact"/>
              <w:rPr>
                <w:sz w:val="20"/>
                <w:szCs w:val="20"/>
                <w:color w:val="auto"/>
              </w:rPr>
            </w:pPr>
            <w:r>
              <w:rPr>
                <w:rFonts w:ascii="Arial" w:cs="Arial" w:eastAsia="Arial" w:hAnsi="Arial"/>
                <w:sz w:val="18"/>
                <w:szCs w:val="18"/>
                <w:color w:val="0000FF"/>
              </w:rPr>
              <w:t>the Securities Exchange Act of 1934, as Adopted Pursuant to Section 302 of the Sarbanes-Oxley Act of 2002.</w:t>
            </w:r>
          </w:p>
        </w:tc>
        <w:tc>
          <w:tcPr>
            <w:tcW w:w="160" w:type="dxa"/>
            <w:vAlign w:val="bottom"/>
            <w:gridSpan w:val="3"/>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180" w:type="dxa"/>
            <w:vAlign w:val="bottom"/>
            <w:vMerge w:val="continue"/>
          </w:tcPr>
          <w:p>
            <w:pPr>
              <w:spacing w:after="0" w:line="20" w:lineRule="exact"/>
              <w:rPr>
                <w:sz w:val="1"/>
                <w:szCs w:val="1"/>
                <w:color w:val="auto"/>
              </w:rPr>
            </w:pPr>
          </w:p>
        </w:tc>
        <w:tc>
          <w:tcPr>
            <w:tcW w:w="140" w:type="dxa"/>
            <w:vAlign w:val="bottom"/>
            <w:tcBorders>
              <w:right w:val="single" w:sz="8" w:color="0000EE"/>
            </w:tcBorders>
          </w:tcPr>
          <w:p>
            <w:pPr>
              <w:spacing w:after="0" w:line="20" w:lineRule="exact"/>
              <w:rPr>
                <w:sz w:val="1"/>
                <w:szCs w:val="1"/>
                <w:color w:val="auto"/>
              </w:rPr>
            </w:pPr>
          </w:p>
        </w:tc>
        <w:tc>
          <w:tcPr>
            <w:tcW w:w="4760" w:type="dxa"/>
            <w:vAlign w:val="bottom"/>
            <w:tcBorders>
              <w:right w:val="single" w:sz="8" w:color="0000FF"/>
            </w:tcBorders>
            <w:shd w:val="clear" w:color="auto" w:fill="0000FF"/>
          </w:tcPr>
          <w:p>
            <w:pPr>
              <w:spacing w:after="0" w:line="20" w:lineRule="exact"/>
              <w:rPr>
                <w:sz w:val="1"/>
                <w:szCs w:val="1"/>
                <w:color w:val="auto"/>
              </w:rPr>
            </w:pPr>
          </w:p>
        </w:tc>
        <w:tc>
          <w:tcPr>
            <w:tcW w:w="3940" w:type="dxa"/>
            <w:vAlign w:val="bottom"/>
            <w:gridSpan w:val="3"/>
            <w:shd w:val="clear" w:color="auto" w:fill="0000FF"/>
          </w:tcPr>
          <w:p>
            <w:pPr>
              <w:spacing w:after="0" w:line="20" w:lineRule="exact"/>
              <w:rPr>
                <w:sz w:val="1"/>
                <w:szCs w:val="1"/>
                <w:color w:val="auto"/>
              </w:rPr>
            </w:pPr>
          </w:p>
        </w:tc>
        <w:tc>
          <w:tcPr>
            <w:tcW w:w="1220" w:type="dxa"/>
            <w:vAlign w:val="bottom"/>
            <w:gridSpan w:val="7"/>
            <w:vMerge w:val="restart"/>
          </w:tcPr>
          <w:p>
            <w:pPr>
              <w:ind w:left="20"/>
              <w:spacing w:after="0" w:line="202" w:lineRule="exact"/>
              <w:rPr>
                <w:sz w:val="20"/>
                <w:szCs w:val="20"/>
                <w:color w:val="auto"/>
              </w:rPr>
            </w:pPr>
            <w:r>
              <w:rPr>
                <w:rFonts w:ascii="Arial" w:cs="Arial" w:eastAsia="Arial" w:hAnsi="Arial"/>
                <w:sz w:val="18"/>
                <w:szCs w:val="18"/>
                <w:color w:val="0000FF"/>
              </w:rPr>
              <w:t>as Adopted</w:t>
            </w:r>
          </w:p>
        </w:tc>
        <w:tc>
          <w:tcPr>
            <w:tcW w:w="0" w:type="dxa"/>
            <w:vAlign w:val="bottom"/>
          </w:tcPr>
          <w:p>
            <w:pPr>
              <w:spacing w:after="0" w:line="20" w:lineRule="exact"/>
              <w:rPr>
                <w:sz w:val="1"/>
                <w:szCs w:val="1"/>
                <w:color w:val="auto"/>
              </w:rPr>
            </w:pPr>
          </w:p>
        </w:tc>
      </w:tr>
      <w:tr>
        <w:trPr>
          <w:trHeight w:val="183"/>
        </w:trPr>
        <w:tc>
          <w:tcPr>
            <w:tcW w:w="1180" w:type="dxa"/>
            <w:vAlign w:val="bottom"/>
            <w:vMerge w:val="continue"/>
          </w:tcPr>
          <w:p>
            <w:pPr>
              <w:spacing w:after="0"/>
              <w:rPr>
                <w:sz w:val="15"/>
                <w:szCs w:val="15"/>
                <w:color w:val="auto"/>
              </w:rPr>
            </w:pPr>
          </w:p>
        </w:tc>
        <w:tc>
          <w:tcPr>
            <w:tcW w:w="140" w:type="dxa"/>
            <w:vAlign w:val="bottom"/>
          </w:tcPr>
          <w:p>
            <w:pPr>
              <w:spacing w:after="0"/>
              <w:rPr>
                <w:sz w:val="15"/>
                <w:szCs w:val="15"/>
                <w:color w:val="auto"/>
              </w:rPr>
            </w:pPr>
          </w:p>
        </w:tc>
        <w:tc>
          <w:tcPr>
            <w:tcW w:w="8700" w:type="dxa"/>
            <w:vAlign w:val="bottom"/>
            <w:gridSpan w:val="4"/>
          </w:tcPr>
          <w:p>
            <w:pPr>
              <w:spacing w:after="0" w:line="182" w:lineRule="exact"/>
              <w:rPr>
                <w:sz w:val="20"/>
                <w:szCs w:val="20"/>
                <w:color w:val="auto"/>
              </w:rPr>
            </w:pPr>
            <w:r>
              <w:rPr>
                <w:rFonts w:ascii="Arial" w:cs="Arial" w:eastAsia="Arial" w:hAnsi="Arial"/>
                <w:sz w:val="18"/>
                <w:szCs w:val="18"/>
                <w:color w:val="0000FF"/>
                <w:w w:val="99"/>
              </w:rPr>
              <w:t>Certification of Principal Executive Officer and Principal Financial Officer Pursuant to 18 U.S.C. Section 1350,</w:t>
            </w:r>
          </w:p>
        </w:tc>
        <w:tc>
          <w:tcPr>
            <w:tcW w:w="1220" w:type="dxa"/>
            <w:vAlign w:val="bottom"/>
            <w:gridSpan w:val="7"/>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11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680" w:type="dxa"/>
            <w:vAlign w:val="bottom"/>
            <w:tcBorders>
              <w:top w:val="single" w:sz="8" w:color="0000FF"/>
            </w:tcBorders>
            <w:gridSpan w:val="7"/>
          </w:tcPr>
          <w:p>
            <w:pPr>
              <w:spacing w:after="0" w:line="182" w:lineRule="exact"/>
              <w:rPr>
                <w:sz w:val="20"/>
                <w:szCs w:val="20"/>
                <w:color w:val="auto"/>
              </w:rPr>
            </w:pPr>
            <w:r>
              <w:rPr>
                <w:rFonts w:ascii="Arial" w:cs="Arial" w:eastAsia="Arial" w:hAnsi="Arial"/>
                <w:sz w:val="18"/>
                <w:szCs w:val="18"/>
                <w:color w:val="0000FF"/>
              </w:rPr>
              <w:t>Pursuant to Section 906 of the Sarbanes-Oxley Act of 2002.</w:t>
            </w:r>
          </w:p>
        </w:tc>
        <w:tc>
          <w:tcPr>
            <w:tcW w:w="240" w:type="dxa"/>
            <w:vAlign w:val="bottom"/>
            <w:gridSpan w:val="4"/>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180" w:type="dxa"/>
            <w:vAlign w:val="bottom"/>
          </w:tcPr>
          <w:p>
            <w:pPr>
              <w:spacing w:after="0" w:line="20" w:lineRule="exact"/>
              <w:rPr>
                <w:sz w:val="1"/>
                <w:szCs w:val="1"/>
                <w:color w:val="auto"/>
              </w:rPr>
            </w:pPr>
          </w:p>
        </w:tc>
        <w:tc>
          <w:tcPr>
            <w:tcW w:w="140" w:type="dxa"/>
            <w:vAlign w:val="bottom"/>
            <w:tcBorders>
              <w:right w:val="single" w:sz="8" w:color="0000EE"/>
            </w:tcBorders>
          </w:tcPr>
          <w:p>
            <w:pPr>
              <w:spacing w:after="0" w:line="20" w:lineRule="exact"/>
              <w:rPr>
                <w:sz w:val="1"/>
                <w:szCs w:val="1"/>
                <w:color w:val="auto"/>
              </w:rPr>
            </w:pPr>
          </w:p>
        </w:tc>
        <w:tc>
          <w:tcPr>
            <w:tcW w:w="4760" w:type="dxa"/>
            <w:vAlign w:val="bottom"/>
            <w:tcBorders>
              <w:right w:val="single" w:sz="8" w:color="0000EE"/>
            </w:tcBorders>
            <w:shd w:val="clear" w:color="auto" w:fill="0000FF"/>
          </w:tcPr>
          <w:p>
            <w:pPr>
              <w:spacing w:after="0" w:line="20" w:lineRule="exact"/>
              <w:rPr>
                <w:sz w:val="1"/>
                <w:szCs w:val="1"/>
                <w:color w:val="auto"/>
              </w:rPr>
            </w:pPr>
          </w:p>
        </w:tc>
        <w:tc>
          <w:tcPr>
            <w:tcW w:w="5160" w:type="dxa"/>
            <w:vAlign w:val="bottom"/>
            <w:gridSpan w:val="1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2"/>
        </w:trPr>
        <w:tc>
          <w:tcPr>
            <w:tcW w:w="1180" w:type="dxa"/>
            <w:vAlign w:val="bottom"/>
          </w:tcPr>
          <w:p>
            <w:pPr>
              <w:spacing w:after="0"/>
              <w:rPr>
                <w:sz w:val="20"/>
                <w:szCs w:val="20"/>
                <w:color w:val="auto"/>
              </w:rPr>
            </w:pPr>
            <w:r>
              <w:rPr>
                <w:rFonts w:ascii="Arial" w:cs="Arial" w:eastAsia="Arial" w:hAnsi="Arial"/>
                <w:sz w:val="18"/>
                <w:szCs w:val="18"/>
                <w:color w:val="auto"/>
              </w:rPr>
              <w:t>101.INS*</w:t>
            </w:r>
          </w:p>
        </w:tc>
        <w:tc>
          <w:tcPr>
            <w:tcW w:w="140" w:type="dxa"/>
            <w:vAlign w:val="bottom"/>
          </w:tcPr>
          <w:p>
            <w:pPr>
              <w:spacing w:after="0"/>
              <w:rPr>
                <w:sz w:val="24"/>
                <w:szCs w:val="24"/>
                <w:color w:val="auto"/>
              </w:rPr>
            </w:pPr>
          </w:p>
        </w:tc>
        <w:tc>
          <w:tcPr>
            <w:tcW w:w="9920" w:type="dxa"/>
            <w:vAlign w:val="bottom"/>
            <w:gridSpan w:val="11"/>
          </w:tcPr>
          <w:p>
            <w:pPr>
              <w:spacing w:after="0"/>
              <w:rPr>
                <w:sz w:val="20"/>
                <w:szCs w:val="20"/>
                <w:color w:val="auto"/>
              </w:rPr>
            </w:pPr>
            <w:r>
              <w:rPr>
                <w:rFonts w:ascii="Arial" w:cs="Arial" w:eastAsia="Arial" w:hAnsi="Arial"/>
                <w:sz w:val="18"/>
                <w:szCs w:val="18"/>
                <w:color w:val="auto"/>
              </w:rPr>
              <w:t>Inline XBRL Instance Document – the instance document does not appear in the Interactive Data File because XBRL tags</w:t>
            </w:r>
          </w:p>
        </w:tc>
        <w:tc>
          <w:tcPr>
            <w:tcW w:w="0" w:type="dxa"/>
            <w:vAlign w:val="bottom"/>
          </w:tcPr>
          <w:p>
            <w:pPr>
              <w:spacing w:after="0"/>
              <w:rPr>
                <w:sz w:val="1"/>
                <w:szCs w:val="1"/>
                <w:color w:val="auto"/>
              </w:rPr>
            </w:pPr>
          </w:p>
        </w:tc>
      </w:tr>
      <w:tr>
        <w:trPr>
          <w:trHeight w:val="203"/>
        </w:trPr>
        <w:tc>
          <w:tcPr>
            <w:tcW w:w="1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920" w:type="dxa"/>
            <w:vAlign w:val="bottom"/>
            <w:gridSpan w:val="11"/>
          </w:tcPr>
          <w:p>
            <w:pPr>
              <w:spacing w:after="0" w:line="202" w:lineRule="exact"/>
              <w:rPr>
                <w:sz w:val="20"/>
                <w:szCs w:val="20"/>
                <w:color w:val="auto"/>
              </w:rPr>
            </w:pPr>
            <w:r>
              <w:rPr>
                <w:rFonts w:ascii="Arial" w:cs="Arial" w:eastAsia="Arial" w:hAnsi="Arial"/>
                <w:sz w:val="18"/>
                <w:szCs w:val="18"/>
                <w:color w:val="auto"/>
              </w:rPr>
              <w:t>are embedded within the Inline XBRL document.</w:t>
            </w:r>
          </w:p>
        </w:tc>
        <w:tc>
          <w:tcPr>
            <w:tcW w:w="0" w:type="dxa"/>
            <w:vAlign w:val="bottom"/>
          </w:tcPr>
          <w:p>
            <w:pPr>
              <w:spacing w:after="0"/>
              <w:rPr>
                <w:sz w:val="1"/>
                <w:szCs w:val="1"/>
                <w:color w:val="auto"/>
              </w:rPr>
            </w:pPr>
          </w:p>
        </w:tc>
      </w:tr>
      <w:tr>
        <w:trPr>
          <w:trHeight w:val="216"/>
        </w:trPr>
        <w:tc>
          <w:tcPr>
            <w:tcW w:w="1180" w:type="dxa"/>
            <w:vAlign w:val="bottom"/>
          </w:tcPr>
          <w:p>
            <w:pPr>
              <w:spacing w:after="0"/>
              <w:rPr>
                <w:sz w:val="20"/>
                <w:szCs w:val="20"/>
                <w:color w:val="auto"/>
              </w:rPr>
            </w:pPr>
            <w:r>
              <w:rPr>
                <w:rFonts w:ascii="Arial" w:cs="Arial" w:eastAsia="Arial" w:hAnsi="Arial"/>
                <w:sz w:val="18"/>
                <w:szCs w:val="18"/>
                <w:color w:val="auto"/>
              </w:rPr>
              <w:t>101.SCH*</w:t>
            </w:r>
          </w:p>
        </w:tc>
        <w:tc>
          <w:tcPr>
            <w:tcW w:w="140" w:type="dxa"/>
            <w:vAlign w:val="bottom"/>
          </w:tcPr>
          <w:p>
            <w:pPr>
              <w:spacing w:after="0"/>
              <w:rPr>
                <w:sz w:val="18"/>
                <w:szCs w:val="18"/>
                <w:color w:val="auto"/>
              </w:rPr>
            </w:pPr>
          </w:p>
        </w:tc>
        <w:tc>
          <w:tcPr>
            <w:tcW w:w="9920" w:type="dxa"/>
            <w:vAlign w:val="bottom"/>
            <w:gridSpan w:val="11"/>
          </w:tcPr>
          <w:p>
            <w:pPr>
              <w:spacing w:after="0"/>
              <w:rPr>
                <w:sz w:val="20"/>
                <w:szCs w:val="20"/>
                <w:color w:val="auto"/>
              </w:rPr>
            </w:pPr>
            <w:r>
              <w:rPr>
                <w:rFonts w:ascii="Arial" w:cs="Arial" w:eastAsia="Arial" w:hAnsi="Arial"/>
                <w:sz w:val="18"/>
                <w:szCs w:val="18"/>
                <w:color w:val="auto"/>
              </w:rPr>
              <w:t>Inline XBRL Taxonomy Extension Schema Document</w:t>
            </w:r>
          </w:p>
        </w:tc>
        <w:tc>
          <w:tcPr>
            <w:tcW w:w="0" w:type="dxa"/>
            <w:vAlign w:val="bottom"/>
          </w:tcPr>
          <w:p>
            <w:pPr>
              <w:spacing w:after="0"/>
              <w:rPr>
                <w:sz w:val="1"/>
                <w:szCs w:val="1"/>
                <w:color w:val="auto"/>
              </w:rPr>
            </w:pPr>
          </w:p>
        </w:tc>
      </w:tr>
      <w:tr>
        <w:trPr>
          <w:trHeight w:val="239"/>
        </w:trPr>
        <w:tc>
          <w:tcPr>
            <w:tcW w:w="1180" w:type="dxa"/>
            <w:vAlign w:val="bottom"/>
          </w:tcPr>
          <w:p>
            <w:pPr>
              <w:spacing w:after="0"/>
              <w:rPr>
                <w:sz w:val="20"/>
                <w:szCs w:val="20"/>
                <w:color w:val="auto"/>
              </w:rPr>
            </w:pPr>
            <w:r>
              <w:rPr>
                <w:rFonts w:ascii="Arial" w:cs="Arial" w:eastAsia="Arial" w:hAnsi="Arial"/>
                <w:sz w:val="18"/>
                <w:szCs w:val="18"/>
                <w:color w:val="auto"/>
              </w:rPr>
              <w:t>104*</w:t>
            </w:r>
          </w:p>
        </w:tc>
        <w:tc>
          <w:tcPr>
            <w:tcW w:w="140" w:type="dxa"/>
            <w:vAlign w:val="bottom"/>
          </w:tcPr>
          <w:p>
            <w:pPr>
              <w:spacing w:after="0"/>
              <w:rPr>
                <w:sz w:val="20"/>
                <w:szCs w:val="20"/>
                <w:color w:val="auto"/>
              </w:rPr>
            </w:pPr>
          </w:p>
        </w:tc>
        <w:tc>
          <w:tcPr>
            <w:tcW w:w="9920" w:type="dxa"/>
            <w:vAlign w:val="bottom"/>
            <w:gridSpan w:val="11"/>
          </w:tcPr>
          <w:p>
            <w:pPr>
              <w:spacing w:after="0"/>
              <w:rPr>
                <w:sz w:val="20"/>
                <w:szCs w:val="20"/>
                <w:color w:val="auto"/>
              </w:rPr>
            </w:pPr>
            <w:r>
              <w:rPr>
                <w:rFonts w:ascii="Arial" w:cs="Arial" w:eastAsia="Arial" w:hAnsi="Arial"/>
                <w:sz w:val="18"/>
                <w:szCs w:val="18"/>
                <w:color w:val="auto"/>
              </w:rPr>
              <w:t>Cover Page Interactive Data File (embedded within the Inline XBRL document)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951230" cy="889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8">
                      <a:extLst>
                        <a:ext uri="{28A0092B-C50C-407E-A947-70E740481C1C}"/>
                      </a:extLst>
                    </a:blip>
                    <a:srcRect/>
                    <a:stretch>
                      <a:fillRect/>
                    </a:stretch>
                  </pic:blipFill>
                  <pic:spPr bwMode="auto">
                    <a:xfrm>
                      <a:off x="0" y="0"/>
                      <a:ext cx="951230" cy="8890"/>
                    </a:xfrm>
                    <a:prstGeom prst="rect">
                      <a:avLst/>
                    </a:prstGeom>
                    <a:noFill/>
                  </pic:spPr>
                </pic:pic>
              </a:graphicData>
            </a:graphic>
          </wp:anchor>
        </w:drawing>
      </w:r>
    </w:p>
    <w:p>
      <w:pPr>
        <w:spacing w:after="0" w:line="214" w:lineRule="exact"/>
        <w:rPr>
          <w:sz w:val="20"/>
          <w:szCs w:val="20"/>
          <w:color w:val="auto"/>
        </w:rPr>
      </w:pPr>
    </w:p>
    <w:p>
      <w:pPr>
        <w:ind w:left="420" w:hanging="412"/>
        <w:spacing w:after="0"/>
        <w:tabs>
          <w:tab w:leader="none" w:pos="4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Filed herewith.</w:t>
      </w:r>
    </w:p>
    <w:p>
      <w:pPr>
        <w:spacing w:after="0" w:line="13" w:lineRule="exact"/>
        <w:rPr>
          <w:rFonts w:ascii="Arial" w:cs="Arial" w:eastAsia="Arial" w:hAnsi="Arial"/>
          <w:sz w:val="18"/>
          <w:szCs w:val="18"/>
          <w:color w:val="auto"/>
        </w:rPr>
      </w:pPr>
    </w:p>
    <w:p>
      <w:pPr>
        <w:ind w:right="120" w:firstLine="8"/>
        <w:spacing w:after="0" w:line="250" w:lineRule="auto"/>
        <w:tabs>
          <w:tab w:leader="none" w:pos="440" w:val="left"/>
        </w:tabs>
        <w:numPr>
          <w:ilvl w:val="1"/>
          <w:numId w:val="14"/>
        </w:numPr>
        <w:rPr>
          <w:rFonts w:ascii="Arial" w:cs="Arial" w:eastAsia="Arial" w:hAnsi="Arial"/>
          <w:sz w:val="18"/>
          <w:szCs w:val="18"/>
          <w:color w:val="auto"/>
        </w:rPr>
      </w:pPr>
      <w:r>
        <w:rPr>
          <w:rFonts w:ascii="Arial" w:cs="Arial" w:eastAsia="Arial" w:hAnsi="Arial"/>
          <w:sz w:val="18"/>
          <w:szCs w:val="18"/>
          <w:color w:val="auto"/>
        </w:rPr>
        <w:t>Deemed to be furnished with this Quarterly Report on Form 10-Q and will not be deemed to be “filed” for purposes of Section 18 of the Securities Exchange Act of 1934, as amended, except to the extent that the registrant specifically incorporates it by reference.</w:t>
      </w:r>
    </w:p>
    <w:p>
      <w:pPr>
        <w:spacing w:after="0" w:line="3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24" w:right="339" w:bottom="1440" w:gutter="0" w:footer="0" w:header="0"/>
        </w:sectPr>
      </w:pPr>
    </w:p>
    <w:bookmarkStart w:id="36" w:name="page37"/>
    <w:bookmarkEnd w:id="36"/>
    <w:p>
      <w:pPr>
        <w:jc w:val="center"/>
        <w:ind w:right="-399"/>
        <w:spacing w:after="0"/>
        <w:rPr>
          <w:sz w:val="20"/>
          <w:szCs w:val="20"/>
          <w:color w:val="auto"/>
        </w:rPr>
      </w:pPr>
      <w:r>
        <w:rPr>
          <w:rFonts w:ascii="Arial" w:cs="Arial" w:eastAsia="Arial" w:hAnsi="Arial"/>
          <w:sz w:val="32"/>
          <w:szCs w:val="32"/>
          <w:b w:val="1"/>
          <w:bCs w:val="1"/>
          <w:color w:val="auto"/>
        </w:rPr>
        <w:t>SIGNATURES</w:t>
      </w:r>
    </w:p>
    <w:p>
      <w:pPr>
        <w:spacing w:after="0" w:line="237" w:lineRule="exact"/>
        <w:rPr>
          <w:sz w:val="20"/>
          <w:szCs w:val="20"/>
          <w:color w:val="auto"/>
        </w:rPr>
      </w:pPr>
    </w:p>
    <w:p>
      <w:pPr>
        <w:ind w:firstLine="509"/>
        <w:spacing w:after="0" w:line="271"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81" w:lineRule="exact"/>
        <w:rPr>
          <w:sz w:val="20"/>
          <w:szCs w:val="20"/>
          <w:color w:val="auto"/>
        </w:rPr>
      </w:pPr>
    </w:p>
    <w:p>
      <w:pPr>
        <w:ind w:left="4740"/>
        <w:spacing w:after="0"/>
        <w:rPr>
          <w:sz w:val="20"/>
          <w:szCs w:val="20"/>
          <w:color w:val="auto"/>
        </w:rPr>
      </w:pPr>
      <w:r>
        <w:rPr>
          <w:rFonts w:ascii="Arial" w:cs="Arial" w:eastAsia="Arial" w:hAnsi="Arial"/>
          <w:sz w:val="18"/>
          <w:szCs w:val="18"/>
          <w:color w:val="auto"/>
        </w:rPr>
        <w:t>Monte Rosa Therapeutics, Inc.</w:t>
      </w:r>
    </w:p>
    <w:p>
      <w:pPr>
        <w:spacing w:after="0" w:line="198" w:lineRule="exact"/>
        <w:rPr>
          <w:sz w:val="20"/>
          <w:szCs w:val="20"/>
          <w:color w:val="auto"/>
        </w:rPr>
      </w:pPr>
    </w:p>
    <w:p>
      <w:pPr>
        <w:spacing w:after="0"/>
        <w:tabs>
          <w:tab w:leader="none" w:pos="4720" w:val="left"/>
          <w:tab w:leader="none" w:pos="7320" w:val="left"/>
        </w:tabs>
        <w:rPr>
          <w:sz w:val="20"/>
          <w:szCs w:val="20"/>
          <w:color w:val="auto"/>
        </w:rPr>
      </w:pPr>
      <w:r>
        <w:rPr>
          <w:rFonts w:ascii="Arial" w:cs="Arial" w:eastAsia="Arial" w:hAnsi="Arial"/>
          <w:sz w:val="18"/>
          <w:szCs w:val="18"/>
          <w:color w:val="auto"/>
        </w:rPr>
        <w:t>Date: May 7, 2026</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Markus Warmuth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3219450</wp:posOffset>
            </wp:positionH>
            <wp:positionV relativeFrom="paragraph">
              <wp:posOffset>8890</wp:posOffset>
            </wp:positionV>
            <wp:extent cx="3917315" cy="825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100">
                      <a:extLst>
                        <a:ext uri="{28A0092B-C50C-407E-A947-70E740481C1C}"/>
                      </a:extLst>
                    </a:blip>
                    <a:srcRect/>
                    <a:stretch>
                      <a:fillRect/>
                    </a:stretch>
                  </pic:blipFill>
                  <pic:spPr bwMode="auto">
                    <a:xfrm>
                      <a:off x="0" y="0"/>
                      <a:ext cx="3917315" cy="8255"/>
                    </a:xfrm>
                    <a:prstGeom prst="rect">
                      <a:avLst/>
                    </a:prstGeom>
                    <a:noFill/>
                  </pic:spPr>
                </pic:pic>
              </a:graphicData>
            </a:graphic>
          </wp:anchor>
        </w:drawing>
      </w:r>
    </w:p>
    <w:p>
      <w:pPr>
        <w:spacing w:after="0" w:line="3" w:lineRule="exact"/>
        <w:rPr>
          <w:sz w:val="20"/>
          <w:szCs w:val="20"/>
          <w:color w:val="auto"/>
        </w:rPr>
      </w:pPr>
    </w:p>
    <w:p>
      <w:pPr>
        <w:jc w:val="center"/>
        <w:ind w:left="5020"/>
        <w:spacing w:after="0"/>
        <w:rPr>
          <w:sz w:val="20"/>
          <w:szCs w:val="20"/>
          <w:color w:val="auto"/>
        </w:rPr>
      </w:pPr>
      <w:r>
        <w:rPr>
          <w:rFonts w:ascii="Arial" w:cs="Arial" w:eastAsia="Arial" w:hAnsi="Arial"/>
          <w:sz w:val="18"/>
          <w:szCs w:val="18"/>
          <w:b w:val="1"/>
          <w:bCs w:val="1"/>
          <w:color w:val="auto"/>
        </w:rPr>
        <w:t>Markus Warmuth</w:t>
      </w:r>
    </w:p>
    <w:p>
      <w:pPr>
        <w:jc w:val="center"/>
        <w:ind w:left="5020"/>
        <w:spacing w:after="0"/>
        <w:rPr>
          <w:sz w:val="20"/>
          <w:szCs w:val="20"/>
          <w:color w:val="auto"/>
        </w:rPr>
      </w:pPr>
      <w:r>
        <w:rPr>
          <w:rFonts w:ascii="Arial" w:cs="Arial" w:eastAsia="Arial" w:hAnsi="Arial"/>
          <w:sz w:val="18"/>
          <w:szCs w:val="18"/>
          <w:b w:val="1"/>
          <w:bCs w:val="1"/>
          <w:color w:val="auto"/>
        </w:rPr>
        <w:t>Chief Executive Officer</w:t>
      </w:r>
    </w:p>
    <w:p>
      <w:pPr>
        <w:spacing w:after="0" w:line="9" w:lineRule="exact"/>
        <w:rPr>
          <w:sz w:val="20"/>
          <w:szCs w:val="20"/>
          <w:color w:val="auto"/>
        </w:rPr>
      </w:pPr>
    </w:p>
    <w:p>
      <w:pPr>
        <w:ind w:left="5840"/>
        <w:spacing w:after="0"/>
        <w:rPr>
          <w:sz w:val="20"/>
          <w:szCs w:val="20"/>
          <w:color w:val="auto"/>
        </w:rPr>
      </w:pPr>
      <w:r>
        <w:rPr>
          <w:rFonts w:ascii="Arial" w:cs="Arial" w:eastAsia="Arial" w:hAnsi="Arial"/>
          <w:sz w:val="18"/>
          <w:szCs w:val="18"/>
          <w:color w:val="auto"/>
        </w:rPr>
        <w:t>(Principal Executive Officer and Principal Financial Officer)</w:t>
      </w: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center"/>
        <w:ind w:right="-399"/>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10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840"/>
          </w:cols>
          <w:pgMar w:left="320" w:top="1000" w:right="739" w:bottom="1440" w:gutter="0" w:footer="0" w:header="0"/>
        </w:sectPr>
      </w:pPr>
    </w:p>
    <w:bookmarkStart w:id="37" w:name="page38"/>
    <w:bookmarkEnd w:id="37"/>
    <w:p>
      <w:pPr>
        <w:jc w:val="right"/>
        <w:spacing w:after="0"/>
        <w:rPr>
          <w:sz w:val="20"/>
          <w:szCs w:val="20"/>
          <w:color w:val="auto"/>
        </w:rPr>
      </w:pPr>
      <w:r>
        <w:rPr>
          <w:rFonts w:ascii="Arial" w:cs="Arial" w:eastAsia="Arial" w:hAnsi="Arial"/>
          <w:sz w:val="18"/>
          <w:szCs w:val="18"/>
          <w:b w:val="1"/>
          <w:bCs w:val="1"/>
          <w:color w:val="auto"/>
        </w:rPr>
        <w:t>Exhibit 31.1</w:t>
      </w:r>
    </w:p>
    <w:p>
      <w:pPr>
        <w:spacing w:after="0" w:line="32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RULES 13a-14(a) AND 15d-14(a) UNDER THE SECURITIES EXCHANGE ACT OF 1934,</w:t>
      </w:r>
    </w:p>
    <w:p>
      <w:pPr>
        <w:jc w:val="center"/>
        <w:spacing w:after="0"/>
        <w:rPr>
          <w:sz w:val="20"/>
          <w:szCs w:val="20"/>
          <w:color w:val="auto"/>
        </w:rPr>
      </w:pPr>
      <w:r>
        <w:rPr>
          <w:rFonts w:ascii="Arial" w:cs="Arial" w:eastAsia="Arial" w:hAnsi="Arial"/>
          <w:sz w:val="18"/>
          <w:szCs w:val="18"/>
          <w:b w:val="1"/>
          <w:bCs w:val="1"/>
          <w:color w:val="auto"/>
        </w:rPr>
        <w:t>AS ADOPTED PURSUANT TO SECTION 302 OF THE SARBANES-OXLEY ACT OF 2002</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color w:val="auto"/>
        </w:rPr>
        <w:t>I, Markus Warmuth, certify that:</w:t>
      </w:r>
    </w:p>
    <w:p>
      <w:pPr>
        <w:spacing w:after="0" w:line="212" w:lineRule="exact"/>
        <w:rPr>
          <w:sz w:val="20"/>
          <w:szCs w:val="20"/>
          <w:color w:val="auto"/>
        </w:rPr>
      </w:pPr>
    </w:p>
    <w:p>
      <w:pPr>
        <w:ind w:left="520" w:hanging="512"/>
        <w:spacing w:after="0"/>
        <w:tabs>
          <w:tab w:leader="none" w:pos="5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for the period ending March 31, 2026 of Monte Rosa Therapeutics, Inc.;</w:t>
      </w:r>
    </w:p>
    <w:p>
      <w:pPr>
        <w:spacing w:after="0" w:line="211" w:lineRule="exact"/>
        <w:rPr>
          <w:rFonts w:ascii="Arial" w:cs="Arial" w:eastAsia="Arial" w:hAnsi="Arial"/>
          <w:sz w:val="18"/>
          <w:szCs w:val="18"/>
          <w:color w:val="auto"/>
        </w:rPr>
      </w:pPr>
    </w:p>
    <w:p>
      <w:pPr>
        <w:ind w:left="520" w:right="80" w:hanging="512"/>
        <w:spacing w:after="0" w:line="253" w:lineRule="auto"/>
        <w:tabs>
          <w:tab w:leader="none" w:pos="5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68" w:lineRule="exact"/>
        <w:rPr>
          <w:rFonts w:ascii="Arial" w:cs="Arial" w:eastAsia="Arial" w:hAnsi="Arial"/>
          <w:sz w:val="18"/>
          <w:szCs w:val="18"/>
          <w:color w:val="auto"/>
        </w:rPr>
      </w:pPr>
    </w:p>
    <w:p>
      <w:pPr>
        <w:ind w:left="520" w:right="260" w:hanging="512"/>
        <w:spacing w:after="0" w:line="253" w:lineRule="auto"/>
        <w:tabs>
          <w:tab w:leader="none" w:pos="5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8" w:lineRule="exact"/>
        <w:rPr>
          <w:rFonts w:ascii="Arial" w:cs="Arial" w:eastAsia="Arial" w:hAnsi="Arial"/>
          <w:sz w:val="18"/>
          <w:szCs w:val="18"/>
          <w:color w:val="auto"/>
        </w:rPr>
      </w:pPr>
    </w:p>
    <w:p>
      <w:pPr>
        <w:ind w:left="520" w:right="60" w:hanging="512"/>
        <w:spacing w:after="0" w:line="253" w:lineRule="auto"/>
        <w:tabs>
          <w:tab w:leader="none" w:pos="5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68" w:lineRule="exact"/>
        <w:rPr>
          <w:rFonts w:ascii="Arial" w:cs="Arial" w:eastAsia="Arial" w:hAnsi="Arial"/>
          <w:sz w:val="18"/>
          <w:szCs w:val="18"/>
          <w:color w:val="auto"/>
        </w:rPr>
      </w:pPr>
    </w:p>
    <w:p>
      <w:pPr>
        <w:ind w:left="1020" w:right="280" w:hanging="503"/>
        <w:spacing w:after="0" w:line="253" w:lineRule="auto"/>
        <w:tabs>
          <w:tab w:leader="none" w:pos="1020" w:val="left"/>
        </w:tabs>
        <w:numPr>
          <w:ilvl w:val="1"/>
          <w:numId w:val="15"/>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68" w:lineRule="exact"/>
        <w:rPr>
          <w:rFonts w:ascii="Arial" w:cs="Arial" w:eastAsia="Arial" w:hAnsi="Arial"/>
          <w:sz w:val="18"/>
          <w:szCs w:val="18"/>
          <w:color w:val="auto"/>
        </w:rPr>
      </w:pPr>
    </w:p>
    <w:p>
      <w:pPr>
        <w:ind w:left="1020" w:right="280" w:hanging="503"/>
        <w:spacing w:after="0" w:line="253" w:lineRule="auto"/>
        <w:tabs>
          <w:tab w:leader="none" w:pos="1020" w:val="left"/>
        </w:tabs>
        <w:numPr>
          <w:ilvl w:val="1"/>
          <w:numId w:val="15"/>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68" w:lineRule="exact"/>
        <w:rPr>
          <w:rFonts w:ascii="Arial" w:cs="Arial" w:eastAsia="Arial" w:hAnsi="Arial"/>
          <w:sz w:val="18"/>
          <w:szCs w:val="18"/>
          <w:color w:val="auto"/>
        </w:rPr>
      </w:pPr>
    </w:p>
    <w:p>
      <w:pPr>
        <w:jc w:val="both"/>
        <w:ind w:left="1020" w:right="200" w:hanging="503"/>
        <w:spacing w:after="0" w:line="253" w:lineRule="auto"/>
        <w:tabs>
          <w:tab w:leader="none" w:pos="1020" w:val="left"/>
        </w:tabs>
        <w:numPr>
          <w:ilvl w:val="1"/>
          <w:numId w:val="15"/>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8" w:lineRule="exact"/>
        <w:rPr>
          <w:rFonts w:ascii="Arial" w:cs="Arial" w:eastAsia="Arial" w:hAnsi="Arial"/>
          <w:sz w:val="18"/>
          <w:szCs w:val="18"/>
          <w:color w:val="auto"/>
        </w:rPr>
      </w:pPr>
    </w:p>
    <w:p>
      <w:pPr>
        <w:ind w:left="1020" w:right="20" w:hanging="503"/>
        <w:spacing w:after="0" w:line="253" w:lineRule="auto"/>
        <w:tabs>
          <w:tab w:leader="none" w:pos="1020" w:val="left"/>
        </w:tabs>
        <w:numPr>
          <w:ilvl w:val="1"/>
          <w:numId w:val="15"/>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68" w:lineRule="exact"/>
        <w:rPr>
          <w:rFonts w:ascii="Arial" w:cs="Arial" w:eastAsia="Arial" w:hAnsi="Arial"/>
          <w:sz w:val="18"/>
          <w:szCs w:val="18"/>
          <w:color w:val="auto"/>
        </w:rPr>
      </w:pPr>
    </w:p>
    <w:p>
      <w:pPr>
        <w:ind w:left="520" w:right="260" w:hanging="512"/>
        <w:spacing w:after="0" w:line="253" w:lineRule="auto"/>
        <w:tabs>
          <w:tab w:leader="none" w:pos="5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8" w:lineRule="exact"/>
        <w:rPr>
          <w:rFonts w:ascii="Arial" w:cs="Arial" w:eastAsia="Arial" w:hAnsi="Arial"/>
          <w:sz w:val="18"/>
          <w:szCs w:val="18"/>
          <w:color w:val="auto"/>
        </w:rPr>
      </w:pPr>
    </w:p>
    <w:p>
      <w:pPr>
        <w:ind w:left="1020" w:right="200" w:hanging="503"/>
        <w:spacing w:after="0" w:line="253" w:lineRule="auto"/>
        <w:tabs>
          <w:tab w:leader="none" w:pos="1020" w:val="left"/>
        </w:tabs>
        <w:numPr>
          <w:ilvl w:val="1"/>
          <w:numId w:val="15"/>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8" w:lineRule="exact"/>
        <w:rPr>
          <w:rFonts w:ascii="Arial" w:cs="Arial" w:eastAsia="Arial" w:hAnsi="Arial"/>
          <w:sz w:val="18"/>
          <w:szCs w:val="18"/>
          <w:color w:val="auto"/>
        </w:rPr>
      </w:pPr>
    </w:p>
    <w:p>
      <w:pPr>
        <w:ind w:left="1020" w:right="120" w:hanging="503"/>
        <w:spacing w:after="0" w:line="271" w:lineRule="auto"/>
        <w:tabs>
          <w:tab w:leader="none" w:pos="1020" w:val="left"/>
        </w:tabs>
        <w:numPr>
          <w:ilvl w:val="1"/>
          <w:numId w:val="15"/>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81" w:lineRule="exact"/>
        <w:rPr>
          <w:sz w:val="20"/>
          <w:szCs w:val="20"/>
          <w:color w:val="auto"/>
        </w:rPr>
      </w:pPr>
    </w:p>
    <w:p>
      <w:pPr>
        <w:spacing w:after="0"/>
        <w:tabs>
          <w:tab w:leader="none" w:pos="4720" w:val="left"/>
          <w:tab w:leader="none" w:pos="7320" w:val="left"/>
        </w:tabs>
        <w:rPr>
          <w:sz w:val="20"/>
          <w:szCs w:val="20"/>
          <w:color w:val="auto"/>
        </w:rPr>
      </w:pPr>
      <w:r>
        <w:rPr>
          <w:rFonts w:ascii="Arial" w:cs="Arial" w:eastAsia="Arial" w:hAnsi="Arial"/>
          <w:sz w:val="18"/>
          <w:szCs w:val="18"/>
          <w:color w:val="auto"/>
        </w:rPr>
        <w:t>Date: May 7, 2026</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Markus Warmuth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3219450</wp:posOffset>
            </wp:positionH>
            <wp:positionV relativeFrom="paragraph">
              <wp:posOffset>8890</wp:posOffset>
            </wp:positionV>
            <wp:extent cx="3917315" cy="825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102">
                      <a:extLst>
                        <a:ext uri="{28A0092B-C50C-407E-A947-70E740481C1C}"/>
                      </a:extLst>
                    </a:blip>
                    <a:srcRect/>
                    <a:stretch>
                      <a:fillRect/>
                    </a:stretch>
                  </pic:blipFill>
                  <pic:spPr bwMode="auto">
                    <a:xfrm>
                      <a:off x="0" y="0"/>
                      <a:ext cx="3917315" cy="8255"/>
                    </a:xfrm>
                    <a:prstGeom prst="rect">
                      <a:avLst/>
                    </a:prstGeom>
                    <a:noFill/>
                  </pic:spPr>
                </pic:pic>
              </a:graphicData>
            </a:graphic>
          </wp:anchor>
        </w:drawing>
      </w:r>
    </w:p>
    <w:p>
      <w:pPr>
        <w:spacing w:after="0" w:line="21" w:lineRule="exact"/>
        <w:rPr>
          <w:sz w:val="20"/>
          <w:szCs w:val="20"/>
          <w:color w:val="auto"/>
        </w:rPr>
      </w:pPr>
    </w:p>
    <w:p>
      <w:pPr>
        <w:jc w:val="center"/>
        <w:ind w:left="5040"/>
        <w:spacing w:after="0"/>
        <w:rPr>
          <w:sz w:val="20"/>
          <w:szCs w:val="20"/>
          <w:color w:val="auto"/>
        </w:rPr>
      </w:pPr>
      <w:r>
        <w:rPr>
          <w:rFonts w:ascii="Arial" w:cs="Arial" w:eastAsia="Arial" w:hAnsi="Arial"/>
          <w:sz w:val="18"/>
          <w:szCs w:val="18"/>
          <w:b w:val="1"/>
          <w:bCs w:val="1"/>
          <w:color w:val="auto"/>
        </w:rPr>
        <w:t>Markus Warmuth</w:t>
      </w:r>
    </w:p>
    <w:p>
      <w:pPr>
        <w:spacing w:after="0" w:line="9" w:lineRule="exact"/>
        <w:rPr>
          <w:sz w:val="20"/>
          <w:szCs w:val="20"/>
          <w:color w:val="auto"/>
        </w:rPr>
      </w:pPr>
    </w:p>
    <w:p>
      <w:pPr>
        <w:jc w:val="center"/>
        <w:ind w:left="5040"/>
        <w:spacing w:after="0"/>
        <w:rPr>
          <w:sz w:val="20"/>
          <w:szCs w:val="20"/>
          <w:color w:val="auto"/>
        </w:rPr>
      </w:pPr>
      <w:r>
        <w:rPr>
          <w:rFonts w:ascii="Arial" w:cs="Arial" w:eastAsia="Arial" w:hAnsi="Arial"/>
          <w:sz w:val="18"/>
          <w:szCs w:val="18"/>
          <w:b w:val="1"/>
          <w:bCs w:val="1"/>
          <w:color w:val="auto"/>
        </w:rPr>
        <w:t>Chief Executive Officer</w:t>
      </w:r>
    </w:p>
    <w:p>
      <w:pPr>
        <w:spacing w:after="0" w:line="9" w:lineRule="exact"/>
        <w:rPr>
          <w:sz w:val="20"/>
          <w:szCs w:val="20"/>
          <w:color w:val="auto"/>
        </w:rPr>
      </w:pPr>
    </w:p>
    <w:p>
      <w:pPr>
        <w:jc w:val="center"/>
        <w:ind w:left="5040"/>
        <w:spacing w:after="0"/>
        <w:rPr>
          <w:sz w:val="20"/>
          <w:szCs w:val="20"/>
          <w:color w:val="auto"/>
        </w:rPr>
      </w:pPr>
      <w:r>
        <w:rPr>
          <w:rFonts w:ascii="Arial" w:cs="Arial" w:eastAsia="Arial" w:hAnsi="Arial"/>
          <w:sz w:val="18"/>
          <w:szCs w:val="18"/>
          <w:color w:val="auto"/>
        </w:rPr>
        <w:t>(Principal Executive Officer and Principal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739140</wp:posOffset>
            </wp:positionV>
            <wp:extent cx="7157720" cy="425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sectPr>
      </w:pPr>
    </w:p>
    <w:bookmarkStart w:id="38" w:name="page39"/>
    <w:bookmarkEnd w:id="38"/>
    <w:p>
      <w:pPr>
        <w:jc w:val="right"/>
        <w:spacing w:after="0"/>
        <w:rPr>
          <w:sz w:val="20"/>
          <w:szCs w:val="20"/>
          <w:color w:val="auto"/>
        </w:rPr>
      </w:pPr>
      <w:r>
        <w:rPr>
          <w:rFonts w:ascii="Arial" w:cs="Arial" w:eastAsia="Arial" w:hAnsi="Arial"/>
          <w:sz w:val="18"/>
          <w:szCs w:val="18"/>
          <w:b w:val="1"/>
          <w:bCs w:val="1"/>
          <w:color w:val="auto"/>
        </w:rPr>
        <w:t>Exhibit 32.1</w:t>
      </w:r>
    </w:p>
    <w:p>
      <w:pPr>
        <w:spacing w:after="0" w:line="32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9" w:lineRule="exact"/>
        <w:rPr>
          <w:sz w:val="20"/>
          <w:szCs w:val="20"/>
          <w:color w:val="auto"/>
        </w:rPr>
      </w:pPr>
    </w:p>
    <w:p>
      <w:pPr>
        <w:ind w:left="3260"/>
        <w:spacing w:after="0"/>
        <w:rPr>
          <w:sz w:val="20"/>
          <w:szCs w:val="20"/>
          <w:color w:val="auto"/>
        </w:rPr>
      </w:pPr>
      <w:r>
        <w:rPr>
          <w:rFonts w:ascii="Arial" w:cs="Arial" w:eastAsia="Arial" w:hAnsi="Arial"/>
          <w:sz w:val="18"/>
          <w:szCs w:val="18"/>
          <w:b w:val="1"/>
          <w:bCs w:val="1"/>
          <w:color w:val="auto"/>
        </w:rPr>
        <w:t>18 U.S.C. SECTION 1350, AS ADOPTED PURSUANT TO</w:t>
      </w:r>
    </w:p>
    <w:p>
      <w:pPr>
        <w:ind w:left="3240"/>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194" w:lineRule="exact"/>
        <w:rPr>
          <w:sz w:val="20"/>
          <w:szCs w:val="20"/>
          <w:color w:val="auto"/>
        </w:rPr>
      </w:pPr>
    </w:p>
    <w:p>
      <w:pPr>
        <w:jc w:val="both"/>
        <w:ind w:right="120" w:firstLine="509"/>
        <w:spacing w:after="0" w:line="253" w:lineRule="auto"/>
        <w:rPr>
          <w:sz w:val="20"/>
          <w:szCs w:val="20"/>
          <w:color w:val="auto"/>
        </w:rPr>
      </w:pPr>
      <w:r>
        <w:rPr>
          <w:rFonts w:ascii="Arial" w:cs="Arial" w:eastAsia="Arial" w:hAnsi="Arial"/>
          <w:sz w:val="18"/>
          <w:szCs w:val="18"/>
          <w:color w:val="auto"/>
        </w:rPr>
        <w:t>In connection with the Quarterly Report of Monte Rosa Therapeutics, Inc. (the “Company”) on Form 10-Q for the period ending March 31, 2026 as filed with the Securities and Exchange Commission on the date hereof (the “Report”), I certify, pursuant to 18 U.S.C. § 1350, as adopted pursuant to § 906 of the Sarbanes-Oxley Act of 2002, that:</w:t>
      </w:r>
    </w:p>
    <w:p>
      <w:pPr>
        <w:spacing w:after="0" w:line="169" w:lineRule="exact"/>
        <w:rPr>
          <w:sz w:val="20"/>
          <w:szCs w:val="20"/>
          <w:color w:val="auto"/>
        </w:rPr>
      </w:pPr>
    </w:p>
    <w:p>
      <w:pPr>
        <w:ind w:left="1020" w:hanging="503"/>
        <w:spacing w:after="0"/>
        <w:tabs>
          <w:tab w:leader="none" w:pos="10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11" w:lineRule="exact"/>
        <w:rPr>
          <w:rFonts w:ascii="Arial" w:cs="Arial" w:eastAsia="Arial" w:hAnsi="Arial"/>
          <w:sz w:val="18"/>
          <w:szCs w:val="18"/>
          <w:color w:val="auto"/>
        </w:rPr>
      </w:pPr>
    </w:p>
    <w:p>
      <w:pPr>
        <w:ind w:left="1020" w:right="40" w:hanging="503"/>
        <w:spacing w:after="0" w:line="271" w:lineRule="auto"/>
        <w:tabs>
          <w:tab w:leader="none" w:pos="10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 of operations of the Company.</w:t>
      </w:r>
    </w:p>
    <w:p>
      <w:pPr>
        <w:spacing w:after="0" w:line="181" w:lineRule="exact"/>
        <w:rPr>
          <w:sz w:val="20"/>
          <w:szCs w:val="20"/>
          <w:color w:val="auto"/>
        </w:rPr>
      </w:pPr>
    </w:p>
    <w:p>
      <w:pPr>
        <w:spacing w:after="0"/>
        <w:tabs>
          <w:tab w:leader="none" w:pos="4720" w:val="left"/>
          <w:tab w:leader="none" w:pos="7320" w:val="left"/>
        </w:tabs>
        <w:rPr>
          <w:sz w:val="20"/>
          <w:szCs w:val="20"/>
          <w:color w:val="auto"/>
        </w:rPr>
      </w:pPr>
      <w:r>
        <w:rPr>
          <w:rFonts w:ascii="Arial" w:cs="Arial" w:eastAsia="Arial" w:hAnsi="Arial"/>
          <w:sz w:val="18"/>
          <w:szCs w:val="18"/>
          <w:color w:val="auto"/>
        </w:rPr>
        <w:t>Date: May 7, 2026</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Markus Warmuth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3219450</wp:posOffset>
            </wp:positionH>
            <wp:positionV relativeFrom="paragraph">
              <wp:posOffset>8890</wp:posOffset>
            </wp:positionV>
            <wp:extent cx="3917315" cy="825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4">
                      <a:extLst>
                        <a:ext uri="{28A0092B-C50C-407E-A947-70E740481C1C}"/>
                      </a:extLst>
                    </a:blip>
                    <a:srcRect/>
                    <a:stretch>
                      <a:fillRect/>
                    </a:stretch>
                  </pic:blipFill>
                  <pic:spPr bwMode="auto">
                    <a:xfrm>
                      <a:off x="0" y="0"/>
                      <a:ext cx="3917315" cy="8255"/>
                    </a:xfrm>
                    <a:prstGeom prst="rect">
                      <a:avLst/>
                    </a:prstGeom>
                    <a:noFill/>
                  </pic:spPr>
                </pic:pic>
              </a:graphicData>
            </a:graphic>
          </wp:anchor>
        </w:drawing>
      </w:r>
    </w:p>
    <w:p>
      <w:pPr>
        <w:spacing w:after="0" w:line="3" w:lineRule="exact"/>
        <w:rPr>
          <w:sz w:val="20"/>
          <w:szCs w:val="20"/>
          <w:color w:val="auto"/>
        </w:rPr>
      </w:pPr>
    </w:p>
    <w:p>
      <w:pPr>
        <w:jc w:val="center"/>
        <w:ind w:left="5040"/>
        <w:spacing w:after="0"/>
        <w:rPr>
          <w:sz w:val="20"/>
          <w:szCs w:val="20"/>
          <w:color w:val="auto"/>
        </w:rPr>
      </w:pPr>
      <w:r>
        <w:rPr>
          <w:rFonts w:ascii="Arial" w:cs="Arial" w:eastAsia="Arial" w:hAnsi="Arial"/>
          <w:sz w:val="18"/>
          <w:szCs w:val="18"/>
          <w:b w:val="1"/>
          <w:bCs w:val="1"/>
          <w:color w:val="auto"/>
        </w:rPr>
        <w:t>Markus Warmuth</w:t>
      </w:r>
    </w:p>
    <w:p>
      <w:pPr>
        <w:jc w:val="center"/>
        <w:ind w:left="5040"/>
        <w:spacing w:after="0" w:line="234" w:lineRule="auto"/>
        <w:rPr>
          <w:sz w:val="20"/>
          <w:szCs w:val="20"/>
          <w:color w:val="auto"/>
        </w:rPr>
      </w:pPr>
      <w:r>
        <w:rPr>
          <w:rFonts w:ascii="Arial" w:cs="Arial" w:eastAsia="Arial" w:hAnsi="Arial"/>
          <w:sz w:val="18"/>
          <w:szCs w:val="18"/>
          <w:b w:val="1"/>
          <w:bCs w:val="1"/>
          <w:color w:val="auto"/>
        </w:rPr>
        <w:t>Chief Executive Officer</w:t>
      </w:r>
    </w:p>
    <w:p>
      <w:pPr>
        <w:spacing w:after="0" w:line="1" w:lineRule="exact"/>
        <w:rPr>
          <w:sz w:val="20"/>
          <w:szCs w:val="20"/>
          <w:color w:val="auto"/>
        </w:rPr>
      </w:pPr>
    </w:p>
    <w:p>
      <w:pPr>
        <w:jc w:val="center"/>
        <w:ind w:left="5040"/>
        <w:spacing w:after="0"/>
        <w:rPr>
          <w:sz w:val="20"/>
          <w:szCs w:val="20"/>
          <w:color w:val="auto"/>
        </w:rPr>
      </w:pPr>
      <w:r>
        <w:rPr>
          <w:rFonts w:ascii="Arial" w:cs="Arial" w:eastAsia="Arial" w:hAnsi="Arial"/>
          <w:sz w:val="18"/>
          <w:szCs w:val="18"/>
          <w:color w:val="auto"/>
        </w:rPr>
        <w:t>(Principal Executive Officer and Principal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739140</wp:posOffset>
            </wp:positionV>
            <wp:extent cx="7157720" cy="425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sectPr>
      </w:pPr>
    </w:p>
    <w:bookmarkStart w:id="39" w:name="page40"/>
    <w:bookmarkEnd w:id="39"/>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15F007C"/>
    <w:multiLevelType w:val="hybridMultilevel"/>
    <w:lvl w:ilvl="0">
      <w:lvlJc w:val="left"/>
      <w:lvlText w:val="☒"/>
      <w:numFmt w:val="bullet"/>
      <w:start w:val="1"/>
    </w:lvl>
  </w:abstractNum>
  <w:abstractNum w:abstractNumId="1">
    <w:nsid w:val="5BD062C2"/>
    <w:multiLevelType w:val="hybridMultilevel"/>
    <w:lvl w:ilvl="0">
      <w:lvlJc w:val="left"/>
      <w:lvlText w:val="☐"/>
      <w:numFmt w:val="bullet"/>
      <w:start w:val="1"/>
    </w:lvl>
  </w:abstractNum>
  <w:abstractNum w:abstractNumId="2">
    <w:nsid w:val="12200854"/>
    <w:multiLevelType w:val="hybridMultilevel"/>
    <w:lvl w:ilvl="0">
      <w:lvlJc w:val="left"/>
      <w:lvlText w:val="•"/>
      <w:numFmt w:val="bullet"/>
      <w:start w:val="1"/>
    </w:lvl>
  </w:abstractNum>
  <w:abstractNum w:abstractNumId="3">
    <w:nsid w:val="4DB127F8"/>
    <w:multiLevelType w:val="hybridMultilevel"/>
    <w:lvl w:ilvl="0">
      <w:lvlJc w:val="left"/>
      <w:lvlText w:val="•"/>
      <w:numFmt w:val="bullet"/>
      <w:start w:val="1"/>
    </w:lvl>
  </w:abstractNum>
  <w:abstractNum w:abstractNumId="4">
    <w:nsid w:val="216231B"/>
    <w:multiLevelType w:val="hybridMultilevel"/>
    <w:lvl w:ilvl="0">
      <w:lvlJc w:val="left"/>
      <w:lvlText w:val="•"/>
      <w:numFmt w:val="bullet"/>
      <w:start w:val="1"/>
    </w:lvl>
  </w:abstractNum>
  <w:abstractNum w:abstractNumId="5">
    <w:nsid w:val="1F16E9E8"/>
    <w:multiLevelType w:val="hybridMultilevel"/>
    <w:lvl w:ilvl="0">
      <w:lvlJc w:val="left"/>
      <w:lvlText w:val="•"/>
      <w:numFmt w:val="bullet"/>
      <w:start w:val="1"/>
    </w:lvl>
  </w:abstractNum>
  <w:abstractNum w:abstractNumId="6">
    <w:nsid w:val="1190CDE7"/>
    <w:multiLevelType w:val="hybridMultilevel"/>
    <w:lvl w:ilvl="0">
      <w:lvlJc w:val="left"/>
      <w:lvlText w:val="•"/>
      <w:numFmt w:val="bullet"/>
      <w:start w:val="1"/>
    </w:lvl>
  </w:abstractNum>
  <w:abstractNum w:abstractNumId="7">
    <w:nsid w:val="66EF438D"/>
    <w:multiLevelType w:val="hybridMultilevel"/>
    <w:lvl w:ilvl="0">
      <w:lvlJc w:val="left"/>
      <w:lvlText w:val="•"/>
      <w:numFmt w:val="bullet"/>
      <w:start w:val="1"/>
    </w:lvl>
  </w:abstractNum>
  <w:abstractNum w:abstractNumId="8">
    <w:nsid w:val="140E0F76"/>
    <w:multiLevelType w:val="hybridMultilevel"/>
    <w:lvl w:ilvl="0">
      <w:lvlJc w:val="left"/>
      <w:lvlText w:val="•"/>
      <w:numFmt w:val="bullet"/>
      <w:start w:val="1"/>
    </w:lvl>
  </w:abstractNum>
  <w:abstractNum w:abstractNumId="9">
    <w:nsid w:val="3352255A"/>
    <w:multiLevelType w:val="hybridMultilevel"/>
    <w:lvl w:ilvl="0">
      <w:lvlJc w:val="left"/>
      <w:lvlText w:val="•"/>
      <w:numFmt w:val="bullet"/>
      <w:start w:val="1"/>
    </w:lvl>
  </w:abstractNum>
  <w:abstractNum w:abstractNumId="10">
    <w:nsid w:val="109CF92E"/>
    <w:multiLevelType w:val="hybridMultilevel"/>
    <w:lvl w:ilvl="0">
      <w:lvlJc w:val="left"/>
      <w:lvlText w:val="•"/>
      <w:numFmt w:val="bullet"/>
      <w:start w:val="1"/>
    </w:lvl>
  </w:abstractNum>
  <w:abstractNum w:abstractNumId="11">
    <w:nsid w:val="DED7263"/>
    <w:multiLevelType w:val="hybridMultilevel"/>
    <w:lvl w:ilvl="0">
      <w:lvlJc w:val="left"/>
      <w:lvlText w:val="•"/>
      <w:numFmt w:val="bullet"/>
      <w:start w:val="1"/>
    </w:lvl>
  </w:abstractNum>
  <w:abstractNum w:abstractNumId="12">
    <w:nsid w:val="7FDCC233"/>
    <w:multiLevelType w:val="hybridMultilevel"/>
    <w:lvl w:ilvl="0">
      <w:lvlJc w:val="left"/>
      <w:lvlText w:val="•"/>
      <w:numFmt w:val="bullet"/>
      <w:start w:val="1"/>
    </w:lvl>
  </w:abstractNum>
  <w:abstractNum w:abstractNumId="13">
    <w:nsid w:val="1BEFD79F"/>
    <w:multiLevelType w:val="hybridMultilevel"/>
    <w:lvl w:ilvl="0">
      <w:lvlJc w:val="left"/>
      <w:lvlText w:val="*"/>
      <w:numFmt w:val="bullet"/>
      <w:start w:val="1"/>
    </w:lvl>
    <w:lvl w:ilvl="1">
      <w:lvlJc w:val="left"/>
      <w:lvlText w:val="**"/>
      <w:numFmt w:val="bullet"/>
      <w:start w:val="1"/>
    </w:lvl>
  </w:abstractNum>
  <w:abstractNum w:abstractNumId="14">
    <w:nsid w:val="41A7C4C9"/>
    <w:multiLevelType w:val="hybridMultilevel"/>
    <w:lvl w:ilvl="0">
      <w:lvlJc w:val="left"/>
      <w:lvlText w:val="%1."/>
      <w:numFmt w:val="decimal"/>
      <w:start w:val="1"/>
    </w:lvl>
    <w:lvl w:ilvl="1">
      <w:lvlJc w:val="left"/>
      <w:lvlText w:val="(%2)"/>
      <w:numFmt w:val="lowerLetter"/>
      <w:start w:val="1"/>
    </w:lvl>
  </w:abstractNum>
  <w:abstractNum w:abstractNumId="15">
    <w:nsid w:val="6B68079A"/>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8" Type="http://schemas.openxmlformats.org/officeDocument/2006/relationships/image" Target="media/image88.png"/><Relationship Id="rId99" Type="http://schemas.openxmlformats.org/officeDocument/2006/relationships/image" Target="media/image89.png"/><Relationship Id="rId100" Type="http://schemas.openxmlformats.org/officeDocument/2006/relationships/image" Target="media/image90.png"/><Relationship Id="rId101" Type="http://schemas.openxmlformats.org/officeDocument/2006/relationships/image" Target="media/image91.png"/><Relationship Id="rId102" Type="http://schemas.openxmlformats.org/officeDocument/2006/relationships/image" Target="media/image92.png"/><Relationship Id="rId103" Type="http://schemas.openxmlformats.org/officeDocument/2006/relationships/image" Target="media/image93.png"/><Relationship Id="rId104" Type="http://schemas.openxmlformats.org/officeDocument/2006/relationships/image" Target="media/image94.png"/><Relationship Id="rId105" Type="http://schemas.openxmlformats.org/officeDocument/2006/relationships/image" Target="media/image95.png"/><Relationship Id="rId95" Type="http://schemas.openxmlformats.org/officeDocument/2006/relationships/hyperlink" Target="https://www.sec.gov/Archives/edgar/data/1826457/000119312521202038/d179298dex31.htm" TargetMode="External"/><Relationship Id="rId96" Type="http://schemas.openxmlformats.org/officeDocument/2006/relationships/hyperlink" Target="https://www.sec.gov/Archives/edgar/data/1826457/000095017023027939/glue-ex3_1.htm" TargetMode="External"/><Relationship Id="rId97" Type="http://schemas.openxmlformats.org/officeDocument/2006/relationships/hyperlink" Target="https://www.sec.gov/Archives/edgar/data/1826457/000095017024056288/glue-ex3_3.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2026-05-07T06:35:09Z</dcterms:created>
  <dcterms:modified xsi:type="dcterms:W3CDTF">2026-05-07T06:35:09Z</dcterms:modified>
</cp:coreProperties>
</file>