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rFonts w:ascii="Arial" w:hAnsi="Arial"/>
          <w:b/>
          <w:color w:val="000000"/>
          <w:sz w:val="36"/>
        </w:rPr>
      </w:pPr>
      <w:bookmarkStart w:id="0" w:name="glue-20260630.htm"/>
      <w:bookmarkStart w:id="1" w:name="ksglue20260630"/>
      <w:bookmarkEnd w:id="0"/>
      <w:bookmarkEnd w:id="1"/>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spacing w:before="60" w:after="283"/>
        <w:jc w:val="center"/>
        <w:rPr/>
      </w:pPr>
      <w:r>
        <w:rPr/>
        <w:t> </w:t>
      </w:r>
    </w:p>
    <w:p>
      <w:pPr>
        <w:pStyle w:val="TextBody"/>
        <w:bidi w:val="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120" w:after="283"/>
        <w:jc w:val="center"/>
        <w:rPr>
          <w:rFonts w:ascii="Arial" w:hAnsi="Arial"/>
          <w:b/>
          <w:color w:val="000000"/>
          <w:sz w:val="20"/>
        </w:rPr>
      </w:pPr>
      <w:r>
        <w:rPr>
          <w:rFonts w:ascii="Arial" w:hAnsi="Arial"/>
          <w:b/>
          <w:color w:val="000000"/>
          <w:sz w:val="20"/>
        </w:rPr>
        <w:t>For the quarterly period ended June 30, 2026</w:t>
      </w:r>
    </w:p>
    <w:p>
      <w:pPr>
        <w:pStyle w:val="TextBody"/>
        <w:bidi w:val="0"/>
        <w:spacing w:before="12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120" w:after="283"/>
        <w:jc w:val="center"/>
        <w:rPr>
          <w:rFonts w:ascii="Arial" w:hAnsi="Arial"/>
          <w:b/>
          <w:color w:val="000000"/>
          <w:sz w:val="20"/>
        </w:rPr>
      </w:pPr>
      <w:r>
        <w:rPr>
          <w:rFonts w:ascii="Arial" w:hAnsi="Arial"/>
          <w:b/>
          <w:color w:val="000000"/>
          <w:sz w:val="20"/>
        </w:rPr>
        <w:t>For the transition period from ____________ to ____________</w:t>
      </w:r>
    </w:p>
    <w:p>
      <w:pPr>
        <w:pStyle w:val="TextBody"/>
        <w:bidi w:val="0"/>
        <w:spacing w:before="120" w:after="283"/>
        <w:jc w:val="center"/>
        <w:rPr>
          <w:rFonts w:ascii="Arial" w:hAnsi="Arial"/>
          <w:b/>
          <w:color w:val="000000"/>
          <w:sz w:val="20"/>
        </w:rPr>
      </w:pPr>
      <w:r>
        <w:rPr>
          <w:rFonts w:ascii="Arial" w:hAnsi="Arial"/>
          <w:b/>
          <w:color w:val="000000"/>
          <w:sz w:val="20"/>
        </w:rPr>
        <w:t>Commission File Number: 001-40522</w:t>
      </w:r>
    </w:p>
    <w:p>
      <w:pPr>
        <w:pStyle w:val="TextBody"/>
        <w:pBdr>
          <w:bottom w:val="single" w:sz="4" w:space="1" w:color="000000"/>
        </w:pBdr>
        <w:bidi w:val="0"/>
        <w:spacing w:before="60" w:after="60"/>
        <w:jc w:val="center"/>
        <w:rPr/>
      </w:pPr>
      <w:r>
        <w:rPr/>
        <w:t> </w:t>
      </w:r>
    </w:p>
    <w:p>
      <w:pPr>
        <w:pStyle w:val="TextBody"/>
        <w:bidi w:val="0"/>
        <w:jc w:val="center"/>
        <w:rPr>
          <w:rFonts w:ascii="Arial" w:hAnsi="Arial"/>
          <w:b/>
          <w:color w:val="000000"/>
          <w:sz w:val="48"/>
        </w:rPr>
      </w:pPr>
      <w:r>
        <w:rPr>
          <w:rFonts w:ascii="Arial" w:hAnsi="Arial"/>
          <w:b/>
          <w:color w:val="000000"/>
          <w:sz w:val="48"/>
        </w:rPr>
        <w:t>Monte Rosa Therapeutics,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307" w:type="dxa"/>
        <w:jc w:val="left"/>
        <w:tblInd w:w="0" w:type="dxa"/>
        <w:tblLayout w:type="fixed"/>
        <w:tblCellMar>
          <w:top w:w="28" w:type="dxa"/>
          <w:left w:w="28" w:type="dxa"/>
          <w:bottom w:w="28" w:type="dxa"/>
          <w:right w:w="28" w:type="dxa"/>
        </w:tblCellMar>
      </w:tblPr>
      <w:tblGrid>
        <w:gridCol w:w="3016"/>
        <w:gridCol w:w="1291"/>
      </w:tblGrid>
      <w:tr>
        <w:trPr/>
        <w:tc>
          <w:tcPr>
            <w:tcW w:w="301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84-3766197</w:t>
            </w:r>
          </w:p>
        </w:tc>
      </w:tr>
      <w:tr>
        <w:trPr/>
        <w:tc>
          <w:tcPr>
            <w:tcW w:w="301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15"/>
              <w:jc w:val="center"/>
              <w:rPr>
                <w:rFonts w:ascii="Arial" w:hAnsi="Arial"/>
                <w:b/>
                <w:color w:val="000000"/>
                <w:sz w:val="20"/>
              </w:rPr>
            </w:pPr>
            <w:r>
              <w:rPr>
                <w:rFonts w:ascii="Arial" w:hAnsi="Arial"/>
                <w:b/>
                <w:color w:val="000000"/>
                <w:sz w:val="20"/>
              </w:rPr>
              <w:t>321 Harrison Avenue, Suite 900</w:t>
            </w:r>
          </w:p>
          <w:p>
            <w:pPr>
              <w:pStyle w:val="TableContents"/>
              <w:bidi w:val="0"/>
              <w:spacing w:before="0" w:after="15"/>
              <w:jc w:val="center"/>
              <w:rPr>
                <w:rFonts w:ascii="Arial" w:hAnsi="Arial"/>
                <w:b/>
                <w:color w:val="000000"/>
                <w:sz w:val="20"/>
              </w:rPr>
            </w:pPr>
            <w:r>
              <w:rPr>
                <w:rFonts w:ascii="Arial" w:hAnsi="Arial"/>
                <w:b/>
                <w:color w:val="000000"/>
                <w:sz w:val="20"/>
              </w:rPr>
              <w:t>Boston, Massachusetts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02118</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80" w:after="283"/>
        <w:jc w:val="center"/>
        <w:rPr>
          <w:rFonts w:ascii="Arial" w:hAnsi="Arial"/>
          <w:b/>
          <w:color w:val="000000"/>
          <w:sz w:val="20"/>
        </w:rPr>
      </w:pPr>
      <w:r>
        <w:rPr>
          <w:rFonts w:ascii="Arial" w:hAnsi="Arial"/>
          <w:b/>
          <w:color w:val="000000"/>
          <w:sz w:val="20"/>
        </w:rPr>
        <w:t>Registrant’s telephone number, including area code: (617) 949-2643</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605" w:type="dxa"/>
        <w:jc w:val="left"/>
        <w:tblInd w:w="0" w:type="dxa"/>
        <w:tblLayout w:type="fixed"/>
        <w:tblCellMar>
          <w:top w:w="28" w:type="dxa"/>
          <w:left w:w="28" w:type="dxa"/>
          <w:bottom w:w="28" w:type="dxa"/>
          <w:right w:w="28" w:type="dxa"/>
        </w:tblCellMar>
      </w:tblPr>
      <w:tblGrid>
        <w:gridCol w:w="3736"/>
        <w:gridCol w:w="146"/>
        <w:gridCol w:w="916"/>
        <w:gridCol w:w="146"/>
        <w:gridCol w:w="366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GLUE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Select Market</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As of July 31, 2026, the registrant had</w:t>
      </w:r>
      <w:r>
        <w:rPr>
          <w:rFonts w:ascii="Times New Roman" w:hAnsi="Times New Roman"/>
          <w:color w:val="000000"/>
          <w:sz w:val="20"/>
        </w:rPr>
        <w:t xml:space="preserve"> </w:t>
      </w:r>
      <w:r>
        <w:rPr>
          <w:rFonts w:ascii="Arial" w:hAnsi="Arial"/>
          <w:color w:val="000000"/>
          <w:sz w:val="18"/>
        </w:rPr>
        <w:t>85,313,401</w:t>
      </w:r>
      <w:r>
        <w:rPr>
          <w:rFonts w:ascii="Times New Roman" w:hAnsi="Times New Roman"/>
          <w:color w:val="000000"/>
          <w:sz w:val="20"/>
        </w:rPr>
        <w:t xml:space="preserve"> </w:t>
      </w:r>
      <w:r>
        <w:rPr>
          <w:rFonts w:ascii="Arial" w:hAnsi="Arial"/>
          <w:color w:val="000000"/>
          <w:sz w:val="18"/>
        </w:rPr>
        <w:t>shares of common stock, $0.0001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left"/>
        <w:rPr>
          <w:rFonts w:ascii="Arial" w:hAnsi="Arial"/>
          <w:b/>
          <w:color w:val="000000"/>
          <w:sz w:val="24"/>
        </w:rPr>
      </w:pPr>
      <w:r>
        <w:rPr>
          <w:rFonts w:ascii="Arial" w:hAnsi="Arial"/>
          <w:b/>
          <w:color w:val="000000"/>
          <w:sz w:val="24"/>
        </w:rPr>
        <w:t>Special note regarding forward-looking statements</w:t>
      </w:r>
    </w:p>
    <w:p>
      <w:pPr>
        <w:pStyle w:val="TextBody"/>
        <w:bidi w:val="0"/>
        <w:spacing w:before="0" w:after="120"/>
        <w:jc w:val="left"/>
        <w:rPr>
          <w:rFonts w:ascii="Arial" w:hAnsi="Arial"/>
          <w:color w:val="000000"/>
          <w:sz w:val="20"/>
        </w:rPr>
      </w:pPr>
      <w:r>
        <w:rPr>
          <w:rFonts w:ascii="Arial" w:hAnsi="Arial"/>
          <w:color w:val="000000"/>
          <w:sz w:val="20"/>
        </w:rPr>
        <w:t>This Quarterly Report on Form 10-Q, or Quarterly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initiation, timing, progress, results, costs, and any expectations and/or predictions of success of our current and future research and development programs and preclinical studies, including our expectations for our molecular glue degraders, or MGDs, molecules, including our GSPT1-directed MGD MRT-2359, our out-licensed VAV1-directed MGD MRT-6160, our NEK7-directed MGDs, including MRT-8102, and our CDK2 and CCNE1 MGDs;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initiation, timing, progress, results, costs, and any expectations and/or predictions of success of our current and any future clinical trials, including our clinical trials for our GSPT1-directed MGD MRT-2359, our NEK7 directed MGD MRT-8102, and for our out-licensed VAV1 directed MGD MRT-6160, including statements regarding the nature of or the timing for when any results of any clinical trials will become available;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our ability to continue to develop our proprietary discovery engine, called QuEEN</w:t>
      </w:r>
      <w:r>
        <w:rPr>
          <w:rFonts w:ascii="Arial" w:hAnsi="Arial"/>
          <w:color w:val="000000"/>
          <w:sz w:val="13"/>
        </w:rPr>
        <w:t>TM</w:t>
      </w:r>
      <w:r>
        <w:rPr>
          <w:rFonts w:ascii="Arial" w:hAnsi="Arial"/>
          <w:color w:val="000000"/>
          <w:sz w:val="20"/>
        </w:rPr>
        <w:t>, and to expand our proteomics and translational medicine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advantages of our discovery engine technology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our scientific approach and discovery engine technology may target proteins that have been considered undruggable or inadequately drugged;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plans to submit Investigational New Drug, or IND applications to the U.S. Food and Drug Administration, or the FDA for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benefits of strategic collaborations and our ability to enter into strategic collaborations with third parties who have the expertise to enable us to further develop our biological targets, product candidates and discovery engine technologies, including our agreements with Novartis AG, or Novartis, for MRT-6160 and other discovery programs and our agreement with F. Hoffmann-La Roche Ltd., or Roche Basel, and Hoffmann-La Roche Inc., or Roche US, and together with Roche Basel referred herein as Roche;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obtain and maintain regulatory approval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maintain and expand, including through third-party vendors, our library of MGDs;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manufacture, including through third-party manufacturers, our product candidates for preclinical use, future clinical trials and commercial use,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commercialize our product candidates, including our ability to establish sales, marketing and distribution capabilities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rate and degree of market acceptance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size and growth potential of the markets for our product candidates,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establish and maintain intellectual property rights covering our current and future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implementation of our business model and strategic plans for our business,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estimates of our future expenses, revenues, capital requirements, and our needs for additional capital;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expected use of proceeds from sales of our common stock in "at-the-market" offerings and other offerings, and the period over which such proceeds, together with existing cash, will be sufficient to meet our operating needs;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obtain funding for our operations necessary to complete further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financial performance; </w:t>
      </w:r>
    </w:p>
    <w:p>
      <w:pPr>
        <w:pStyle w:val="TextBody"/>
        <w:bidi w:val="0"/>
        <w:spacing w:before="24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developments in laws and regulations in the United States, or the U.S.,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attract and retain key scientific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 of global economic uncertainty and financial market volatility caused by economic effects of rising inflation and interest rates, global health crises, geopolitical events, elections, changes in international trade relationships and military conflicts on any of the foregoing or other aspects of our business or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 of any geopolitical conflicts or new or increased international tariffs, including mitigation efforts and economic effects, on any of the foregoing or other aspects of our business operations, including but not limited to our preclinical studies, ongoing clinical trials and future clinical trials; and</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0"/>
        </w:rPr>
      </w:pPr>
      <w:r>
        <w:rPr>
          <w:rFonts w:ascii="Arial" w:hAnsi="Arial"/>
          <w:color w:val="000000"/>
          <w:sz w:val="20"/>
        </w:rPr>
        <w:t>other risks and uncertainties, including those listed under the section entitled “Risk factors" and those included in "Part 1, Item 1A, Risk Factors" in our Annual Report on Form 10-K for the year ended December 31, 2025, or our 2025 Annual Report, filed with the Securities and Exchange Commission, or the SEC, on March 17, 2026.</w:t>
      </w:r>
    </w:p>
    <w:p>
      <w:pPr>
        <w:pStyle w:val="TextBody"/>
        <w:bidi w:val="0"/>
        <w:spacing w:before="0" w:after="120"/>
        <w:jc w:val="left"/>
        <w:rPr>
          <w:rFonts w:ascii="Arial" w:hAnsi="Arial"/>
          <w:color w:val="000000"/>
          <w:sz w:val="20"/>
        </w:rPr>
      </w:pPr>
      <w:r>
        <w:rPr>
          <w:rFonts w:ascii="Arial" w:hAnsi="Arial"/>
          <w:color w:val="000000"/>
          <w:sz w:val="20"/>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w:t>
      </w:r>
    </w:p>
    <w:p>
      <w:pPr>
        <w:pStyle w:val="TextBody"/>
        <w:bidi w:val="0"/>
        <w:spacing w:before="0" w:after="120"/>
        <w:jc w:val="left"/>
        <w:rPr>
          <w:rFonts w:ascii="Arial" w:hAnsi="Arial"/>
          <w:color w:val="000000"/>
          <w:sz w:val="20"/>
        </w:rPr>
      </w:pPr>
      <w:r>
        <w:rPr>
          <w:rFonts w:ascii="Arial" w:hAnsi="Arial"/>
          <w:color w:val="000000"/>
          <w:sz w:val="20"/>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pStyle w:val="TextBody"/>
        <w:bidi w:val="0"/>
        <w:spacing w:before="0" w:after="120"/>
        <w:jc w:val="left"/>
        <w:rPr>
          <w:rFonts w:ascii="Arial" w:hAnsi="Arial"/>
          <w:color w:val="000000"/>
          <w:sz w:val="20"/>
        </w:rPr>
      </w:pPr>
      <w:r>
        <w:rPr>
          <w:rFonts w:ascii="Arial" w:hAnsi="Arial"/>
          <w:color w:val="000000"/>
          <w:sz w:val="20"/>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pStyle w:val="TextBody"/>
        <w:bidi w:val="0"/>
        <w:spacing w:before="0" w:after="120"/>
        <w:jc w:val="center"/>
        <w:rPr>
          <w:rFonts w:ascii="Arial" w:hAnsi="Arial"/>
          <w:b/>
          <w:color w:val="000000"/>
          <w:sz w:val="20"/>
        </w:rPr>
      </w:pPr>
      <w:r>
        <w:rPr>
          <w:rFonts w:ascii="Arial" w:hAnsi="Arial"/>
          <w:b/>
          <w:color w:val="000000"/>
          <w:sz w:val="20"/>
        </w:rPr>
        <w:t>TRADEMARKS</w:t>
      </w:r>
    </w:p>
    <w:p>
      <w:pPr>
        <w:pStyle w:val="TextBody"/>
        <w:bidi w:val="0"/>
        <w:spacing w:before="0" w:after="120"/>
        <w:jc w:val="left"/>
        <w:rPr>
          <w:rFonts w:ascii="Arial" w:hAnsi="Arial"/>
          <w:color w:val="000000"/>
          <w:sz w:val="20"/>
        </w:rPr>
      </w:pPr>
      <w:r>
        <w:rPr>
          <w:rFonts w:ascii="Arial" w:hAnsi="Arial"/>
          <w:color w:val="000000"/>
          <w:sz w:val="20"/>
        </w:rPr>
        <w:t>Solely for convenience, our trademarks and trade names in this report are sometimes referred to without the ® and  symbols, but such references should not be construed as any indicator that we will not assert, to the fullest extent under applicable law, our rights thereto.</w:t>
      </w:r>
    </w:p>
    <w:p>
      <w:pPr>
        <w:pStyle w:val="TextBody"/>
        <w:bidi w:val="0"/>
        <w:spacing w:before="240" w:after="283"/>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4"/>
        </w:rPr>
      </w:pPr>
      <w:r>
        <w:rPr>
          <w:rFonts w:ascii="Arial" w:hAnsi="Arial"/>
          <w:b/>
          <w:color w:val="000000"/>
          <w:sz w:val="24"/>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7"/>
        <w:gridCol w:w="8574"/>
        <w:gridCol w:w="754"/>
      </w:tblGrid>
      <w:tr>
        <w:trPr/>
        <w:tc>
          <w:tcPr>
            <w:tcW w:w="877" w:type="dxa"/>
            <w:tcBorders/>
            <w:vAlign w:val="center"/>
          </w:tcPr>
          <w:p>
            <w:pPr>
              <w:pStyle w:val="TableContents"/>
              <w:bidi w:val="0"/>
              <w:spacing w:before="0" w:after="283"/>
              <w:jc w:val="left"/>
              <w:rPr>
                <w:sz w:val="4"/>
                <w:szCs w:val="4"/>
              </w:rPr>
            </w:pPr>
            <w:r>
              <w:rPr>
                <w:sz w:val="4"/>
                <w:szCs w:val="4"/>
              </w:rPr>
            </w:r>
          </w:p>
        </w:tc>
        <w:tc>
          <w:tcPr>
            <w:tcW w:w="857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57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54"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Arial" w:hAnsi="Arial"/>
                <w:b/>
                <w:color w:val="000000"/>
                <w:sz w:val="20"/>
              </w:rPr>
            </w:pPr>
            <w:r>
              <w:rPr>
                <w:rFonts w:ascii="Arial" w:hAnsi="Arial"/>
                <w:b/>
                <w:color w:val="000000"/>
                <w:sz w:val="20"/>
              </w:rPr>
              <w:t>Page</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
              <w:r>
                <w:rPr>
                  <w:rStyle w:val="InternetLink"/>
                  <w:rFonts w:ascii="Arial" w:hAnsi="Arial"/>
                  <w:color w:val="0000FF"/>
                  <w:sz w:val="20"/>
                  <w:u w:val="single"/>
                </w:rPr>
                <w:t>FINANCIAL INFORMATION</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rial" w:hAnsi="Arial"/>
                  <w:color w:val="0000FF"/>
                  <w:sz w:val="20"/>
                  <w:u w:val="single"/>
                </w:rPr>
                <w:t>Condensed Consolidated Balance Sheets (Unaudited)</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s_loss">
              <w:r>
                <w:rPr>
                  <w:rStyle w:val="InternetLink"/>
                  <w:rFonts w:ascii="Arial" w:hAnsi="Arial"/>
                  <w:color w:val="0000FF"/>
                  <w:sz w:val="20"/>
                  <w:u w:val="single"/>
                </w:rPr>
                <w:t>Condensed Consolidated Statements of Operations and Comprehensive (Loss) Income (Unaudited)</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FF"/>
                <w:sz w:val="20"/>
                <w:u w:val="single"/>
              </w:rPr>
            </w:pPr>
            <w:r>
              <w:rPr>
                <w:rFonts w:ascii="Arial" w:hAnsi="Arial"/>
                <w:color w:val="0000FF"/>
                <w:sz w:val="20"/>
                <w:u w:val="single"/>
              </w:rPr>
              <w:t>Condensed Consolidated Statements of Stockholders’ Equity (Unaudited)</w:t>
            </w:r>
          </w:p>
        </w:tc>
        <w:tc>
          <w:tcPr>
            <w:tcW w:w="7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Arial" w:hAnsi="Arial"/>
                  <w:color w:val="0000FF"/>
                  <w:sz w:val="20"/>
                  <w:u w:val="single"/>
                </w:rPr>
                <w:t>Condensed Consolidated Statements of Cash Flows (Unaudited)</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solidated_financial_stmts">
              <w:r>
                <w:rPr>
                  <w:rStyle w:val="InternetLink"/>
                  <w:rFonts w:ascii="Arial" w:hAnsi="Arial"/>
                  <w:color w:val="0000FF"/>
                  <w:sz w:val="20"/>
                  <w:u w:val="single"/>
                </w:rPr>
                <w:t>Notes to the Condensed Consolidated Financial Statements (Unaudited)</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Arial" w:hAnsi="Arial"/>
                  <w:color w:val="0000FF"/>
                  <w:sz w:val="20"/>
                  <w:u w:val="single"/>
                </w:rPr>
                <w:t>Management’s Discussion and Analysis of Financial Condition and Results of Operations</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Arial" w:hAnsi="Arial"/>
                  <w:color w:val="0000FF"/>
                  <w:sz w:val="20"/>
                  <w:u w:val="single"/>
                </w:rPr>
                <w:t>Quantitative and Qualitative Disclosures About Market Risk</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w:hAnsi="Arial"/>
                  <w:color w:val="0000FF"/>
                  <w:sz w:val="20"/>
                  <w:u w:val="single"/>
                </w:rPr>
                <w:t>Controls and Procedures</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Arial" w:hAnsi="Arial"/>
                  <w:color w:val="0000FF"/>
                  <w:sz w:val="20"/>
                  <w:u w:val="single"/>
                </w:rPr>
                <w:t>OTHER INFORMATION</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Use of Proceeds and Issuer Purchases of Equity Securities</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Other Information</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r>
      <w:tr>
        <w:trPr/>
        <w:tc>
          <w:tcPr>
            <w:tcW w:w="94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br/>
        <w:br/>
      </w:r>
      <w:r>
        <w:rPr>
          <w:rFonts w:ascii="Times New Roman" w:hAnsi="Times New Roman"/>
          <w:color w:val="000000"/>
          <w:sz w:val="20"/>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36"/>
        </w:rPr>
      </w:pPr>
      <w:bookmarkStart w:id="2" w:name="part_i_financial_info"/>
      <w:bookmarkEnd w:id="2"/>
      <w:r>
        <w:rPr>
          <w:rFonts w:ascii="Arial" w:hAnsi="Arial"/>
          <w:b/>
          <w:color w:val="000000"/>
          <w:sz w:val="36"/>
        </w:rPr>
        <w:t>Part I ─ Financial Information</w:t>
      </w:r>
    </w:p>
    <w:p>
      <w:pPr>
        <w:pStyle w:val="TextBody"/>
        <w:bidi w:val="0"/>
        <w:spacing w:before="240" w:after="283"/>
        <w:jc w:val="left"/>
        <w:rPr>
          <w:rFonts w:ascii="Arial" w:hAnsi="Arial"/>
          <w:b/>
          <w:color w:val="000000"/>
          <w:sz w:val="36"/>
        </w:rPr>
      </w:pPr>
      <w:bookmarkStart w:id="3" w:name="item_1_financial_statements"/>
      <w:bookmarkEnd w:id="3"/>
      <w:r>
        <w:rPr>
          <w:rFonts w:ascii="Arial" w:hAnsi="Arial"/>
          <w:b/>
          <w:color w:val="000000"/>
          <w:sz w:val="36"/>
        </w:rPr>
        <w:t>Item 1. Financial Statements</w:t>
      </w:r>
    </w:p>
    <w:p>
      <w:pPr>
        <w:pStyle w:val="TextBody"/>
        <w:bidi w:val="0"/>
        <w:spacing w:before="240" w:after="283"/>
        <w:jc w:val="left"/>
        <w:rPr>
          <w:rFonts w:ascii="Arial" w:hAnsi="Arial"/>
          <w:b/>
          <w:color w:val="000000"/>
          <w:sz w:val="36"/>
        </w:rPr>
      </w:pPr>
      <w:r>
        <w:rPr>
          <w:rFonts w:ascii="Arial" w:hAnsi="Arial"/>
          <w:b/>
          <w:color w:val="000000"/>
          <w:sz w:val="36"/>
        </w:rPr>
        <w:t>Monte Rosa Therapeutics, Inc.</w:t>
      </w:r>
    </w:p>
    <w:p>
      <w:pPr>
        <w:pStyle w:val="TextBody"/>
        <w:bidi w:val="0"/>
        <w:jc w:val="left"/>
        <w:rPr>
          <w:rFonts w:ascii="Times New Roman" w:hAnsi="Times New Roman"/>
          <w:sz w:val="20"/>
        </w:rPr>
      </w:pPr>
      <w:bookmarkStart w:id="4" w:name="consolidated_balance_sheets"/>
      <w:bookmarkEnd w:id="4"/>
      <w:r>
        <w:rPr>
          <w:rFonts w:ascii="Arial" w:hAnsi="Arial"/>
          <w:b/>
          <w:color w:val="000000"/>
          <w:sz w:val="36"/>
        </w:rPr>
        <w:t>Condensed consolidated balance sheets (unaudited)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8"/>
        <w:gridCol w:w="146"/>
        <w:gridCol w:w="211"/>
        <w:gridCol w:w="931"/>
        <w:gridCol w:w="166"/>
        <w:gridCol w:w="146"/>
        <w:gridCol w:w="229"/>
        <w:gridCol w:w="916"/>
        <w:gridCol w:w="592"/>
      </w:tblGrid>
      <w:tr>
        <w:trPr/>
        <w:tc>
          <w:tcPr>
            <w:tcW w:w="6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8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4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129,883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247,221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Collaboration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7,000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4,600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631,406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393,185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25,986</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24,386</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4,954</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448,659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26,694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Current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29,571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64,212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111,332</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Defined benefit plan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liability,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215,603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Preferred stock, $0.0001</w:t>
            </w:r>
            <w:r>
              <w:rPr>
                <w:rFonts w:ascii="Times New Roman" w:hAnsi="Times New Roman"/>
                <w:color w:val="000000"/>
                <w:sz w:val="20"/>
              </w:rPr>
              <w:t> </w:t>
            </w:r>
            <w:r>
              <w:rPr>
                <w:rFonts w:ascii="Arial" w:hAnsi="Arial"/>
                <w:color w:val="000000"/>
                <w:sz w:val="18"/>
              </w:rPr>
              <w:t>par value, 10,000,000</w:t>
            </w:r>
            <w:r>
              <w:rPr>
                <w:rFonts w:ascii="Times New Roman" w:hAnsi="Times New Roman"/>
                <w:color w:val="000000"/>
                <w:sz w:val="20"/>
              </w:rPr>
              <w:t> </w:t>
            </w:r>
            <w:r>
              <w:rPr>
                <w:rFonts w:ascii="Arial" w:hAnsi="Arial"/>
                <w:color w:val="000000"/>
                <w:sz w:val="18"/>
              </w:rPr>
              <w:t>shares authorized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Common stock, $0.0001</w:t>
            </w:r>
            <w:r>
              <w:rPr>
                <w:rFonts w:ascii="Times New Roman" w:hAnsi="Times New Roman"/>
                <w:color w:val="000000"/>
                <w:sz w:val="20"/>
              </w:rPr>
              <w:t> </w:t>
            </w:r>
            <w:r>
              <w:rPr>
                <w:rFonts w:ascii="Arial" w:hAnsi="Arial"/>
                <w:color w:val="000000"/>
                <w:sz w:val="18"/>
              </w:rPr>
              <w:t>par value; 500,000,000</w:t>
            </w:r>
            <w:r>
              <w:rPr>
                <w:rFonts w:ascii="Times New Roman" w:hAnsi="Times New Roman"/>
                <w:color w:val="000000"/>
                <w:sz w:val="20"/>
              </w:rPr>
              <w:t> </w:t>
            </w:r>
            <w:r>
              <w:rPr>
                <w:rFonts w:ascii="Arial" w:hAnsi="Arial"/>
                <w:color w:val="000000"/>
                <w:sz w:val="18"/>
              </w:rPr>
              <w:t>shares authorized, 85,226,427</w:t>
            </w:r>
            <w:r>
              <w:rPr>
                <w:rFonts w:ascii="Times New Roman" w:hAnsi="Times New Roman"/>
                <w:color w:val="000000"/>
                <w:sz w:val="20"/>
              </w:rPr>
              <w:t> </w:t>
            </w:r>
            <w:r>
              <w:rPr>
                <w:rFonts w:ascii="Arial" w:hAnsi="Arial"/>
                <w:color w:val="000000"/>
                <w:sz w:val="18"/>
              </w:rPr>
              <w:t>and 65,543,723</w:t>
            </w:r>
            <w:r>
              <w:rPr>
                <w:rFonts w:ascii="Times New Roman" w:hAnsi="Times New Roman"/>
                <w:color w:val="000000"/>
                <w:sz w:val="20"/>
              </w:rPr>
              <w:t> </w:t>
            </w:r>
            <w:r>
              <w:rPr>
                <w:rFonts w:ascii="Arial" w:hAnsi="Arial"/>
                <w:color w:val="000000"/>
                <w:sz w:val="18"/>
              </w:rPr>
              <w:t>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714,090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(565,114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(477,214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233,056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448,659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6"/>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b/>
          <w:color w:val="000000"/>
          <w:sz w:val="36"/>
        </w:rPr>
        <w:t>Monte Rosa Therapeutics, Inc.</w:t>
      </w:r>
      <w:r>
        <w:rPr>
          <w:rFonts w:ascii="Times New Roman" w:hAnsi="Times New Roman"/>
          <w:color w:val="000000"/>
          <w:sz w:val="20"/>
        </w:rPr>
        <w:t xml:space="preserve"> </w:t>
      </w:r>
    </w:p>
    <w:p>
      <w:pPr>
        <w:pStyle w:val="TextBody"/>
        <w:bidi w:val="0"/>
        <w:jc w:val="left"/>
        <w:rPr>
          <w:rFonts w:ascii="Arial" w:hAnsi="Arial"/>
          <w:b/>
          <w:color w:val="000000"/>
          <w:sz w:val="36"/>
        </w:rPr>
      </w:pPr>
      <w:bookmarkStart w:id="5" w:name="consolidated_statements_ops_loss"/>
      <w:bookmarkEnd w:id="5"/>
      <w:r>
        <w:rPr>
          <w:rFonts w:ascii="Arial" w:hAnsi="Arial"/>
          <w:b/>
          <w:color w:val="000000"/>
          <w:sz w:val="36"/>
        </w:rPr>
        <w:t>Condensed consolidated statements of operations and comprehensive (loss) income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34"/>
        <w:gridCol w:w="146"/>
        <w:gridCol w:w="211"/>
        <w:gridCol w:w="1141"/>
        <w:gridCol w:w="166"/>
        <w:gridCol w:w="146"/>
        <w:gridCol w:w="211"/>
        <w:gridCol w:w="1036"/>
        <w:gridCol w:w="166"/>
        <w:gridCol w:w="146"/>
        <w:gridCol w:w="211"/>
        <w:gridCol w:w="1141"/>
        <w:gridCol w:w="166"/>
        <w:gridCol w:w="146"/>
        <w:gridCol w:w="211"/>
        <w:gridCol w:w="1036"/>
        <w:gridCol w:w="591"/>
      </w:tblGrid>
      <w:tr>
        <w:trPr/>
        <w:tc>
          <w:tcPr>
            <w:tcW w:w="3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3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91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91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108,123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79,641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28,482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currency exchange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Provision for pension benefit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number of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101,478,945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82,186,768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100,685,824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82,167,849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Diluted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101,478,945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82,186,768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100,685,824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82,890,063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6"/>
        </w:rPr>
        <w:t>See accompanying notes to the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b/>
          <w:color w:val="000000"/>
          <w:sz w:val="36"/>
        </w:rPr>
        <w:t>Monte Rosa Therapeutics, Inc.</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6" w:name="consolidated_statements_equity"/>
      <w:bookmarkEnd w:id="6"/>
      <w:r>
        <w:rPr>
          <w:rFonts w:ascii="Arial" w:hAnsi="Arial"/>
          <w:b/>
          <w:color w:val="000000"/>
          <w:sz w:val="36"/>
        </w:rPr>
        <w:t>Condensed consolidated statements of stockholders’ equity (unaudited)</w:t>
      </w:r>
      <w:r>
        <w:rPr>
          <w:rFonts w:ascii="Times New Roman" w:hAnsi="Times New Roman"/>
          <w:color w:val="000000"/>
          <w:sz w:val="20"/>
        </w:rPr>
        <w:t xml:space="preserve"> </w:t>
      </w:r>
    </w:p>
    <w:p>
      <w:pPr>
        <w:pStyle w:val="TextBody"/>
        <w:bidi w:val="0"/>
        <w:spacing w:before="0" w:after="120"/>
        <w:jc w:val="left"/>
        <w:rPr/>
      </w:pPr>
      <w:r>
        <w:rPr/>
        <w:t> </w:t>
      </w:r>
    </w:p>
    <w:tbl>
      <w:tblPr>
        <w:tblW w:w="10506" w:type="dxa"/>
        <w:jc w:val="left"/>
        <w:tblInd w:w="0" w:type="dxa"/>
        <w:tblLayout w:type="fixed"/>
        <w:tblCellMar>
          <w:top w:w="28" w:type="dxa"/>
          <w:left w:w="28" w:type="dxa"/>
          <w:bottom w:w="28" w:type="dxa"/>
          <w:right w:w="28" w:type="dxa"/>
        </w:tblCellMar>
      </w:tblPr>
      <w:tblGrid>
        <w:gridCol w:w="1546"/>
        <w:gridCol w:w="146"/>
        <w:gridCol w:w="146"/>
        <w:gridCol w:w="1036"/>
        <w:gridCol w:w="146"/>
        <w:gridCol w:w="146"/>
        <w:gridCol w:w="295"/>
        <w:gridCol w:w="486"/>
        <w:gridCol w:w="146"/>
        <w:gridCol w:w="146"/>
        <w:gridCol w:w="211"/>
        <w:gridCol w:w="931"/>
        <w:gridCol w:w="166"/>
        <w:gridCol w:w="146"/>
        <w:gridCol w:w="361"/>
        <w:gridCol w:w="1080"/>
        <w:gridCol w:w="166"/>
        <w:gridCol w:w="146"/>
        <w:gridCol w:w="249"/>
        <w:gridCol w:w="997"/>
        <w:gridCol w:w="166"/>
        <w:gridCol w:w="146"/>
        <w:gridCol w:w="274"/>
        <w:gridCol w:w="1017"/>
        <w:gridCol w:w="21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thousands, except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br/>
              <w:t>other</w:t>
              <w:br/>
              <w:t xml:space="preserve">comprehensive </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65,543,723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714,090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233,056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common stock and pre-funded warrants pursuant to underwritten public offering, net of issuance cost of $21,187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323,811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5,016,628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common stock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574,839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pension benefit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84,321,705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1,048,371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521,916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common stock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pension benefit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shares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85,226,427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(565,114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487,281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i/>
          <w:color w:val="000000"/>
          <w:sz w:val="16"/>
        </w:rPr>
      </w:pPr>
      <w:r>
        <w:rPr>
          <w:rFonts w:ascii="Arial" w:hAnsi="Arial"/>
          <w:i/>
          <w:color w:val="000000"/>
          <w:sz w:val="16"/>
        </w:rPr>
        <w:t>See accompanying notes to the condensed consolidated financial statements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b/>
          <w:color w:val="000000"/>
          <w:sz w:val="34"/>
        </w:rPr>
        <w:t>Monte Rosa Therapeutics, Inc.</w:t>
      </w:r>
      <w:r>
        <w:rPr>
          <w:rFonts w:ascii="Times New Roman" w:hAnsi="Times New Roman"/>
          <w:color w:val="000000"/>
          <w:sz w:val="20"/>
        </w:rPr>
        <w:t xml:space="preserve"> </w:t>
      </w:r>
    </w:p>
    <w:p>
      <w:pPr>
        <w:pStyle w:val="TextBody"/>
        <w:bidi w:val="0"/>
        <w:spacing w:before="0" w:after="120"/>
        <w:jc w:val="left"/>
        <w:rPr>
          <w:rFonts w:ascii="Arial" w:hAnsi="Arial"/>
          <w:b/>
          <w:color w:val="000000"/>
          <w:sz w:val="34"/>
        </w:rPr>
      </w:pPr>
      <w:r>
        <w:rPr>
          <w:rFonts w:ascii="Arial" w:hAnsi="Arial"/>
          <w:b/>
          <w:color w:val="000000"/>
          <w:sz w:val="34"/>
        </w:rPr>
        <w:t>Condensed consolidated statements of stockholders’ equity (unaudited) - continued</w:t>
      </w:r>
    </w:p>
    <w:p>
      <w:pPr>
        <w:pStyle w:val="TextBody"/>
        <w:bidi w:val="0"/>
        <w:jc w:val="left"/>
        <w:rPr/>
      </w:pPr>
      <w:r>
        <w:rPr/>
        <w:t> </w:t>
      </w:r>
    </w:p>
    <w:tbl>
      <w:tblPr>
        <w:tblW w:w="10336" w:type="dxa"/>
        <w:jc w:val="left"/>
        <w:tblInd w:w="0" w:type="dxa"/>
        <w:tblLayout w:type="fixed"/>
        <w:tblCellMar>
          <w:top w:w="28" w:type="dxa"/>
          <w:left w:w="28" w:type="dxa"/>
          <w:bottom w:w="28" w:type="dxa"/>
          <w:right w:w="28" w:type="dxa"/>
        </w:tblCellMar>
      </w:tblPr>
      <w:tblGrid>
        <w:gridCol w:w="1546"/>
        <w:gridCol w:w="146"/>
        <w:gridCol w:w="146"/>
        <w:gridCol w:w="1036"/>
        <w:gridCol w:w="146"/>
        <w:gridCol w:w="146"/>
        <w:gridCol w:w="295"/>
        <w:gridCol w:w="486"/>
        <w:gridCol w:w="146"/>
        <w:gridCol w:w="146"/>
        <w:gridCol w:w="211"/>
        <w:gridCol w:w="781"/>
        <w:gridCol w:w="146"/>
        <w:gridCol w:w="146"/>
        <w:gridCol w:w="361"/>
        <w:gridCol w:w="1080"/>
        <w:gridCol w:w="166"/>
        <w:gridCol w:w="146"/>
        <w:gridCol w:w="249"/>
        <w:gridCol w:w="997"/>
        <w:gridCol w:w="166"/>
        <w:gridCol w:w="146"/>
        <w:gridCol w:w="274"/>
        <w:gridCol w:w="1017"/>
        <w:gridCol w:w="21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55"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4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4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9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thousands, except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br/>
              <w:t>other</w:t>
              <w:br/>
              <w:t xml:space="preserve">comprehensive </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61,507,446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664,874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222,936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pension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61,509,821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670,186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275,160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common stock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pension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shares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61,717,349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675,445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268,080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i/>
          <w:color w:val="000000"/>
          <w:sz w:val="16"/>
        </w:rPr>
      </w:pPr>
      <w:r>
        <w:rPr>
          <w:rFonts w:ascii="Arial" w:hAnsi="Arial"/>
          <w:i/>
          <w:color w:val="000000"/>
          <w:sz w:val="16"/>
        </w:rPr>
        <w:t>See accompanying notes to the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b/>
          <w:color w:val="000000"/>
          <w:sz w:val="36"/>
        </w:rPr>
        <w:t>Monte Rosa Therapeutics, Inc.</w:t>
      </w:r>
      <w:r>
        <w:rPr>
          <w:rFonts w:ascii="Times New Roman" w:hAnsi="Times New Roman"/>
          <w:color w:val="000000"/>
          <w:sz w:val="20"/>
        </w:rPr>
        <w:t xml:space="preserve"> </w:t>
      </w:r>
    </w:p>
    <w:p>
      <w:pPr>
        <w:pStyle w:val="TextBody"/>
        <w:bidi w:val="0"/>
        <w:jc w:val="left"/>
        <w:rPr>
          <w:rFonts w:ascii="Arial" w:hAnsi="Arial"/>
          <w:b/>
          <w:color w:val="000000"/>
          <w:sz w:val="36"/>
        </w:rPr>
      </w:pPr>
      <w:bookmarkStart w:id="7" w:name="consolidated_statements_cash_flows"/>
      <w:bookmarkEnd w:id="7"/>
      <w:r>
        <w:rPr>
          <w:rFonts w:ascii="Arial" w:hAnsi="Arial"/>
          <w:b/>
          <w:color w:val="000000"/>
          <w:sz w:val="36"/>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4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8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34,590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accretion of discounts/premiums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Collaboration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(11,976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Defined benefit plan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Right-of-use assets and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(106,910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(80,212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(157,047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85,424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(74,905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exercise of employee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underwritten public offering, net of underwriter's commission of $20,700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Payment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(154,738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229,117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Reconciliation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69,429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Supplemental disclosure of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property and equipment in accounts payable and accrued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i/>
          <w:color w:val="000000"/>
          <w:sz w:val="16"/>
        </w:rPr>
      </w:pPr>
      <w:r>
        <w:rPr>
          <w:rFonts w:ascii="Arial" w:hAnsi="Arial"/>
          <w:i/>
          <w:color w:val="000000"/>
          <w:sz w:val="16"/>
        </w:rPr>
        <w:t>See accompanying notes to the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b/>
          <w:color w:val="000000"/>
          <w:sz w:val="36"/>
        </w:rPr>
        <w:t>Monte Rosa Therapeutics, Inc.</w:t>
      </w:r>
      <w:r>
        <w:rPr>
          <w:rFonts w:ascii="Times New Roman" w:hAnsi="Times New Roman"/>
          <w:color w:val="000000"/>
          <w:sz w:val="20"/>
        </w:rPr>
        <w:t xml:space="preserve"> </w:t>
      </w:r>
    </w:p>
    <w:p>
      <w:pPr>
        <w:pStyle w:val="TextBody"/>
        <w:bidi w:val="0"/>
        <w:jc w:val="left"/>
        <w:rPr>
          <w:rFonts w:ascii="Times New Roman" w:hAnsi="Times New Roman"/>
          <w:sz w:val="20"/>
        </w:rPr>
      </w:pPr>
      <w:bookmarkStart w:id="8" w:name="notes_consolidated_financial_stmts"/>
      <w:bookmarkEnd w:id="8"/>
      <w:r>
        <w:rPr>
          <w:rFonts w:ascii="Arial" w:hAnsi="Arial"/>
          <w:b/>
          <w:color w:val="000000"/>
          <w:sz w:val="36"/>
        </w:rPr>
        <w:t>Notes to the condensed consolidated financial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color w:val="000000"/>
          <w:sz w:val="24"/>
        </w:rPr>
        <w:t>1. Description of business and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Business</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Monte Rosa Therapeutics, Inc. is a biotechnology company developing a portfolio of novel small molecule precision medicines that employ the body’s natural mechanisms to selectively degrade therapeutically-relevant proteins. As used in these condensed consolidated financial statements, unless the context otherwise requires, references to the Company or Monte Rosa refer to Monte Rosa Therapeutics, Inc. and its wholly owned subsidiaries Monte Rosa Therapeutics AG and Monte Rosa Therapeutics Securities Corporation. Monte Rosa Therapeutics AG, a Swiss operating company, was incorporated under the laws of Switzerland in April 2018. Monte Rosa Therapeutics, Inc. was incorporated in Delaware in November 2019. The Company is headquartered in Boston, Massachusetts with research operations in both Boston and Basel, Switzerland.</w:t>
      </w:r>
    </w:p>
    <w:p>
      <w:pPr>
        <w:pStyle w:val="TextBody"/>
        <w:bidi w:val="0"/>
        <w:jc w:val="left"/>
        <w:rPr>
          <w:rFonts w:ascii="Times New Roman" w:hAnsi="Times New Roman"/>
          <w:sz w:val="20"/>
        </w:rPr>
      </w:pPr>
      <w:r>
        <w:rPr>
          <w:rFonts w:ascii="Arial" w:hAnsi="Arial"/>
          <w:b/>
          <w:i/>
          <w:color w:val="000000"/>
          <w:sz w:val="20"/>
        </w:rPr>
        <w:t>Liquidity considerations</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Since inception, the Company has devoted substantially all its efforts to business planning, research and development, recruiting management and technical staff, and raising capital and has financed its operations primarily through issuance and sale of convertible promissory notes, convertible preferred stock, public offerings of common stock or warrants to purchase common stock, registered direct offerings, and through its collaborations with F. Hoffmann-La Roche Ltd. and Hoffmann-La Roche Inc., or Roche, and with Novartis AG, or Novartis.</w:t>
      </w:r>
    </w:p>
    <w:p>
      <w:pPr>
        <w:pStyle w:val="TextBody"/>
        <w:bidi w:val="0"/>
        <w:jc w:val="left"/>
        <w:rPr>
          <w:rFonts w:ascii="Times New Roman" w:hAnsi="Times New Roman"/>
          <w:sz w:val="20"/>
        </w:rPr>
      </w:pPr>
      <w:r>
        <w:rPr>
          <w:rFonts w:ascii="Arial" w:hAnsi="Arial"/>
          <w:color w:val="000000"/>
          <w:sz w:val="20"/>
        </w:rPr>
        <w:t>The Company’s continued discovery and development of its product candidates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product development efforts are successful, it is uncertain when, if ever, the Company will realize significant revenue from product sales.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As of June 30, 2026, the Company had an accumulated deficit of $565.1</w:t>
      </w:r>
      <w:r>
        <w:rPr>
          <w:rFonts w:ascii="Times New Roman" w:hAnsi="Times New Roman"/>
          <w:color w:val="000000"/>
          <w:sz w:val="20"/>
        </w:rPr>
        <w:t xml:space="preserve"> </w:t>
      </w:r>
      <w:r>
        <w:rPr>
          <w:rFonts w:ascii="Arial" w:hAnsi="Arial"/>
          <w:color w:val="000000"/>
          <w:sz w:val="20"/>
        </w:rPr>
        <w:t>million. The Company has incurred losses and negative cash flows from operations since inception, including net losses of $87.9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six months ended June 30, 2026</w:t>
      </w:r>
      <w:r>
        <w:rPr>
          <w:rFonts w:ascii="Times New Roman" w:hAnsi="Times New Roman"/>
          <w:color w:val="000000"/>
          <w:sz w:val="20"/>
        </w:rPr>
        <w:t xml:space="preserve"> </w:t>
      </w:r>
      <w:r>
        <w:rPr>
          <w:rFonts w:ascii="Arial" w:hAnsi="Arial"/>
          <w:color w:val="000000"/>
          <w:sz w:val="20"/>
        </w:rPr>
        <w:t>and $38.6</w:t>
      </w:r>
      <w:r>
        <w:rPr>
          <w:rFonts w:ascii="Times New Roman" w:hAnsi="Times New Roman"/>
          <w:color w:val="000000"/>
          <w:sz w:val="20"/>
        </w:rPr>
        <w:t xml:space="preserve"> </w:t>
      </w:r>
      <w:r>
        <w:rPr>
          <w:rFonts w:ascii="Arial" w:hAnsi="Arial"/>
          <w:color w:val="000000"/>
          <w:sz w:val="20"/>
        </w:rPr>
        <w:t>million for the year ended December 31, 2025. The Company expects that its operating losses and negative cash flows will continue for the foreseeable future as the Company continues to develop its product candidates. The Company currently expects that its cash, cash equivalents, and marketable securities of $621.1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as of June 30, 2026 will be sufficient to fund operating expenses and capital requirements for at least 12 months from the date the second</w:t>
      </w:r>
      <w:r>
        <w:rPr>
          <w:rFonts w:ascii="Times New Roman" w:hAnsi="Times New Roman"/>
          <w:color w:val="000000"/>
          <w:sz w:val="20"/>
        </w:rPr>
        <w:t xml:space="preserve"> </w:t>
      </w:r>
      <w:r>
        <w:rPr>
          <w:rFonts w:ascii="Arial" w:hAnsi="Arial"/>
          <w:color w:val="000000"/>
          <w:sz w:val="20"/>
        </w:rPr>
        <w:t>quarter interim condensed consolidated financial statements are issued. However, additional funding will be necessary to fund future discovery research, preclinical and clinical activities. The Company will seek additional funding through public financings, debt financings, collaboration agreements, strategic alliances and licensing arrangements. Although it has been successful in raising capital in the past, there is no assurance that the Company will be successful in obtaining such additional financing on terms acceptable to it, if at all, and the Company may not be able to enter into collaborations or other arrangements. If the Company is unable to obtain funding, it could be forced to delay, reduce or eliminate its research and development programs, product portfolio expansion or commercialization efforts, which could adversely affect the Company’s business prospects, and even the ability to continue operations.</w:t>
      </w:r>
    </w:p>
    <w:p>
      <w:pPr>
        <w:pStyle w:val="TextBody"/>
        <w:bidi w:val="0"/>
        <w:spacing w:before="240" w:after="120"/>
        <w:jc w:val="left"/>
        <w:rPr>
          <w:rFonts w:ascii="Times New Roman" w:hAnsi="Times New Roman"/>
          <w:sz w:val="20"/>
        </w:rPr>
      </w:pPr>
      <w:r>
        <w:rPr>
          <w:rFonts w:ascii="Arial" w:hAnsi="Arial"/>
          <w:b/>
          <w:color w:val="000000"/>
          <w:sz w:val="24"/>
        </w:rPr>
        <w:t>2. Summary of significant accounting policies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accompanying condensed consolidated financial statements have been prepared in conformity with accounting principles generally accepted in the U.S., or GAAP, and are stated in U.S. dollars. Any reference in these notes to applicable guidance is meant to refer to the authoritative GAAP as found in the Accounting Standards Codification and Accounting Standards Updates, or ASUs, of the Financial Accounting Standards Board, or FASB. All intercompany balances and transactions have been eliminated in consolidation.</w:t>
      </w:r>
    </w:p>
    <w:p>
      <w:pPr>
        <w:pStyle w:val="TextBody"/>
        <w:bidi w:val="0"/>
        <w:spacing w:before="120" w:after="283"/>
        <w:jc w:val="left"/>
        <w:rPr>
          <w:rFonts w:ascii="Times New Roman" w:hAnsi="Times New Roman"/>
          <w:sz w:val="20"/>
        </w:rPr>
      </w:pPr>
      <w:r>
        <w:rPr>
          <w:rFonts w:ascii="Arial" w:hAnsi="Arial"/>
          <w:b/>
          <w:i/>
          <w:color w:val="000000"/>
          <w:sz w:val="20"/>
        </w:rPr>
        <w:t>Unaudited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Company’s condensed consolidated financial statements included herein have been prepared in conformity with GAAP and pursuant to the rules and regulations of the Securities and Exchange Commission, or the SEC. In the Company’s opinion, the information furnished reflects all adjustments, all of which are of a normal and recurring nature, necessary for a fair presentation of the financial position and results of operations for the reported interim periods.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Arial" w:hAnsi="Arial"/>
          <w:color w:val="000000"/>
          <w:sz w:val="20"/>
        </w:rPr>
        <w:t>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The Company has elected to use the extended transition period for complying with new or revised accounting standards as available under the Jumpstart Our Business Startups Act, or the JOBS 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Income Statement Reporting Comprehensive Income—Expense Disaggregation Disclosures (Subtopic 220-40)</w:t>
      </w:r>
      <w:r>
        <w:rPr>
          <w:rFonts w:ascii="Arial" w:hAnsi="Arial"/>
          <w:color w:val="000000"/>
          <w:sz w:val="20"/>
        </w:rPr>
        <w:t>, which requires disaggregated disclosure of income statement expenses for public business entities. ASU 2024-03 requires disclosure of,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(DD&amp;A) recognized as part of oil- and gas-producing activities or other types of depletion expenses. The tabular disclosure would also include certain other expenses, when applicable. The standard is effective for fiscal years beginning after December 15, 2026, and interim periods within fiscal years beginning after December 15, 2027. The Company is currently evaluating the impact the adoption of this standard will have on its consolidated financial statements and related disclosures.</w:t>
      </w:r>
    </w:p>
    <w:p>
      <w:pPr>
        <w:pStyle w:val="TextBody"/>
        <w:bidi w:val="0"/>
        <w:spacing w:before="240" w:after="283"/>
        <w:jc w:val="left"/>
        <w:rPr>
          <w:rFonts w:ascii="Arial" w:hAnsi="Arial"/>
          <w:color w:val="000000"/>
          <w:sz w:val="2"/>
        </w:rPr>
      </w:pPr>
      <w:r>
        <w:rPr>
          <w:rFonts w:ascii="Arial" w:hAnsi="Arial"/>
          <w:color w:val="000000"/>
          <w:sz w:val="2"/>
        </w:rPr>
        <w:t>\\\</w:t>
      </w:r>
    </w:p>
    <w:p>
      <w:pPr>
        <w:pStyle w:val="TextBody"/>
        <w:bidi w:val="0"/>
        <w:jc w:val="left"/>
        <w:rPr>
          <w:rFonts w:ascii="Times New Roman" w:hAnsi="Times New Roman"/>
          <w:sz w:val="20"/>
        </w:rPr>
      </w:pPr>
      <w:r>
        <w:rPr>
          <w:rFonts w:ascii="Arial" w:hAnsi="Arial"/>
          <w:b/>
          <w:color w:val="000000"/>
          <w:sz w:val="24"/>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following tables present information about the Company’s financial assets and liabilities measured at fair value on a recurring basis and indicate the level of the fair value hierarchy utilized to determine such fair values (in thousands):</w:t>
      </w:r>
      <w:r>
        <w:rPr>
          <w:rFonts w:ascii="Times New Roman" w:hAnsi="Times New Roman"/>
          <w:color w:val="000000"/>
          <w:sz w:val="20"/>
        </w:rPr>
        <w:t xml:space="preserve"> </w:t>
      </w:r>
    </w:p>
    <w:tbl>
      <w:tblPr>
        <w:tblW w:w="8560" w:type="dxa"/>
        <w:jc w:val="left"/>
        <w:tblInd w:w="0" w:type="dxa"/>
        <w:tblLayout w:type="fixed"/>
        <w:tblCellMar>
          <w:top w:w="28" w:type="dxa"/>
          <w:left w:w="28" w:type="dxa"/>
          <w:bottom w:w="28" w:type="dxa"/>
          <w:right w:w="28" w:type="dxa"/>
        </w:tblCellMar>
      </w:tblPr>
      <w:tblGrid>
        <w:gridCol w:w="3356"/>
        <w:gridCol w:w="146"/>
        <w:gridCol w:w="211"/>
        <w:gridCol w:w="676"/>
        <w:gridCol w:w="146"/>
        <w:gridCol w:w="146"/>
        <w:gridCol w:w="211"/>
        <w:gridCol w:w="781"/>
        <w:gridCol w:w="146"/>
        <w:gridCol w:w="146"/>
        <w:gridCol w:w="272"/>
        <w:gridCol w:w="448"/>
        <w:gridCol w:w="146"/>
        <w:gridCol w:w="146"/>
        <w:gridCol w:w="211"/>
        <w:gridCol w:w="781"/>
        <w:gridCol w:w="591"/>
      </w:tblGrid>
      <w:tr>
        <w:trPr/>
        <w:tc>
          <w:tcPr>
            <w:tcW w:w="3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67"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June 30, 2026</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Pension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293,761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237,239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assets measured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632,899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65" w:type="dxa"/>
        <w:jc w:val="left"/>
        <w:tblInd w:w="0" w:type="dxa"/>
        <w:tblLayout w:type="fixed"/>
        <w:tblCellMar>
          <w:top w:w="28" w:type="dxa"/>
          <w:left w:w="28" w:type="dxa"/>
          <w:bottom w:w="28" w:type="dxa"/>
          <w:right w:w="28" w:type="dxa"/>
        </w:tblCellMar>
      </w:tblPr>
      <w:tblGrid>
        <w:gridCol w:w="3356"/>
        <w:gridCol w:w="146"/>
        <w:gridCol w:w="211"/>
        <w:gridCol w:w="781"/>
        <w:gridCol w:w="146"/>
        <w:gridCol w:w="146"/>
        <w:gridCol w:w="211"/>
        <w:gridCol w:w="781"/>
        <w:gridCol w:w="146"/>
        <w:gridCol w:w="146"/>
        <w:gridCol w:w="272"/>
        <w:gridCol w:w="448"/>
        <w:gridCol w:w="146"/>
        <w:gridCol w:w="146"/>
        <w:gridCol w:w="211"/>
        <w:gridCol w:w="781"/>
        <w:gridCol w:w="591"/>
      </w:tblGrid>
      <w:tr>
        <w:trPr/>
        <w:tc>
          <w:tcPr>
            <w:tcW w:w="3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572"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December 31, 2025</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129,279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Pension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99,596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147,625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assets measured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259,661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388,940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Arial" w:hAnsi="Arial"/>
          <w:color w:val="000000"/>
          <w:sz w:val="20"/>
        </w:rPr>
        <w:t>Money market funds are highly liquid investments and are actively traded. The pricing information on the Company’s money market funds is based on quoted prices in active markets for identical securities. This approach results in the classification of these securities as Level 1 of the fair value hierarchy.</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The fair value of pension plan assets has been determined as the surrender value of the portfolio of active insured members held within the Columna Collective Foundation Group investment fund and is classified within Level 2 of the fair value hierarchy.</w:t>
      </w:r>
    </w:p>
    <w:p>
      <w:pPr>
        <w:pStyle w:val="TextBody"/>
        <w:bidi w:val="0"/>
        <w:spacing w:before="0" w:after="120"/>
        <w:jc w:val="left"/>
        <w:rPr>
          <w:rFonts w:ascii="Times New Roman" w:hAnsi="Times New Roman"/>
          <w:sz w:val="20"/>
        </w:rPr>
      </w:pPr>
      <w:r>
        <w:rPr>
          <w:rFonts w:ascii="Arial" w:hAnsi="Arial"/>
          <w:color w:val="000000"/>
          <w:sz w:val="20"/>
        </w:rPr>
        <w:t xml:space="preserve">Marketable securities consist of corporate debt securities and U.S. Treasury securities which are classified as available-for-sale pursuant to ASC 320, </w:t>
      </w:r>
      <w:r>
        <w:rPr>
          <w:rFonts w:ascii="Arial" w:hAnsi="Arial"/>
          <w:i/>
          <w:color w:val="000000"/>
          <w:sz w:val="20"/>
        </w:rPr>
        <w:t>Investments—Debt and Equity Securities</w:t>
      </w:r>
      <w:r>
        <w:rPr>
          <w:rFonts w:ascii="Arial" w:hAnsi="Arial"/>
          <w:color w:val="000000"/>
          <w:sz w:val="20"/>
        </w:rPr>
        <w:t>. Marketable securities are classified within Level 2 of the fair value hierarchy because pricing inputs are other than quoted prices in active markets.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based on historical data and other observable inputs.</w:t>
      </w:r>
    </w:p>
    <w:p>
      <w:pPr>
        <w:pStyle w:val="TextBody"/>
        <w:bidi w:val="0"/>
        <w:spacing w:before="0" w:after="240"/>
        <w:jc w:val="left"/>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transfers among Level 1, Level 2 or Level 3 categories in the six months ended June 30, 2026 and 2025.</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120"/>
        <w:jc w:val="left"/>
        <w:rPr>
          <w:rFonts w:ascii="Arial" w:hAnsi="Arial"/>
          <w:b/>
          <w:color w:val="000000"/>
          <w:sz w:val="24"/>
        </w:rPr>
      </w:pPr>
      <w:r>
        <w:rPr>
          <w:rFonts w:ascii="Arial" w:hAnsi="Arial"/>
          <w:b/>
          <w:color w:val="000000"/>
          <w:sz w:val="24"/>
        </w:rPr>
        <w:t>4. Marketable securities</w:t>
      </w:r>
    </w:p>
    <w:p>
      <w:pPr>
        <w:pStyle w:val="TextBody"/>
        <w:bidi w:val="0"/>
        <w:spacing w:before="0" w:after="120"/>
        <w:jc w:val="left"/>
        <w:rPr>
          <w:rFonts w:ascii="Times New Roman" w:hAnsi="Times New Roman"/>
          <w:sz w:val="20"/>
        </w:rPr>
      </w:pPr>
      <w:r>
        <w:rPr>
          <w:rFonts w:ascii="Arial" w:hAnsi="Arial"/>
          <w:color w:val="000000"/>
          <w:sz w:val="20"/>
        </w:rPr>
        <w:t>Marketable securities as of June 30, 2026 consisted of the following (in thousands)</w:t>
      </w:r>
      <w:r>
        <w:rPr>
          <w:rFonts w:ascii="Arial" w:hAnsi="Arial"/>
          <w:color w:val="000000"/>
          <w:sz w:val="24"/>
        </w:rPr>
        <w:t>:</w:t>
      </w:r>
    </w:p>
    <w:tbl>
      <w:tblPr>
        <w:tblW w:w="8035" w:type="dxa"/>
        <w:jc w:val="left"/>
        <w:tblInd w:w="0" w:type="dxa"/>
        <w:tblLayout w:type="fixed"/>
        <w:tblCellMar>
          <w:top w:w="28" w:type="dxa"/>
          <w:left w:w="28" w:type="dxa"/>
          <w:bottom w:w="28" w:type="dxa"/>
          <w:right w:w="28" w:type="dxa"/>
        </w:tblCellMar>
      </w:tblPr>
      <w:tblGrid>
        <w:gridCol w:w="2376"/>
        <w:gridCol w:w="146"/>
        <w:gridCol w:w="211"/>
        <w:gridCol w:w="781"/>
        <w:gridCol w:w="146"/>
        <w:gridCol w:w="146"/>
        <w:gridCol w:w="408"/>
        <w:gridCol w:w="613"/>
        <w:gridCol w:w="146"/>
        <w:gridCol w:w="146"/>
        <w:gridCol w:w="255"/>
        <w:gridCol w:w="766"/>
        <w:gridCol w:w="166"/>
        <w:gridCol w:w="146"/>
        <w:gridCol w:w="211"/>
        <w:gridCol w:w="781"/>
        <w:gridCol w:w="591"/>
      </w:tblGrid>
      <w:tr>
        <w:trPr/>
        <w:tc>
          <w:tcPr>
            <w:tcW w:w="2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Description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293,761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237,857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237,239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531,000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Marketable securities as of December 31, 2025 consisted of the following (in thousands):</w:t>
      </w:r>
    </w:p>
    <w:tbl>
      <w:tblPr>
        <w:tblW w:w="8015" w:type="dxa"/>
        <w:jc w:val="left"/>
        <w:tblInd w:w="0" w:type="dxa"/>
        <w:tblLayout w:type="fixed"/>
        <w:tblCellMar>
          <w:top w:w="28" w:type="dxa"/>
          <w:left w:w="28" w:type="dxa"/>
          <w:bottom w:w="28" w:type="dxa"/>
          <w:right w:w="28" w:type="dxa"/>
        </w:tblCellMar>
      </w:tblPr>
      <w:tblGrid>
        <w:gridCol w:w="2376"/>
        <w:gridCol w:w="146"/>
        <w:gridCol w:w="211"/>
        <w:gridCol w:w="781"/>
        <w:gridCol w:w="146"/>
        <w:gridCol w:w="146"/>
        <w:gridCol w:w="340"/>
        <w:gridCol w:w="681"/>
        <w:gridCol w:w="146"/>
        <w:gridCol w:w="146"/>
        <w:gridCol w:w="386"/>
        <w:gridCol w:w="635"/>
        <w:gridCol w:w="146"/>
        <w:gridCol w:w="146"/>
        <w:gridCol w:w="211"/>
        <w:gridCol w:w="781"/>
        <w:gridCol w:w="591"/>
      </w:tblGrid>
      <w:tr>
        <w:trPr/>
        <w:tc>
          <w:tcPr>
            <w:tcW w:w="2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Description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99,596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147,625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247,057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247,221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Arial" w:hAnsi="Arial"/>
          <w:color w:val="000000"/>
          <w:sz w:val="20"/>
        </w:rPr>
        <w:t>As of June 30, 2026, unrealized gain and losses on marketable securities are recorded in accumulated other comprehensive loss in equity on the accompanying condensed consolidated balance sheet. There were no</w:t>
      </w:r>
      <w:r>
        <w:rPr>
          <w:rFonts w:ascii="Times New Roman" w:hAnsi="Times New Roman"/>
          <w:color w:val="000000"/>
          <w:sz w:val="20"/>
        </w:rPr>
        <w:t xml:space="preserve"> </w:t>
      </w:r>
      <w:r>
        <w:rPr>
          <w:rFonts w:ascii="Arial" w:hAnsi="Arial"/>
          <w:color w:val="000000"/>
          <w:sz w:val="20"/>
        </w:rPr>
        <w:t>realized gains or losses recognized on the sale or maturity of marketable securities for the three and six months ended June 30, 2026 and 2025 and, as a result, the Company did not reclassify any amounts out of accumulated other comprehensive loss for the same periods.</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The Company holds debt securities of companies with high credit quality and has determined that there was no material change in the credit risk of any of its debt securities. The Company also believes that it will be able to collect both principal and interest amounts due to it at maturity.</w:t>
      </w:r>
    </w:p>
    <w:p>
      <w:pPr>
        <w:pStyle w:val="TextBody"/>
        <w:bidi w:val="0"/>
        <w:jc w:val="left"/>
        <w:rPr>
          <w:rFonts w:ascii="Times New Roman" w:hAnsi="Times New Roman"/>
          <w:sz w:val="20"/>
        </w:rPr>
      </w:pPr>
      <w:r>
        <w:rPr>
          <w:rFonts w:ascii="Arial" w:hAnsi="Arial"/>
          <w:b/>
          <w:color w:val="000000"/>
          <w:sz w:val="24"/>
        </w:rPr>
        <w:t>5. 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Property and equipment, net, consist of the following (in thousands):</w:t>
      </w:r>
      <w:r>
        <w:rPr>
          <w:rFonts w:ascii="Times New Roman" w:hAnsi="Times New Roman"/>
          <w:color w:val="000000"/>
          <w:sz w:val="20"/>
        </w:rPr>
        <w:t xml:space="preserve"> </w:t>
      </w:r>
    </w:p>
    <w:p>
      <w:pPr>
        <w:pStyle w:val="TextBody"/>
        <w:bidi w:val="0"/>
        <w:jc w:val="left"/>
        <w:rPr/>
      </w:pPr>
      <w:r>
        <w:rPr/>
        <w:t> </w:t>
      </w:r>
    </w:p>
    <w:tbl>
      <w:tblPr>
        <w:tblW w:w="6102" w:type="dxa"/>
        <w:jc w:val="left"/>
        <w:tblInd w:w="0" w:type="dxa"/>
        <w:tblLayout w:type="fixed"/>
        <w:tblCellMar>
          <w:top w:w="28" w:type="dxa"/>
          <w:left w:w="28" w:type="dxa"/>
          <w:bottom w:w="28" w:type="dxa"/>
          <w:right w:w="28" w:type="dxa"/>
        </w:tblCellMar>
      </w:tblPr>
      <w:tblGrid>
        <w:gridCol w:w="3136"/>
        <w:gridCol w:w="146"/>
        <w:gridCol w:w="211"/>
        <w:gridCol w:w="736"/>
        <w:gridCol w:w="166"/>
        <w:gridCol w:w="146"/>
        <w:gridCol w:w="300"/>
        <w:gridCol w:w="1050"/>
        <w:gridCol w:w="21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June 30, </w:t>
              <w:br/>
              <w:t>2026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3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December 31, </w:t>
              <w:br/>
              <w:t>2025</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Computer hardware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Construction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53,599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40"/>
        <w:jc w:val="left"/>
        <w:rPr>
          <w:rFonts w:ascii="Arial" w:hAnsi="Arial"/>
          <w:color w:val="000000"/>
          <w:sz w:val="20"/>
        </w:rPr>
      </w:pPr>
      <w:r>
        <w:rPr>
          <w:rFonts w:ascii="Arial" w:hAnsi="Arial"/>
          <w:color w:val="000000"/>
          <w:sz w:val="20"/>
        </w:rPr>
        <w:t>The following table summarizes depreciation expense incurred (in thousands):</w:t>
      </w:r>
    </w:p>
    <w:tbl>
      <w:tblPr>
        <w:tblW w:w="6308" w:type="dxa"/>
        <w:jc w:val="left"/>
        <w:tblInd w:w="0" w:type="dxa"/>
        <w:tblLayout w:type="fixed"/>
        <w:tblCellMar>
          <w:top w:w="28" w:type="dxa"/>
          <w:left w:w="28" w:type="dxa"/>
          <w:bottom w:w="28" w:type="dxa"/>
          <w:right w:w="28" w:type="dxa"/>
        </w:tblCellMar>
      </w:tblPr>
      <w:tblGrid>
        <w:gridCol w:w="1921"/>
        <w:gridCol w:w="146"/>
        <w:gridCol w:w="216"/>
        <w:gridCol w:w="586"/>
        <w:gridCol w:w="149"/>
        <w:gridCol w:w="149"/>
        <w:gridCol w:w="216"/>
        <w:gridCol w:w="586"/>
        <w:gridCol w:w="146"/>
        <w:gridCol w:w="146"/>
        <w:gridCol w:w="211"/>
        <w:gridCol w:w="571"/>
        <w:gridCol w:w="146"/>
        <w:gridCol w:w="146"/>
        <w:gridCol w:w="211"/>
        <w:gridCol w:w="571"/>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0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5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1,911</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Arial" w:hAnsi="Arial"/>
          <w:b/>
          <w:color w:val="000000"/>
          <w:sz w:val="24"/>
        </w:rPr>
      </w:pPr>
      <w:r>
        <w:rPr>
          <w:rFonts w:ascii="Arial" w:hAnsi="Arial"/>
          <w:b/>
          <w:color w:val="000000"/>
          <w:sz w:val="24"/>
        </w:rPr>
        <w:t>6. Accrued expenses and other current liabilities</w:t>
      </w:r>
    </w:p>
    <w:p>
      <w:pPr>
        <w:pStyle w:val="TextBody"/>
        <w:bidi w:val="0"/>
        <w:spacing w:before="0" w:after="120"/>
        <w:jc w:val="left"/>
        <w:rPr>
          <w:rFonts w:ascii="Arial" w:hAnsi="Arial"/>
          <w:color w:val="000000"/>
          <w:sz w:val="20"/>
        </w:rPr>
      </w:pPr>
      <w:r>
        <w:rPr>
          <w:rFonts w:ascii="Arial" w:hAnsi="Arial"/>
          <w:color w:val="000000"/>
          <w:sz w:val="20"/>
        </w:rPr>
        <w:t>Accrued expenses and other current liabilities consist of the following (in thousands):</w:t>
      </w:r>
    </w:p>
    <w:tbl>
      <w:tblPr>
        <w:tblW w:w="7097" w:type="dxa"/>
        <w:jc w:val="left"/>
        <w:tblInd w:w="0" w:type="dxa"/>
        <w:tblLayout w:type="fixed"/>
        <w:tblCellMar>
          <w:top w:w="28" w:type="dxa"/>
          <w:left w:w="28" w:type="dxa"/>
          <w:bottom w:w="28" w:type="dxa"/>
          <w:right w:w="28" w:type="dxa"/>
        </w:tblCellMar>
      </w:tblPr>
      <w:tblGrid>
        <w:gridCol w:w="4276"/>
        <w:gridCol w:w="146"/>
        <w:gridCol w:w="211"/>
        <w:gridCol w:w="676"/>
        <w:gridCol w:w="146"/>
        <w:gridCol w:w="146"/>
        <w:gridCol w:w="310"/>
        <w:gridCol w:w="995"/>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0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fixed asset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accrued expenses and other current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Arial" w:hAnsi="Arial"/>
          <w:b/>
          <w:color w:val="000000"/>
          <w:sz w:val="24"/>
        </w:rPr>
      </w:pPr>
      <w:r>
        <w:rPr>
          <w:rFonts w:ascii="Arial" w:hAnsi="Arial"/>
          <w:b/>
          <w:color w:val="000000"/>
          <w:sz w:val="24"/>
        </w:rPr>
        <w:t>7. Leases</w:t>
      </w:r>
    </w:p>
    <w:p>
      <w:pPr>
        <w:pStyle w:val="TextBody"/>
        <w:bidi w:val="0"/>
        <w:spacing w:before="0" w:after="120"/>
        <w:jc w:val="left"/>
        <w:rPr>
          <w:rFonts w:ascii="Times New Roman" w:hAnsi="Times New Roman"/>
          <w:sz w:val="20"/>
        </w:rPr>
      </w:pPr>
      <w:r>
        <w:rPr>
          <w:rFonts w:ascii="Arial" w:hAnsi="Arial"/>
          <w:color w:val="000000"/>
          <w:sz w:val="20"/>
        </w:rPr>
        <w:t>The Company determines if an arrangement is a lease at inception. Operating leases are included in operating lease right-of-use, or ROU, assets and operating lease liabilities in the condensed consolidated balance sheets. The Company has no</w:t>
      </w:r>
      <w:r>
        <w:rPr>
          <w:rFonts w:ascii="Times New Roman" w:hAnsi="Times New Roman"/>
          <w:color w:val="000000"/>
          <w:sz w:val="20"/>
        </w:rPr>
        <w:t xml:space="preserve"> </w:t>
      </w:r>
      <w:r>
        <w:rPr>
          <w:rFonts w:ascii="Arial" w:hAnsi="Arial"/>
          <w:color w:val="000000"/>
          <w:sz w:val="20"/>
        </w:rPr>
        <w:t>finance leases as of June 30, 2026.</w:t>
      </w:r>
    </w:p>
    <w:p>
      <w:pPr>
        <w:pStyle w:val="TextBody"/>
        <w:bidi w:val="0"/>
        <w:spacing w:before="0" w:after="120"/>
        <w:jc w:val="left"/>
        <w:rPr>
          <w:rFonts w:ascii="Times New Roman" w:hAnsi="Times New Roman"/>
          <w:sz w:val="20"/>
        </w:rPr>
      </w:pPr>
      <w:r>
        <w:rPr>
          <w:rFonts w:ascii="Arial" w:hAnsi="Arial"/>
          <w:color w:val="000000"/>
          <w:sz w:val="20"/>
        </w:rPr>
        <w:t>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management estimated the incremental borrowing rate based on the rate of interest the Company would have to pay to borrow a similar amount on a collateralized basis over a similar term.</w:t>
      </w:r>
      <w:r>
        <w:rPr>
          <w:rFonts w:ascii="Times New Roman" w:hAnsi="Times New Roman"/>
          <w:color w:val="000000"/>
          <w:sz w:val="20"/>
        </w:rPr>
        <w:t xml:space="preserve"> </w:t>
      </w:r>
      <w:r>
        <w:rPr>
          <w:rFonts w:ascii="Arial" w:hAnsi="Arial"/>
          <w:color w:val="000000"/>
          <w:sz w:val="20"/>
        </w:rPr>
        <w:t>The Company uses its incremental borrowing rate based on the information available at commencement date in determining the present value of lease payments.</w:t>
      </w:r>
    </w:p>
    <w:p>
      <w:pPr>
        <w:pStyle w:val="TextBody"/>
        <w:bidi w:val="0"/>
        <w:spacing w:before="0" w:after="120"/>
        <w:jc w:val="left"/>
        <w:rPr>
          <w:rFonts w:ascii="Arial" w:hAnsi="Arial"/>
          <w:i/>
          <w:color w:val="000000"/>
          <w:sz w:val="20"/>
        </w:rPr>
      </w:pPr>
      <w:r>
        <w:rPr>
          <w:rFonts w:ascii="Arial" w:hAnsi="Arial"/>
          <w:i/>
          <w:color w:val="000000"/>
          <w:sz w:val="20"/>
        </w:rPr>
        <w:t>Klybeckstrasse Lease</w:t>
      </w:r>
    </w:p>
    <w:p>
      <w:pPr>
        <w:pStyle w:val="TextBody"/>
        <w:bidi w:val="0"/>
        <w:spacing w:before="0" w:after="120"/>
        <w:jc w:val="left"/>
        <w:rPr>
          <w:rFonts w:ascii="Times New Roman" w:hAnsi="Times New Roman"/>
          <w:sz w:val="20"/>
        </w:rPr>
      </w:pPr>
      <w:r>
        <w:rPr>
          <w:rFonts w:ascii="Arial" w:hAnsi="Arial"/>
          <w:color w:val="000000"/>
          <w:sz w:val="20"/>
        </w:rPr>
        <w:t>In March 2021, the Company entered into an operating lease agreement, or the Klybeckstrasse Lease, for office and laboratory space with Wincasa AG, or the Basel Landlord, that occupies approximately 21,422</w:t>
      </w:r>
      <w:r>
        <w:rPr>
          <w:rFonts w:ascii="Times New Roman" w:hAnsi="Times New Roman"/>
          <w:color w:val="000000"/>
          <w:sz w:val="20"/>
        </w:rPr>
        <w:t xml:space="preserve"> </w:t>
      </w:r>
      <w:r>
        <w:rPr>
          <w:rFonts w:ascii="Arial" w:hAnsi="Arial"/>
          <w:color w:val="000000"/>
          <w:sz w:val="20"/>
        </w:rPr>
        <w:t>square feet located at Klybeckstrasse 191, 4057 Basel, Basel-City, Switzerland. In April 2023, the Company and the Basel Landlord amended the Klybeckstrasse Lease which increased the office and laboratory space square footage from 21,422</w:t>
      </w:r>
      <w:r>
        <w:rPr>
          <w:rFonts w:ascii="Times New Roman" w:hAnsi="Times New Roman"/>
          <w:color w:val="000000"/>
          <w:sz w:val="20"/>
        </w:rPr>
        <w:t xml:space="preserve"> </w:t>
      </w:r>
      <w:r>
        <w:rPr>
          <w:rFonts w:ascii="Arial" w:hAnsi="Arial"/>
          <w:color w:val="000000"/>
          <w:sz w:val="20"/>
        </w:rPr>
        <w:t>square feet to 44,685</w:t>
      </w:r>
      <w:r>
        <w:rPr>
          <w:rFonts w:ascii="Times New Roman" w:hAnsi="Times New Roman"/>
          <w:color w:val="000000"/>
          <w:sz w:val="20"/>
        </w:rPr>
        <w:t xml:space="preserve"> </w:t>
      </w:r>
      <w:r>
        <w:rPr>
          <w:rFonts w:ascii="Arial" w:hAnsi="Arial"/>
          <w:color w:val="000000"/>
          <w:sz w:val="20"/>
        </w:rPr>
        <w:t>square feet and extended the term of the lease through June 30, 2027. In March 2026, the Company and the Basel Landlord again amended the Klybeckstrasse Lease, the Second Amendment, to extend the term of the lease through June 30, 2028. The Second Amendment was accounted for as a lease modification and resulted in increases to the related ROU asset and operating lease liability of $1.0</w:t>
      </w:r>
      <w:r>
        <w:rPr>
          <w:rFonts w:ascii="Times New Roman" w:hAnsi="Times New Roman"/>
          <w:color w:val="000000"/>
          <w:sz w:val="20"/>
        </w:rPr>
        <w:t xml:space="preserve"> </w:t>
      </w:r>
      <w:r>
        <w:rPr>
          <w:rFonts w:ascii="Arial" w:hAnsi="Arial"/>
          <w:color w:val="000000"/>
          <w:sz w:val="20"/>
        </w:rPr>
        <w:t>million.</w:t>
      </w:r>
    </w:p>
    <w:p>
      <w:pPr>
        <w:pStyle w:val="TextBody"/>
        <w:bidi w:val="0"/>
        <w:spacing w:before="0" w:after="120"/>
        <w:jc w:val="left"/>
        <w:rPr>
          <w:rFonts w:ascii="Arial" w:hAnsi="Arial"/>
          <w:i/>
          <w:color w:val="000000"/>
          <w:sz w:val="20"/>
        </w:rPr>
      </w:pPr>
      <w:r>
        <w:rPr>
          <w:rFonts w:ascii="Arial" w:hAnsi="Arial"/>
          <w:i/>
          <w:color w:val="000000"/>
          <w:sz w:val="20"/>
        </w:rPr>
        <w:t>Harrison Avenue Lease</w:t>
      </w:r>
    </w:p>
    <w:p>
      <w:pPr>
        <w:pStyle w:val="TextBody"/>
        <w:bidi w:val="0"/>
        <w:spacing w:before="0" w:after="120"/>
        <w:jc w:val="left"/>
        <w:rPr>
          <w:rFonts w:ascii="Times New Roman" w:hAnsi="Times New Roman"/>
          <w:sz w:val="20"/>
        </w:rPr>
      </w:pPr>
      <w:r>
        <w:rPr>
          <w:rFonts w:ascii="Arial" w:hAnsi="Arial"/>
          <w:color w:val="000000"/>
          <w:sz w:val="20"/>
        </w:rPr>
        <w:t>In December 2021, the Company entered into a non-cancelable lease agreement, or the Harrison Avenue Lease, for 63,327</w:t>
      </w:r>
      <w:r>
        <w:rPr>
          <w:rFonts w:ascii="Times New Roman" w:hAnsi="Times New Roman"/>
          <w:color w:val="000000"/>
          <w:sz w:val="20"/>
        </w:rPr>
        <w:t xml:space="preserve"> </w:t>
      </w:r>
      <w:r>
        <w:rPr>
          <w:rFonts w:ascii="Arial" w:hAnsi="Arial"/>
          <w:color w:val="000000"/>
          <w:sz w:val="20"/>
        </w:rPr>
        <w:t>square feet of office and laboratory space to support its expanding operations. The term of the lease commenced on April 1, 2022</w:t>
      </w:r>
      <w:r>
        <w:rPr>
          <w:rFonts w:ascii="Times New Roman" w:hAnsi="Times New Roman"/>
          <w:color w:val="000000"/>
          <w:sz w:val="20"/>
        </w:rPr>
        <w:t xml:space="preserve"> </w:t>
      </w:r>
      <w:r>
        <w:rPr>
          <w:rFonts w:ascii="Arial" w:hAnsi="Arial"/>
          <w:color w:val="000000"/>
          <w:sz w:val="20"/>
        </w:rPr>
        <w:t>and the Company’s obligation to pay rent began on December 21, 2022. The initial term of the lease is 128 months</w:t>
      </w:r>
      <w:r>
        <w:rPr>
          <w:rFonts w:ascii="Times New Roman" w:hAnsi="Times New Roman"/>
          <w:color w:val="000000"/>
          <w:sz w:val="20"/>
        </w:rPr>
        <w:t xml:space="preserve"> </w:t>
      </w:r>
      <w:r>
        <w:rPr>
          <w:rFonts w:ascii="Arial" w:hAnsi="Arial"/>
          <w:color w:val="000000"/>
          <w:sz w:val="20"/>
        </w:rPr>
        <w:t>following the commencement date, at which point the Company has the option to extend the lease an additional 5 years. The Company has determined that it is not reasonably certain to exercise the option to extend the lease and has not included the extension period in the lease term. The annual base rent under the Harrison Avenue Lease is $95</w:t>
      </w:r>
      <w:r>
        <w:rPr>
          <w:rFonts w:ascii="Times New Roman" w:hAnsi="Times New Roman"/>
          <w:color w:val="000000"/>
          <w:sz w:val="20"/>
        </w:rPr>
        <w:t xml:space="preserve"> </w:t>
      </w:r>
      <w:r>
        <w:rPr>
          <w:rFonts w:ascii="Arial" w:hAnsi="Arial"/>
          <w:color w:val="000000"/>
          <w:sz w:val="20"/>
        </w:rPr>
        <w:t>per square foot for the first year, which is subject to scheduled annual increases of 3%, plus certain costs, operating expenses and property management fees.</w:t>
      </w:r>
    </w:p>
    <w:p>
      <w:pPr>
        <w:pStyle w:val="TextBody"/>
        <w:bidi w:val="0"/>
        <w:spacing w:before="0" w:after="120"/>
        <w:jc w:val="left"/>
        <w:rPr>
          <w:rFonts w:ascii="Arial" w:hAnsi="Arial"/>
          <w:color w:val="000000"/>
          <w:sz w:val="20"/>
        </w:rPr>
      </w:pPr>
      <w:r>
        <w:rPr>
          <w:rFonts w:ascii="Arial" w:hAnsi="Arial"/>
          <w:color w:val="000000"/>
          <w:sz w:val="20"/>
        </w:rPr>
        <w:t>The components of lease expense are as follows (in thousands):</w:t>
      </w:r>
    </w:p>
    <w:tbl>
      <w:tblPr>
        <w:tblW w:w="6763" w:type="dxa"/>
        <w:jc w:val="left"/>
        <w:tblInd w:w="0" w:type="dxa"/>
        <w:tblLayout w:type="fixed"/>
        <w:tblCellMar>
          <w:top w:w="28" w:type="dxa"/>
          <w:left w:w="28" w:type="dxa"/>
          <w:bottom w:w="28" w:type="dxa"/>
          <w:right w:w="28" w:type="dxa"/>
        </w:tblCellMar>
      </w:tblPr>
      <w:tblGrid>
        <w:gridCol w:w="2176"/>
        <w:gridCol w:w="146"/>
        <w:gridCol w:w="216"/>
        <w:gridCol w:w="586"/>
        <w:gridCol w:w="149"/>
        <w:gridCol w:w="149"/>
        <w:gridCol w:w="216"/>
        <w:gridCol w:w="586"/>
        <w:gridCol w:w="146"/>
        <w:gridCol w:w="146"/>
        <w:gridCol w:w="211"/>
        <w:gridCol w:w="571"/>
        <w:gridCol w:w="146"/>
        <w:gridCol w:w="146"/>
        <w:gridCol w:w="211"/>
        <w:gridCol w:w="571"/>
        <w:gridCol w:w="3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0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5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lease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2,298</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Arial" w:hAnsi="Arial"/>
          <w:color w:val="000000"/>
          <w:sz w:val="20"/>
        </w:rPr>
        <w:t>The variable lease expenses generally include common area maintenance and property taxes.</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The following table summarizes lease expense incurred (in thousands):</w:t>
      </w:r>
    </w:p>
    <w:tbl>
      <w:tblPr>
        <w:tblW w:w="6973" w:type="dxa"/>
        <w:jc w:val="left"/>
        <w:tblInd w:w="0" w:type="dxa"/>
        <w:tblLayout w:type="fixed"/>
        <w:tblCellMar>
          <w:top w:w="28" w:type="dxa"/>
          <w:left w:w="28" w:type="dxa"/>
          <w:bottom w:w="28" w:type="dxa"/>
          <w:right w:w="28" w:type="dxa"/>
        </w:tblCellMar>
      </w:tblPr>
      <w:tblGrid>
        <w:gridCol w:w="2386"/>
        <w:gridCol w:w="146"/>
        <w:gridCol w:w="216"/>
        <w:gridCol w:w="586"/>
        <w:gridCol w:w="149"/>
        <w:gridCol w:w="149"/>
        <w:gridCol w:w="216"/>
        <w:gridCol w:w="586"/>
        <w:gridCol w:w="146"/>
        <w:gridCol w:w="146"/>
        <w:gridCol w:w="211"/>
        <w:gridCol w:w="571"/>
        <w:gridCol w:w="146"/>
        <w:gridCol w:w="146"/>
        <w:gridCol w:w="211"/>
        <w:gridCol w:w="571"/>
        <w:gridCol w:w="3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0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5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1,973</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lease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2,298</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Arial" w:hAnsi="Arial"/>
          <w:color w:val="000000"/>
          <w:sz w:val="20"/>
        </w:rPr>
        <w:t>Short-term lease costs for the three and six months ended June 30, 2026 and 2025 were immaterial.</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The weighted average remaining lease term and discount rate related to the Company's leases are as follows:</w:t>
      </w:r>
    </w:p>
    <w:tbl>
      <w:tblPr>
        <w:tblW w:w="7105" w:type="dxa"/>
        <w:jc w:val="left"/>
        <w:tblInd w:w="0" w:type="dxa"/>
        <w:tblLayout w:type="fixed"/>
        <w:tblCellMar>
          <w:top w:w="28" w:type="dxa"/>
          <w:left w:w="28" w:type="dxa"/>
          <w:bottom w:w="28" w:type="dxa"/>
          <w:right w:w="28" w:type="dxa"/>
        </w:tblCellMar>
      </w:tblPr>
      <w:tblGrid>
        <w:gridCol w:w="4006"/>
        <w:gridCol w:w="146"/>
        <w:gridCol w:w="250"/>
        <w:gridCol w:w="620"/>
        <w:gridCol w:w="271"/>
        <w:gridCol w:w="146"/>
        <w:gridCol w:w="388"/>
        <w:gridCol w:w="962"/>
        <w:gridCol w:w="31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June 30, </w:t>
              <w:br/>
              <w:t>2026</w:t>
            </w:r>
          </w:p>
        </w:tc>
        <w:tc>
          <w:tcPr>
            <w:tcW w:w="2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3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December 31, </w:t>
              <w:br/>
              <w:t>2025</w:t>
            </w:r>
          </w:p>
        </w:tc>
        <w:tc>
          <w:tcPr>
            <w:tcW w:w="3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Arial" w:hAnsi="Arial"/>
          <w:color w:val="000000"/>
          <w:sz w:val="20"/>
        </w:rPr>
        <w:t>Supplemental cash flow information and other information relating to the Company's leases are as follows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817"/>
        <w:gridCol w:w="146"/>
        <w:gridCol w:w="234"/>
        <w:gridCol w:w="636"/>
        <w:gridCol w:w="162"/>
        <w:gridCol w:w="162"/>
        <w:gridCol w:w="234"/>
        <w:gridCol w:w="469"/>
        <w:gridCol w:w="146"/>
        <w:gridCol w:w="146"/>
        <w:gridCol w:w="211"/>
        <w:gridCol w:w="571"/>
        <w:gridCol w:w="146"/>
        <w:gridCol w:w="146"/>
        <w:gridCol w:w="211"/>
        <w:gridCol w:w="571"/>
        <w:gridCol w:w="197"/>
      </w:tblGrid>
      <w:tr>
        <w:trPr/>
        <w:tc>
          <w:tcPr>
            <w:tcW w:w="5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8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7"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5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Amortization of ROU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Future minimum lease payments under non-cancelable leases as of June 30, 2026 for each of the years ending December 31 are as follows (in thousands):</w:t>
      </w:r>
    </w:p>
    <w:tbl>
      <w:tblPr>
        <w:tblW w:w="5295" w:type="dxa"/>
        <w:jc w:val="left"/>
        <w:tblInd w:w="0" w:type="dxa"/>
        <w:tblLayout w:type="fixed"/>
        <w:tblCellMar>
          <w:top w:w="28" w:type="dxa"/>
          <w:left w:w="28" w:type="dxa"/>
          <w:bottom w:w="28" w:type="dxa"/>
          <w:right w:w="28" w:type="dxa"/>
        </w:tblCellMar>
      </w:tblPr>
      <w:tblGrid>
        <w:gridCol w:w="3811"/>
        <w:gridCol w:w="146"/>
        <w:gridCol w:w="211"/>
        <w:gridCol w:w="736"/>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Undiscounted lease payments</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undiscounted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operating lease 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Arial" w:hAnsi="Arial"/>
          <w:b/>
          <w:color w:val="000000"/>
          <w:sz w:val="24"/>
        </w:rPr>
      </w:pPr>
      <w:r>
        <w:rPr>
          <w:rFonts w:ascii="Arial" w:hAnsi="Arial"/>
          <w:b/>
          <w:color w:val="000000"/>
          <w:sz w:val="24"/>
        </w:rPr>
        <w:t>8. Commitments and contingencies</w:t>
      </w:r>
    </w:p>
    <w:p>
      <w:pPr>
        <w:pStyle w:val="TextBody"/>
        <w:bidi w:val="0"/>
        <w:spacing w:before="0" w:after="120"/>
        <w:jc w:val="left"/>
        <w:rPr>
          <w:rFonts w:ascii="Times New Roman" w:hAnsi="Times New Roman"/>
          <w:sz w:val="20"/>
        </w:rPr>
      </w:pPr>
      <w:r>
        <w:rPr>
          <w:rFonts w:ascii="Arial" w:hAnsi="Arial"/>
          <w:b/>
          <w:i/>
          <w:color w:val="000000"/>
          <w:sz w:val="20"/>
        </w:rPr>
        <w:t>Legal proceedings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From time to time, the Company may be subject to legal proceedings, claims and disputes that arise in the ordinary course of business. The Company accrues a liability for such matters when it is probable that future expenditures will be made and that such expenditures can be reasonably estimated. As of June 30, 2026, the Company is not a party to any litigation and does not have a contingency reserve established for any litigation liabilities.</w:t>
      </w:r>
    </w:p>
    <w:p>
      <w:pPr>
        <w:pStyle w:val="TextBody"/>
        <w:bidi w:val="0"/>
        <w:spacing w:before="240" w:after="120"/>
        <w:jc w:val="left"/>
        <w:rPr>
          <w:rFonts w:ascii="Arial" w:hAnsi="Arial"/>
          <w:b/>
          <w:color w:val="000000"/>
          <w:sz w:val="24"/>
        </w:rPr>
      </w:pPr>
      <w:r>
        <w:rPr>
          <w:rFonts w:ascii="Arial" w:hAnsi="Arial"/>
          <w:b/>
          <w:color w:val="000000"/>
          <w:sz w:val="24"/>
        </w:rPr>
        <w:t>9. Collaboration and license agreements</w:t>
      </w:r>
    </w:p>
    <w:p>
      <w:pPr>
        <w:pStyle w:val="TextBody"/>
        <w:bidi w:val="0"/>
        <w:spacing w:before="0" w:after="120"/>
        <w:jc w:val="left"/>
        <w:rPr>
          <w:rFonts w:ascii="Arial" w:hAnsi="Arial"/>
          <w:b/>
          <w:i/>
          <w:color w:val="000000"/>
          <w:sz w:val="20"/>
        </w:rPr>
      </w:pPr>
      <w:r>
        <w:rPr>
          <w:rFonts w:ascii="Arial" w:hAnsi="Arial"/>
          <w:b/>
          <w:i/>
          <w:color w:val="000000"/>
          <w:sz w:val="20"/>
        </w:rPr>
        <w:t>Roche collaboration and license agreement</w:t>
      </w:r>
    </w:p>
    <w:p>
      <w:pPr>
        <w:pStyle w:val="TextBody"/>
        <w:bidi w:val="0"/>
        <w:spacing w:before="0" w:after="120"/>
        <w:jc w:val="left"/>
        <w:rPr>
          <w:rFonts w:ascii="Arial" w:hAnsi="Arial"/>
          <w:i/>
          <w:color w:val="000000"/>
          <w:sz w:val="20"/>
        </w:rPr>
      </w:pPr>
      <w:r>
        <w:rPr>
          <w:rFonts w:ascii="Arial" w:hAnsi="Arial"/>
          <w:i/>
          <w:color w:val="000000"/>
          <w:sz w:val="20"/>
        </w:rPr>
        <w:t>Description</w:t>
      </w:r>
    </w:p>
    <w:p>
      <w:pPr>
        <w:pStyle w:val="TextBody"/>
        <w:bidi w:val="0"/>
        <w:spacing w:before="0" w:after="120"/>
        <w:jc w:val="left"/>
        <w:rPr>
          <w:rFonts w:ascii="Arial" w:hAnsi="Arial"/>
          <w:color w:val="000000"/>
          <w:sz w:val="20"/>
        </w:rPr>
      </w:pPr>
      <w:r>
        <w:rPr>
          <w:rFonts w:ascii="Arial" w:hAnsi="Arial"/>
          <w:color w:val="000000"/>
          <w:sz w:val="20"/>
        </w:rPr>
        <w:t>In October 2023, Monte Rosa Therapeutics AG, a wholly-owned subsidiary of Monte Rosa Therapeutics, Inc, or the Company, entered into a collaboration and license agreement, or the Roche Agreement, with Roche. Pursuant to the Roche Agreement, the parties will seek to identify and develop molecular glue degraders, or MGDs, against cancer or neurological disease targets using the Company’s proprietary drug discovery engine for an initial set of targets in oncology and neuroscience selected by Roche, wherein a certain number of targets selected by Roche are for a limited time subject to replacement rights owned by Roche. The Company will lead preclinical discovery and research activities with Roche leading late preclinical and clinical development activities.</w:t>
      </w:r>
    </w:p>
    <w:p>
      <w:pPr>
        <w:pStyle w:val="TextBody"/>
        <w:bidi w:val="0"/>
        <w:spacing w:before="0" w:after="120"/>
        <w:jc w:val="left"/>
        <w:rPr>
          <w:rFonts w:ascii="Times New Roman" w:hAnsi="Times New Roman"/>
          <w:sz w:val="20"/>
        </w:rPr>
      </w:pPr>
      <w:r>
        <w:rPr>
          <w:rFonts w:ascii="Arial" w:hAnsi="Arial"/>
          <w:color w:val="000000"/>
          <w:sz w:val="20"/>
        </w:rPr>
        <w:t>Under the Roche Agreement, Roche will have a worldwide, exclusive license under patents and know-how controlled by the Company to develop and commercialize products directed to applicable targets. The license exclusivity is subject to the Company’s retained rights solely to fulfill its obligations under the arrangement.</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The research collaboration activities governed by the Roche Agreement are overseen by a joint research committee.</w:t>
      </w:r>
    </w:p>
    <w:p>
      <w:pPr>
        <w:pStyle w:val="TextBody"/>
        <w:bidi w:val="0"/>
        <w:spacing w:before="0" w:after="120"/>
        <w:jc w:val="left"/>
        <w:rPr>
          <w:rFonts w:ascii="Arial" w:hAnsi="Arial"/>
          <w:color w:val="000000"/>
          <w:sz w:val="20"/>
        </w:rPr>
      </w:pPr>
      <w:r>
        <w:rPr>
          <w:rFonts w:ascii="Arial" w:hAnsi="Arial"/>
          <w:color w:val="000000"/>
          <w:sz w:val="20"/>
        </w:rPr>
        <w:t>Unless earlier terminated, the Roche Agreement will remain in effect for each product licensed under the Roche Agreement until expiration of the royalty term for the applicable product. The parties have included termination provisions in the Roche Agreement, allowing termination of the Roche Agreement in its entirety, on a country-by-country or a target-by-target basis.</w:t>
      </w:r>
    </w:p>
    <w:p>
      <w:pPr>
        <w:pStyle w:val="TextBody"/>
        <w:bidi w:val="0"/>
        <w:spacing w:before="0" w:after="120"/>
        <w:jc w:val="left"/>
        <w:rPr>
          <w:rFonts w:ascii="Arial" w:hAnsi="Arial"/>
          <w:i/>
          <w:color w:val="000000"/>
          <w:sz w:val="20"/>
        </w:rPr>
      </w:pPr>
      <w:r>
        <w:rPr>
          <w:rFonts w:ascii="Arial" w:hAnsi="Arial"/>
          <w:i/>
          <w:color w:val="000000"/>
          <w:sz w:val="20"/>
        </w:rPr>
        <w:t>Pricing</w:t>
      </w:r>
    </w:p>
    <w:p>
      <w:pPr>
        <w:pStyle w:val="TextBody"/>
        <w:bidi w:val="0"/>
        <w:spacing w:before="0" w:after="120"/>
        <w:jc w:val="left"/>
        <w:rPr>
          <w:rFonts w:ascii="Times New Roman" w:hAnsi="Times New Roman"/>
          <w:sz w:val="20"/>
        </w:rPr>
      </w:pPr>
      <w:r>
        <w:rPr>
          <w:rFonts w:ascii="Arial" w:hAnsi="Arial"/>
          <w:color w:val="000000"/>
          <w:sz w:val="20"/>
        </w:rPr>
        <w:t>In November 2023, the Company received a $50.0</w:t>
      </w:r>
      <w:r>
        <w:rPr>
          <w:rFonts w:ascii="Times New Roman" w:hAnsi="Times New Roman"/>
          <w:color w:val="000000"/>
          <w:sz w:val="20"/>
        </w:rPr>
        <w:t xml:space="preserve"> </w:t>
      </w:r>
      <w:r>
        <w:rPr>
          <w:rFonts w:ascii="Arial" w:hAnsi="Arial"/>
          <w:color w:val="000000"/>
          <w:sz w:val="20"/>
        </w:rPr>
        <w:t>million non-refundable upfront payment for the initial set of targets. Pursuant to the terms of the Roche Agreement, the Company expects to be entitled to receive from Roche certain variable consideration including potential preclinical milestones up to $172</w:t>
      </w:r>
      <w:r>
        <w:rPr>
          <w:rFonts w:ascii="Times New Roman" w:hAnsi="Times New Roman"/>
          <w:color w:val="000000"/>
          <w:sz w:val="20"/>
        </w:rPr>
        <w:t xml:space="preserve"> </w:t>
      </w:r>
      <w:r>
        <w:rPr>
          <w:rFonts w:ascii="Arial" w:hAnsi="Arial"/>
          <w:color w:val="000000"/>
          <w:sz w:val="20"/>
        </w:rPr>
        <w:t>million, and potential clinical, commercial and sales milestones exceeding $2</w:t>
      </w:r>
      <w:r>
        <w:rPr>
          <w:rFonts w:ascii="Times New Roman" w:hAnsi="Times New Roman"/>
          <w:color w:val="000000"/>
          <w:sz w:val="20"/>
        </w:rPr>
        <w:t xml:space="preserve"> </w:t>
      </w:r>
      <w:r>
        <w:rPr>
          <w:rFonts w:ascii="Arial" w:hAnsi="Arial"/>
          <w:color w:val="000000"/>
          <w:sz w:val="20"/>
        </w:rPr>
        <w:t>billion. The Company is also eligible to receive tiered royalties ranging from high-single-digits to low-teens on any products that are commercialized by Roche as a result of the collaboration.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Arial" w:hAnsi="Arial"/>
          <w:color w:val="000000"/>
          <w:sz w:val="20"/>
        </w:rPr>
        <w:t>To date through June 30, 2026, the Company has received $16.0</w:t>
      </w:r>
      <w:r>
        <w:rPr>
          <w:rFonts w:ascii="Times New Roman" w:hAnsi="Times New Roman"/>
          <w:color w:val="000000"/>
          <w:sz w:val="20"/>
        </w:rPr>
        <w:t xml:space="preserve"> </w:t>
      </w:r>
      <w:r>
        <w:rPr>
          <w:rFonts w:ascii="Arial" w:hAnsi="Arial"/>
          <w:color w:val="000000"/>
          <w:sz w:val="20"/>
        </w:rPr>
        <w:t>million related to Roche's decision to pay preclinical milestones and $3.0</w:t>
      </w:r>
      <w:r>
        <w:rPr>
          <w:rFonts w:ascii="Times New Roman" w:hAnsi="Times New Roman"/>
          <w:color w:val="000000"/>
          <w:sz w:val="20"/>
        </w:rPr>
        <w:t xml:space="preserve"> </w:t>
      </w:r>
      <w:r>
        <w:rPr>
          <w:rFonts w:ascii="Arial" w:hAnsi="Arial"/>
          <w:color w:val="000000"/>
          <w:sz w:val="20"/>
        </w:rPr>
        <w:t>million related to Roche's decision to exercise its option rights to replace certain targets for research and development services. The related payments are initially classified as deferred revenue in the accompanying condensed consolidated balance sheet and recognized in revenue as the related research and development services are performed.</w:t>
      </w:r>
    </w:p>
    <w:p>
      <w:pPr>
        <w:pStyle w:val="TextBody"/>
        <w:bidi w:val="0"/>
        <w:spacing w:before="0" w:after="120"/>
        <w:jc w:val="left"/>
        <w:rPr>
          <w:rFonts w:ascii="Arial" w:hAnsi="Arial"/>
          <w:i/>
          <w:color w:val="000000"/>
          <w:sz w:val="20"/>
        </w:rPr>
      </w:pPr>
      <w:r>
        <w:rPr>
          <w:rFonts w:ascii="Arial" w:hAnsi="Arial"/>
          <w:i/>
          <w:color w:val="000000"/>
          <w:sz w:val="20"/>
        </w:rPr>
        <w:t>Accounting</w:t>
      </w:r>
    </w:p>
    <w:p>
      <w:pPr>
        <w:pStyle w:val="TextBody"/>
        <w:bidi w:val="0"/>
        <w:spacing w:before="0" w:after="120"/>
        <w:jc w:val="left"/>
        <w:rPr>
          <w:rFonts w:ascii="Times New Roman" w:hAnsi="Times New Roman"/>
          <w:sz w:val="20"/>
        </w:rPr>
      </w:pPr>
      <w:r>
        <w:rPr>
          <w:rFonts w:ascii="Arial" w:hAnsi="Arial"/>
          <w:color w:val="000000"/>
          <w:sz w:val="20"/>
        </w:rPr>
        <w:t xml:space="preserve">This agreement represents a transaction with a customer and therefore is accounted for under ASC 606, </w:t>
      </w:r>
      <w:r>
        <w:rPr>
          <w:rFonts w:ascii="Arial" w:hAnsi="Arial"/>
          <w:i/>
          <w:color w:val="000000"/>
          <w:sz w:val="20"/>
        </w:rPr>
        <w:t>Revenue From Contracts With Customers</w:t>
      </w:r>
      <w:r>
        <w:rPr>
          <w:rFonts w:ascii="Arial" w:hAnsi="Arial"/>
          <w:color w:val="000000"/>
          <w:sz w:val="20"/>
        </w:rPr>
        <w:t>.</w:t>
      </w:r>
    </w:p>
    <w:p>
      <w:pPr>
        <w:pStyle w:val="TextBody"/>
        <w:bidi w:val="0"/>
        <w:spacing w:before="0" w:after="120"/>
        <w:jc w:val="left"/>
        <w:rPr>
          <w:rFonts w:ascii="Arial" w:hAnsi="Arial"/>
          <w:color w:val="000000"/>
          <w:sz w:val="20"/>
        </w:rPr>
      </w:pPr>
      <w:r>
        <w:rPr>
          <w:rFonts w:ascii="Arial" w:hAnsi="Arial"/>
          <w:color w:val="000000"/>
          <w:sz w:val="20"/>
        </w:rPr>
        <w:t>The Company determined that the development and commercialization licenses for each of the collaboration targets is neither capable of being distinct nor distinct within the context from the promised initial research services. In addition, the Company has determined that each target in the agreement is distinct from other targets because: (i) Roche can benefit from the license and research services for a given target on their own since the results related thereto can be evaluated discretely and (ii) the results of the research and development of each target does not affect either the Company’s ability to perform or Roche’s ability to assess the results for any other target. As such, the Company has identified certain performance obligations within the agreement as follows: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Performance obligations for the research and development of initial targets;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Performance obligations for the research and development services related to Roche’s option to replace certain targets.</w:t>
      </w:r>
    </w:p>
    <w:p>
      <w:pPr>
        <w:pStyle w:val="TextBody"/>
        <w:bidi w:val="0"/>
        <w:spacing w:before="120" w:after="120"/>
        <w:jc w:val="left"/>
        <w:rPr>
          <w:rFonts w:ascii="Times New Roman" w:hAnsi="Times New Roman"/>
          <w:sz w:val="20"/>
        </w:rPr>
      </w:pPr>
      <w:r>
        <w:rPr>
          <w:rFonts w:ascii="Arial" w:hAnsi="Arial"/>
          <w:color w:val="000000"/>
          <w:sz w:val="20"/>
        </w:rPr>
        <w:t>The total transaction price of the Roche Agreement is allocated to the performance obligations based on their relative standalone selling price. The Company developed the standalone selling price for the performance obligations included in the Roche Agreement by determining the total estimated costs to fulfill each performance obligation identified with the objective of determining the price at which it would sell such an item if it were to be sold regularly on a standalone basis.</w:t>
      </w:r>
      <w:r>
        <w:rPr>
          <w:rFonts w:ascii="Times New Roman" w:hAnsi="Times New Roman"/>
          <w:color w:val="FF0000"/>
          <w:sz w:val="20"/>
        </w:rPr>
        <w:t xml:space="preserve"> </w:t>
      </w:r>
      <w:r>
        <w:rPr>
          <w:rFonts w:ascii="Arial" w:hAnsi="Arial"/>
          <w:color w:val="000000"/>
          <w:sz w:val="20"/>
        </w:rPr>
        <w:t>The allocated transaction price is recognized as revenue from collaboration agreements in one of two ways: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Research and development of the initial targets: The Company recognizes the portion of the transaction price allocated to each of the research and development performance obligations as the research and development services are provided, using an input method, in proportion to costs incurred to date for each research development target as compared to total costs incurred and expected to be incurred in the future to satisfy the underlying obligation related to said research and development target. The transfer of control occurs over this period and, in management’s judgment, is the best measure of progress towards satisfying the performance obligation.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Option rights to replace targets: The transaction price allocated to the replacement option rights, which are considered material rights, is deferred until the period that Roche elects to exercise or elects to not exercise its option right to license and commercialize the underlying research and development target. Upon Roche's exercise of a replacement option right, the Company will recognize the portion of the transaction price allocated using the input method described above. Any payments made to exercise replacement option rights will be added to the allocated value and recognized as the related services are performed.</w:t>
      </w:r>
    </w:p>
    <w:p>
      <w:pPr>
        <w:pStyle w:val="TextBody"/>
        <w:bidi w:val="0"/>
        <w:spacing w:before="120" w:after="120"/>
        <w:jc w:val="left"/>
        <w:rPr>
          <w:rFonts w:ascii="Times New Roman" w:hAnsi="Times New Roman"/>
          <w:sz w:val="20"/>
        </w:rPr>
      </w:pPr>
      <w:r>
        <w:rPr>
          <w:rFonts w:ascii="Arial" w:hAnsi="Arial"/>
          <w:color w:val="000000"/>
          <w:sz w:val="20"/>
        </w:rPr>
        <w:t>To date through June 30, 2026, a total of $53.8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related to the Roche Agreement has been recognized as collaboration revenue in the condensed consolidated statements of operations and comprehensive (loss) income, including $5.8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$7.5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recognized in the three and six months ended June 30, 2026, respectively. The remaining $15.2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the upfront payment and subsequent milestone and replacement target payments related to customer options are recorded as deferred revenue in the liabilities section of the condensed consolidated balance sheet, with $9.3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included in current liabilities and $5.9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included in non-current liabilities.</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The following table summarizes the deferred revenue amounts allocated to the Roche Agreement performance obligations (in thousands):</w:t>
      </w:r>
    </w:p>
    <w:tbl>
      <w:tblPr>
        <w:tblW w:w="7127" w:type="dxa"/>
        <w:jc w:val="left"/>
        <w:tblInd w:w="0" w:type="dxa"/>
        <w:tblLayout w:type="fixed"/>
        <w:tblCellMar>
          <w:top w:w="28" w:type="dxa"/>
          <w:left w:w="28" w:type="dxa"/>
          <w:bottom w:w="28" w:type="dxa"/>
          <w:right w:w="28" w:type="dxa"/>
        </w:tblCellMar>
      </w:tblPr>
      <w:tblGrid>
        <w:gridCol w:w="4306"/>
        <w:gridCol w:w="146"/>
        <w:gridCol w:w="211"/>
        <w:gridCol w:w="676"/>
        <w:gridCol w:w="146"/>
        <w:gridCol w:w="146"/>
        <w:gridCol w:w="310"/>
        <w:gridCol w:w="995"/>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0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Roche Agreement performance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 of initial targets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 for replacement targets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Roche Agreement deferred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 xml:space="preserve">The Company expects that the remaining deferred revenue for the initial targets will be recognized within 11 months. The Company expects that deferred revenue related to replacement targets will be recognized within 28 months. Due to the uncertain nature of the research and development being performed by the Company, it may take longer than anticipated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Arial" w:hAnsi="Arial"/>
          <w:color w:val="000000"/>
          <w:sz w:val="20"/>
        </w:rPr>
      </w:pPr>
      <w:r>
        <w:rPr>
          <w:rFonts w:ascii="Arial" w:hAnsi="Arial"/>
          <w:color w:val="000000"/>
          <w:sz w:val="20"/>
        </w:rPr>
        <w:t>to recognize revenue related to the performance obligations for the initial and replacement targets. Any amounts remaining in deferred revenue will be recognized at the conclusion of the Roche Agreement in October 2028.</w:t>
      </w:r>
    </w:p>
    <w:p>
      <w:pPr>
        <w:pStyle w:val="TextBody"/>
        <w:bidi w:val="0"/>
        <w:jc w:val="left"/>
        <w:rPr>
          <w:rFonts w:ascii="Arial" w:hAnsi="Arial"/>
          <w:color w:val="000000"/>
          <w:sz w:val="20"/>
        </w:rPr>
      </w:pPr>
      <w:r>
        <w:rPr>
          <w:rFonts w:ascii="Arial" w:hAnsi="Arial"/>
          <w:color w:val="000000"/>
          <w:sz w:val="20"/>
        </w:rPr>
        <w:t>As of June 30, 2026, potential research, development and regulatory milestone payments that the Company is eligible to receive were excluded from the transaction price as they were fully constrained by uncertain events. The Company will reevaluate the transaction price at the end of each reporting period and as uncertain events are resolved or other changes in circumstances occur, and if necessary, the Company will adjust its estimate of the transaction price. Any additions to the transaction price would be reflected in the period as a cumulative revenue catch-up based on the ratio of costs incurred to the total estimated costs expected applied to the revised transaction price. Sales-based royalties and milestone payments, which predominantly relate to the license, will be recognized if and when the related sales occur.</w:t>
      </w:r>
    </w:p>
    <w:p>
      <w:pPr>
        <w:pStyle w:val="TextBody"/>
        <w:bidi w:val="0"/>
        <w:spacing w:before="240" w:after="120"/>
        <w:jc w:val="left"/>
        <w:rPr>
          <w:rFonts w:ascii="Arial" w:hAnsi="Arial"/>
          <w:b/>
          <w:i/>
          <w:color w:val="000000"/>
          <w:sz w:val="20"/>
        </w:rPr>
      </w:pPr>
      <w:r>
        <w:rPr>
          <w:rFonts w:ascii="Arial" w:hAnsi="Arial"/>
          <w:b/>
          <w:i/>
          <w:color w:val="000000"/>
          <w:sz w:val="20"/>
        </w:rPr>
        <w:t>2024 Novartis License Agreement</w:t>
      </w:r>
    </w:p>
    <w:p>
      <w:pPr>
        <w:pStyle w:val="TextBody"/>
        <w:bidi w:val="0"/>
        <w:spacing w:before="0" w:after="120"/>
        <w:jc w:val="left"/>
        <w:rPr>
          <w:rFonts w:ascii="Arial" w:hAnsi="Arial"/>
          <w:i/>
          <w:color w:val="000000"/>
          <w:sz w:val="20"/>
        </w:rPr>
      </w:pPr>
      <w:r>
        <w:rPr>
          <w:rFonts w:ascii="Arial" w:hAnsi="Arial"/>
          <w:i/>
          <w:color w:val="000000"/>
          <w:sz w:val="20"/>
        </w:rPr>
        <w:t>Description</w:t>
      </w:r>
    </w:p>
    <w:p>
      <w:pPr>
        <w:pStyle w:val="TextBody"/>
        <w:bidi w:val="0"/>
        <w:spacing w:before="0" w:after="120"/>
        <w:jc w:val="left"/>
        <w:rPr>
          <w:rFonts w:ascii="Arial" w:hAnsi="Arial"/>
          <w:color w:val="000000"/>
          <w:sz w:val="20"/>
        </w:rPr>
      </w:pPr>
      <w:r>
        <w:rPr>
          <w:rFonts w:ascii="Arial" w:hAnsi="Arial"/>
          <w:color w:val="000000"/>
          <w:sz w:val="20"/>
        </w:rPr>
        <w:t>In October 2024, Monte Rosa Therapeutics AG, a wholly-owned subsidiary of the Company, entered into a license agreement, the 2024 Novartis Agreement, with Novartis. Pursuant to the 2024 Novartis Agreement, the Company granted to Novartis an exclusive, royalty-bearing, sublicensable and transferable license to develop, manufacture, and commercialize VAV1 MGDs, including MRT-6160, which is currently in Phase 1 clinical development for immune-mediated conditions. The Company was responsible for completing the Phase 1 clinical study and Novartis is responsible for all subsequent development and commercial activities starting at Phase 2.</w:t>
      </w:r>
    </w:p>
    <w:p>
      <w:pPr>
        <w:pStyle w:val="TextBody"/>
        <w:bidi w:val="0"/>
        <w:spacing w:before="0" w:after="120"/>
        <w:jc w:val="left"/>
        <w:rPr>
          <w:rFonts w:ascii="Arial" w:hAnsi="Arial"/>
          <w:i/>
          <w:color w:val="000000"/>
          <w:sz w:val="20"/>
        </w:rPr>
      </w:pPr>
      <w:r>
        <w:rPr>
          <w:rFonts w:ascii="Arial" w:hAnsi="Arial"/>
          <w:i/>
          <w:color w:val="000000"/>
          <w:sz w:val="20"/>
        </w:rPr>
        <w:t>Pricing</w:t>
      </w:r>
    </w:p>
    <w:p>
      <w:pPr>
        <w:pStyle w:val="TextBody"/>
        <w:bidi w:val="0"/>
        <w:spacing w:before="0" w:after="120"/>
        <w:jc w:val="left"/>
        <w:rPr>
          <w:rFonts w:ascii="Times New Roman" w:hAnsi="Times New Roman"/>
          <w:sz w:val="20"/>
        </w:rPr>
      </w:pPr>
      <w:r>
        <w:rPr>
          <w:rFonts w:ascii="Arial" w:hAnsi="Arial"/>
          <w:color w:val="000000"/>
          <w:sz w:val="20"/>
        </w:rPr>
        <w:t>In December 2024, the Company received a $150</w:t>
      </w:r>
      <w:r>
        <w:rPr>
          <w:rFonts w:ascii="Times New Roman" w:hAnsi="Times New Roman"/>
          <w:color w:val="000000"/>
          <w:sz w:val="20"/>
        </w:rPr>
        <w:t xml:space="preserve"> </w:t>
      </w:r>
      <w:r>
        <w:rPr>
          <w:rFonts w:ascii="Arial" w:hAnsi="Arial"/>
          <w:color w:val="000000"/>
          <w:sz w:val="20"/>
        </w:rPr>
        <w:t>million non-refundable upfront payment. Pursuant to the 2024 Novartis Agreement, the Company is entitled to receive from Novartis up to $2.1</w:t>
      </w:r>
      <w:r>
        <w:rPr>
          <w:rFonts w:ascii="Times New Roman" w:hAnsi="Times New Roman"/>
          <w:color w:val="000000"/>
          <w:sz w:val="20"/>
        </w:rPr>
        <w:t xml:space="preserve"> </w:t>
      </w:r>
      <w:r>
        <w:rPr>
          <w:rFonts w:ascii="Arial" w:hAnsi="Arial"/>
          <w:color w:val="000000"/>
          <w:sz w:val="20"/>
        </w:rPr>
        <w:t>billion in development, regulatory, and sales milestones, beginning upon initiation of Phase 2 studies including (a) potential development and regulatory milestone payments, exceeding $1.5</w:t>
      </w:r>
      <w:r>
        <w:rPr>
          <w:rFonts w:ascii="Times New Roman" w:hAnsi="Times New Roman"/>
          <w:color w:val="000000"/>
          <w:sz w:val="20"/>
        </w:rPr>
        <w:t xml:space="preserve"> </w:t>
      </w:r>
      <w:r>
        <w:rPr>
          <w:rFonts w:ascii="Arial" w:hAnsi="Arial"/>
          <w:color w:val="000000"/>
          <w:sz w:val="20"/>
        </w:rPr>
        <w:t>billion if multiple indications achieve regulatory approval in multiple territories, and (b) potential sales milestone payments in connection with sales outside of the U.S., and tiered royalties on sales outside of the U.S. Novartis will be responsible for costs associated with Phase 2 clinical studies. The Company and Novartis also agreed to a net profit and loss sharing arrangement, pursuant to which the Company could co-fund any global clinical development from Phase 3 onwards and will share 30% of any profits and losses associated with the manufacturing and commercialization of the licensed products in the U.S. The Company has defined opportunities to opt out of the net profit and loss sharing arrangement prior to the initiation of Phase 3 clinical trials, in such case, sales in the U.S. would be entitled to the potential sales milestone payments and tiered royalties as sales outside of the U.S. Any costs for any co-funded development and commercialization activities are subject to budgets reviewed by the Company and Novartis.</w:t>
      </w:r>
      <w:r>
        <w:rPr>
          <w:rFonts w:ascii="Times New Roman" w:hAnsi="Times New Roman"/>
          <w:color w:val="000000"/>
          <w:sz w:val="20"/>
        </w:rPr>
        <w:t xml:space="preserve"> </w:t>
      </w:r>
    </w:p>
    <w:p>
      <w:pPr>
        <w:pStyle w:val="TextBody"/>
        <w:bidi w:val="0"/>
        <w:spacing w:before="0" w:after="120"/>
        <w:jc w:val="left"/>
        <w:rPr>
          <w:rFonts w:ascii="Arial" w:hAnsi="Arial"/>
          <w:i/>
          <w:color w:val="000000"/>
          <w:sz w:val="20"/>
        </w:rPr>
      </w:pPr>
      <w:r>
        <w:rPr>
          <w:rFonts w:ascii="Arial" w:hAnsi="Arial"/>
          <w:i/>
          <w:color w:val="000000"/>
          <w:sz w:val="20"/>
        </w:rPr>
        <w:t>Accounting</w:t>
      </w:r>
    </w:p>
    <w:p>
      <w:pPr>
        <w:pStyle w:val="TextBody"/>
        <w:bidi w:val="0"/>
        <w:spacing w:before="0" w:after="120"/>
        <w:jc w:val="left"/>
        <w:rPr>
          <w:rFonts w:ascii="Times New Roman" w:hAnsi="Times New Roman"/>
          <w:sz w:val="20"/>
        </w:rPr>
      </w:pPr>
      <w:r>
        <w:rPr>
          <w:rFonts w:ascii="Arial" w:hAnsi="Arial"/>
          <w:color w:val="000000"/>
          <w:sz w:val="20"/>
        </w:rPr>
        <w:t>The goods and services that the Company was obligated to deliver and perform (the License and Licensor Clinical Trial) were accounted for under ASC 606 as they represented a transaction with a customer.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20"/>
        </w:rPr>
        <w:t>The Company has concluded that the License and the completion of the Licensor Clinical Trial promises are treated as a single, combined performance obligation. The Company has determined the total transaction price to be $150</w:t>
      </w:r>
      <w:r>
        <w:rPr>
          <w:rFonts w:ascii="Times New Roman" w:hAnsi="Times New Roman"/>
          <w:color w:val="000000"/>
          <w:sz w:val="20"/>
        </w:rPr>
        <w:t xml:space="preserve"> </w:t>
      </w:r>
      <w:r>
        <w:rPr>
          <w:rFonts w:ascii="Arial" w:hAnsi="Arial"/>
          <w:color w:val="000000"/>
          <w:sz w:val="20"/>
        </w:rPr>
        <w:t>million, which consists solely of the upfront payment. All milestone payments were constrained as the achievement of the milestones are contingent upon the success of the underlying research and development activities and are generally outside the control of the Company. The Company’s options to share in further development and commercialization efforts via its opt-in/opt-out rights will be assessed and accounted for as separate units of accounting under the relevant guidance if, and when, such options are exercised by the Company.</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The revenue the Company recognized associated with the combined performance obligation was recognized over time using a cost-based input methodology. The transfer of control occurred over the course of the Licensor Clinical Trial promise and, in management’s judgment, was the best measure of progress towards satisfying the combined performance obligation.</w:t>
      </w:r>
    </w:p>
    <w:p>
      <w:pPr>
        <w:pStyle w:val="TextBody"/>
        <w:bidi w:val="0"/>
        <w:jc w:val="left"/>
        <w:rPr>
          <w:rFonts w:ascii="Times New Roman" w:hAnsi="Times New Roman"/>
          <w:sz w:val="20"/>
        </w:rPr>
      </w:pPr>
      <w:r>
        <w:rPr>
          <w:rFonts w:ascii="Arial" w:hAnsi="Arial"/>
          <w:color w:val="000000"/>
          <w:sz w:val="20"/>
        </w:rPr>
        <w:t>The total transaction price of $150</w:t>
      </w:r>
      <w:r>
        <w:rPr>
          <w:rFonts w:ascii="Times New Roman" w:hAnsi="Times New Roman"/>
          <w:color w:val="000000"/>
          <w:sz w:val="20"/>
        </w:rPr>
        <w:t xml:space="preserve"> </w:t>
      </w:r>
      <w:r>
        <w:rPr>
          <w:rFonts w:ascii="Arial" w:hAnsi="Arial"/>
          <w:color w:val="000000"/>
          <w:sz w:val="20"/>
        </w:rPr>
        <w:t>million plus $1.2</w:t>
      </w:r>
      <w:r>
        <w:rPr>
          <w:rFonts w:ascii="Times New Roman" w:hAnsi="Times New Roman"/>
          <w:color w:val="000000"/>
          <w:sz w:val="20"/>
        </w:rPr>
        <w:t xml:space="preserve"> </w:t>
      </w:r>
      <w:r>
        <w:rPr>
          <w:rFonts w:ascii="Arial" w:hAnsi="Arial"/>
          <w:color w:val="000000"/>
          <w:sz w:val="20"/>
        </w:rPr>
        <w:t>million of incremental cost reimbursements related to the Novartis Agreement</w:t>
      </w:r>
      <w:r>
        <w:rPr>
          <w:rFonts w:ascii="Times New Roman" w:hAnsi="Times New Roman"/>
          <w:color w:val="000000"/>
          <w:sz w:val="20"/>
        </w:rPr>
        <w:t xml:space="preserve"> </w:t>
      </w:r>
      <w:r>
        <w:rPr>
          <w:rFonts w:ascii="Arial" w:hAnsi="Arial"/>
          <w:color w:val="000000"/>
          <w:sz w:val="20"/>
        </w:rPr>
        <w:t>was recognized as collaboration revenue in the condensed consolidated statements of operations and comprehensive loss by September 30, 2025.</w:t>
      </w:r>
    </w:p>
    <w:p>
      <w:pPr>
        <w:pStyle w:val="TextBody"/>
        <w:bidi w:val="0"/>
        <w:spacing w:before="120" w:after="120"/>
        <w:jc w:val="left"/>
        <w:rPr>
          <w:rFonts w:ascii="Arial" w:hAnsi="Arial"/>
          <w:b/>
          <w:i/>
          <w:color w:val="000000"/>
          <w:sz w:val="20"/>
        </w:rPr>
      </w:pPr>
      <w:r>
        <w:rPr>
          <w:rFonts w:ascii="Arial" w:hAnsi="Arial"/>
          <w:b/>
          <w:i/>
          <w:color w:val="000000"/>
          <w:sz w:val="20"/>
        </w:rPr>
        <w:t>2025 Novartis License Agreement</w:t>
      </w:r>
    </w:p>
    <w:p>
      <w:pPr>
        <w:pStyle w:val="TextBody"/>
        <w:bidi w:val="0"/>
        <w:spacing w:before="0" w:after="120"/>
        <w:jc w:val="left"/>
        <w:rPr>
          <w:rFonts w:ascii="Arial" w:hAnsi="Arial"/>
          <w:i/>
          <w:color w:val="000000"/>
          <w:sz w:val="20"/>
        </w:rPr>
      </w:pPr>
      <w:r>
        <w:rPr>
          <w:rFonts w:ascii="Arial" w:hAnsi="Arial"/>
          <w:i/>
          <w:color w:val="000000"/>
          <w:sz w:val="20"/>
        </w:rPr>
        <w:t>Description</w:t>
      </w:r>
    </w:p>
    <w:p>
      <w:pPr>
        <w:pStyle w:val="TextBody"/>
        <w:bidi w:val="0"/>
        <w:spacing w:before="0" w:after="120"/>
        <w:jc w:val="left"/>
        <w:rPr>
          <w:rFonts w:ascii="Times New Roman" w:hAnsi="Times New Roman"/>
          <w:sz w:val="20"/>
        </w:rPr>
      </w:pPr>
      <w:r>
        <w:rPr>
          <w:rFonts w:ascii="Arial" w:hAnsi="Arial"/>
          <w:color w:val="000000"/>
          <w:sz w:val="20"/>
        </w:rPr>
        <w:t>In September 2025, Monte Rosa Therapeutics AG, a wholly-owned subsidiary of the Company, entered into a collaboration, option, and license agreement, the 2025 Novartis Agreement, with Novartis. Pursuant to the 2025 Novartis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Arial" w:hAnsi="Arial"/>
          <w:color w:val="000000"/>
          <w:sz w:val="20"/>
        </w:rPr>
        <w:t>Agreement, the Company granted to Novartis an exclusive, royalty-bearing, sublicensable and transferable license to degraders for one immunology and inflammation, or I&amp;I program, or the First Licensed Program, and the option to obtain exclusive, royalty-bearing, sublicensable and transferable licenses with respect to two additional programs from the Company’s growing preclinical immunology portfolio, or the Options, and the programs, or the Optioned I&amp;I Programs. Such Options are individually exercisable at Novartis’ discretion until a program meets criteria for investigational new drug application-filing-readiness. On a program-by-program basis, if Novartis does not exercise an Option, all rights with respect to such program are retained by the Company; if Novartis does exercise its Option, such program becomes a Licensed Program, or together, with the First Licensed Program, the Licensed Programs. Under the 2025 Novartis Agreement, the Company will apply its proprietary AI/ML-enabled QuEEN engine for the discovery and development of degraders for the First Licensed Program and the Optioned I&amp;I Programs. The Licensed Programs will be further developed and commercialized by Novartis, unless otherwise agreed to by the parties in accordance with the 2025 Novartis Agreement. Research activities for the Licensed Programs governed by the Agreement will be overseen by a Joint Research Committee.</w:t>
      </w:r>
      <w:r>
        <w:rPr>
          <w:rFonts w:ascii="Times New Roman" w:hAnsi="Times New Roman"/>
          <w:color w:val="000000"/>
          <w:sz w:val="20"/>
        </w:rPr>
        <w:t xml:space="preserve"> </w:t>
      </w:r>
    </w:p>
    <w:p>
      <w:pPr>
        <w:pStyle w:val="TextBody"/>
        <w:bidi w:val="0"/>
        <w:spacing w:before="0" w:after="120"/>
        <w:jc w:val="left"/>
        <w:rPr>
          <w:rFonts w:ascii="Arial" w:hAnsi="Arial"/>
          <w:i/>
          <w:color w:val="000000"/>
          <w:sz w:val="20"/>
        </w:rPr>
      </w:pPr>
      <w:r>
        <w:rPr>
          <w:rFonts w:ascii="Arial" w:hAnsi="Arial"/>
          <w:i/>
          <w:color w:val="000000"/>
          <w:sz w:val="20"/>
        </w:rPr>
        <w:t>Pricing</w:t>
      </w:r>
    </w:p>
    <w:p>
      <w:pPr>
        <w:pStyle w:val="TextBody"/>
        <w:bidi w:val="0"/>
        <w:spacing w:before="0" w:after="120"/>
        <w:jc w:val="left"/>
        <w:rPr>
          <w:rFonts w:ascii="Times New Roman" w:hAnsi="Times New Roman"/>
          <w:sz w:val="20"/>
        </w:rPr>
      </w:pPr>
      <w:r>
        <w:rPr>
          <w:rFonts w:ascii="Arial" w:hAnsi="Arial"/>
          <w:color w:val="000000"/>
          <w:sz w:val="20"/>
        </w:rPr>
        <w:t>In September 2025, the Company received a $120.0</w:t>
      </w:r>
      <w:r>
        <w:rPr>
          <w:rFonts w:ascii="Times New Roman" w:hAnsi="Times New Roman"/>
          <w:color w:val="000000"/>
          <w:sz w:val="20"/>
        </w:rPr>
        <w:t xml:space="preserve"> </w:t>
      </w:r>
      <w:r>
        <w:rPr>
          <w:rFonts w:ascii="Arial" w:hAnsi="Arial"/>
          <w:color w:val="000000"/>
          <w:sz w:val="20"/>
        </w:rPr>
        <w:t>million non-refundable upfront payment from Novartis. Pursuant to the 2025 Novartis Agreement, the Company is entitled to receive from Novartis payments to maintain the Options totaling up to $60.0</w:t>
      </w:r>
      <w:r>
        <w:rPr>
          <w:rFonts w:ascii="Times New Roman" w:hAnsi="Times New Roman"/>
          <w:color w:val="000000"/>
          <w:sz w:val="20"/>
        </w:rPr>
        <w:t xml:space="preserve"> </w:t>
      </w:r>
      <w:r>
        <w:rPr>
          <w:rFonts w:ascii="Arial" w:hAnsi="Arial"/>
          <w:color w:val="000000"/>
          <w:sz w:val="20"/>
        </w:rPr>
        <w:t>million, and is eligible to receive from Novartis (1) preclinical milestone payments relating to the First Licensed Program and option exercise payments related to the Options of up to $180.0</w:t>
      </w:r>
      <w:r>
        <w:rPr>
          <w:rFonts w:ascii="Times New Roman" w:hAnsi="Times New Roman"/>
          <w:color w:val="000000"/>
          <w:sz w:val="20"/>
        </w:rPr>
        <w:t xml:space="preserve"> </w:t>
      </w:r>
      <w:r>
        <w:rPr>
          <w:rFonts w:ascii="Arial" w:hAnsi="Arial"/>
          <w:color w:val="000000"/>
          <w:sz w:val="20"/>
        </w:rPr>
        <w:t>million, (2) up to $5.4</w:t>
      </w:r>
      <w:r>
        <w:rPr>
          <w:rFonts w:ascii="Times New Roman" w:hAnsi="Times New Roman"/>
          <w:color w:val="000000"/>
          <w:sz w:val="20"/>
        </w:rPr>
        <w:t xml:space="preserve"> </w:t>
      </w:r>
      <w:r>
        <w:rPr>
          <w:rFonts w:ascii="Arial" w:hAnsi="Arial"/>
          <w:color w:val="000000"/>
          <w:sz w:val="20"/>
        </w:rPr>
        <w:t>billion in clinical development, regulatory, and sales milestones relating to the First Licensed Program and the two Optioned I&amp;I Programs, beginning upon initiation of Phase 1 studies, including (a) potential development and regulatory milestone payments up to $2.2</w:t>
      </w:r>
      <w:r>
        <w:rPr>
          <w:rFonts w:ascii="Times New Roman" w:hAnsi="Times New Roman"/>
          <w:color w:val="000000"/>
          <w:sz w:val="20"/>
        </w:rPr>
        <w:t xml:space="preserve"> </w:t>
      </w:r>
      <w:r>
        <w:rPr>
          <w:rFonts w:ascii="Arial" w:hAnsi="Arial"/>
          <w:color w:val="000000"/>
          <w:sz w:val="20"/>
        </w:rPr>
        <w:t>billion if regulatory approval is achieved for multiple indications in multiple territories and (b) potential sales milestone payments up to $3.2</w:t>
      </w:r>
      <w:r>
        <w:rPr>
          <w:rFonts w:ascii="Times New Roman" w:hAnsi="Times New Roman"/>
          <w:color w:val="000000"/>
          <w:sz w:val="20"/>
        </w:rPr>
        <w:t xml:space="preserve"> </w:t>
      </w:r>
      <w:r>
        <w:rPr>
          <w:rFonts w:ascii="Arial" w:hAnsi="Arial"/>
          <w:color w:val="000000"/>
          <w:sz w:val="20"/>
        </w:rPr>
        <w:t>billion, allocated across licensed products, and (3) tiered royalties on global net sales in the high-single to low double-digit range for the First Licensed Program and in the low double-digit range for the two Optioned I&amp;I Programs. The Company will be responsible for costs related to research activities, while Novartis will be responsible for costs related to development and commercialization activities.</w:t>
      </w:r>
    </w:p>
    <w:p>
      <w:pPr>
        <w:pStyle w:val="TextBody"/>
        <w:bidi w:val="0"/>
        <w:spacing w:before="0" w:after="120"/>
        <w:jc w:val="left"/>
        <w:rPr>
          <w:rFonts w:ascii="Arial" w:hAnsi="Arial"/>
          <w:i/>
          <w:color w:val="000000"/>
          <w:sz w:val="20"/>
        </w:rPr>
      </w:pPr>
      <w:r>
        <w:rPr>
          <w:rFonts w:ascii="Arial" w:hAnsi="Arial"/>
          <w:i/>
          <w:color w:val="000000"/>
          <w:sz w:val="20"/>
        </w:rPr>
        <w:t>Accounting</w:t>
      </w:r>
    </w:p>
    <w:p>
      <w:pPr>
        <w:pStyle w:val="TextBody"/>
        <w:bidi w:val="0"/>
        <w:spacing w:before="0" w:after="120"/>
        <w:jc w:val="left"/>
        <w:rPr>
          <w:rFonts w:ascii="Times New Roman" w:hAnsi="Times New Roman"/>
          <w:sz w:val="20"/>
        </w:rPr>
      </w:pPr>
      <w:r>
        <w:rPr>
          <w:rFonts w:ascii="Arial" w:hAnsi="Arial"/>
          <w:color w:val="000000"/>
          <w:sz w:val="20"/>
        </w:rPr>
        <w:t>The goods and services that the Company is obligated to deliver and perform under the 2025 Novartis Agreement will be accounted for under ASC 606 as they represent a transaction with a customer.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20"/>
        </w:rPr>
        <w:t>The Company has concluded that the transaction price at inception is $180</w:t>
      </w:r>
      <w:r>
        <w:rPr>
          <w:rFonts w:ascii="Times New Roman" w:hAnsi="Times New Roman"/>
          <w:color w:val="000000"/>
          <w:sz w:val="20"/>
        </w:rPr>
        <w:t xml:space="preserve"> </w:t>
      </w:r>
      <w:r>
        <w:rPr>
          <w:rFonts w:ascii="Arial" w:hAnsi="Arial"/>
          <w:color w:val="000000"/>
          <w:sz w:val="20"/>
        </w:rPr>
        <w:t>million, which consists of the $120</w:t>
      </w:r>
      <w:r>
        <w:rPr>
          <w:rFonts w:ascii="Times New Roman" w:hAnsi="Times New Roman"/>
          <w:color w:val="000000"/>
          <w:sz w:val="20"/>
        </w:rPr>
        <w:t xml:space="preserve"> </w:t>
      </w:r>
      <w:r>
        <w:rPr>
          <w:rFonts w:ascii="Arial" w:hAnsi="Arial"/>
          <w:color w:val="000000"/>
          <w:sz w:val="20"/>
        </w:rPr>
        <w:t>million upfront payment and $60</w:t>
      </w:r>
      <w:r>
        <w:rPr>
          <w:rFonts w:ascii="Times New Roman" w:hAnsi="Times New Roman"/>
          <w:color w:val="000000"/>
          <w:sz w:val="20"/>
        </w:rPr>
        <w:t xml:space="preserve"> </w:t>
      </w:r>
      <w:r>
        <w:rPr>
          <w:rFonts w:ascii="Arial" w:hAnsi="Arial"/>
          <w:color w:val="000000"/>
          <w:sz w:val="20"/>
        </w:rPr>
        <w:t>million of option maintenance payments due over the course of the contract term. The Company has identified the following performance obligations in the contract: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License and research services for an immunology target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Research services for certain immunology targets to support the Immunology License Options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Material Right First Immunology License Option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Material Right Second Immunology License Option </w:t>
      </w:r>
    </w:p>
    <w:p>
      <w:pPr>
        <w:pStyle w:val="TextBody"/>
        <w:bidi w:val="0"/>
        <w:spacing w:before="120" w:after="120"/>
        <w:jc w:val="left"/>
        <w:rPr>
          <w:rFonts w:ascii="Times New Roman" w:hAnsi="Times New Roman"/>
          <w:sz w:val="20"/>
        </w:rPr>
      </w:pPr>
      <w:r>
        <w:rPr>
          <w:rFonts w:ascii="Arial" w:hAnsi="Arial"/>
          <w:color w:val="000000"/>
          <w:sz w:val="20"/>
        </w:rPr>
        <w:t>The total transaction price of the 2025 Novartis Agreement is allocated to the performance obligations based on their relative standalone selling prices, or the price at which it would sell such an item if it were to be sold regularly on a standalone basis. The standalone selling price of performance obligations related to license and research services were determined using a cost-plus margin approach. The standalone selling price related to material rights for immunology license options were determined by benchmarking to comparable transactions, probability adjusted for the likelihood of exercise.</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The allocated transaction price is recognized as revenue from collaboration agreements in one of two ways: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License and research services for immunology targets: The Company recognizes the portion of the transaction price allocated to each of the research performance obligations as the research services are provided, using an input method, in proportion to costs incurred to date for each research development target as compared to total costs incurred and expected to be incurred in the future to satisfy the underlying obligation related to said research services. The transfer of control occurs over this period and, in management’s judgment, is the best measure of progress towards satisfying the performance obligation.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Material option rights: The transaction price allocated to the options rights, which are considered material rights, is deferred until the period that Novartis elects to exercise its option right to license and commercialize the underlying immunology program. The Company will recognize the portion of the transaction price allocated to the option rights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20"/>
        </w:rPr>
      </w:pPr>
      <w:r>
        <w:rPr>
          <w:rFonts w:ascii="Arial" w:hAnsi="Arial"/>
          <w:color w:val="000000"/>
          <w:sz w:val="20"/>
        </w:rPr>
        <w:t>upon exercise. The Company has no further obligations to perform research services subsequent to the option exercise.</w:t>
      </w:r>
    </w:p>
    <w:p>
      <w:pPr>
        <w:pStyle w:val="TextBody"/>
        <w:bidi w:val="0"/>
        <w:spacing w:before="120" w:after="283"/>
        <w:jc w:val="left"/>
        <w:rPr>
          <w:rFonts w:ascii="Times New Roman" w:hAnsi="Times New Roman"/>
          <w:sz w:val="20"/>
        </w:rPr>
      </w:pPr>
      <w:r>
        <w:rPr>
          <w:rFonts w:ascii="Arial" w:hAnsi="Arial"/>
          <w:color w:val="000000"/>
          <w:sz w:val="20"/>
        </w:rPr>
        <w:t>To date through June 30, 2026, $7.5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revenue related to the 2025 Novartis Agreement has been recognized as collaboration revenue in the condensed consolidated statements of operations and comprehensive (loss) income, including $3.2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$5.7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recognized in the three and six months ended June 30, 2026, respectively. The remaining $112.5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has been recorded as deferred revenue on the condensed consolidated balance sheets, with $12.8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included in current liabilities related to performance obligations expected to be completed within 12 months from June 30, 2026 and $99.7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included in non-current liabilities related to performance obligations expected to be completed later than 12 months from June 30, 2026. The total transaction price of $180</w:t>
      </w:r>
      <w:r>
        <w:rPr>
          <w:rFonts w:ascii="Times New Roman" w:hAnsi="Times New Roman"/>
          <w:color w:val="000000"/>
          <w:sz w:val="20"/>
        </w:rPr>
        <w:t xml:space="preserve"> </w:t>
      </w:r>
      <w:r>
        <w:rPr>
          <w:rFonts w:ascii="Arial" w:hAnsi="Arial"/>
          <w:color w:val="000000"/>
          <w:sz w:val="20"/>
        </w:rPr>
        <w:t>million includes $60</w:t>
      </w:r>
      <w:r>
        <w:rPr>
          <w:rFonts w:ascii="Times New Roman" w:hAnsi="Times New Roman"/>
          <w:color w:val="000000"/>
          <w:sz w:val="20"/>
        </w:rPr>
        <w:t xml:space="preserve"> </w:t>
      </w:r>
      <w:r>
        <w:rPr>
          <w:rFonts w:ascii="Arial" w:hAnsi="Arial"/>
          <w:color w:val="000000"/>
          <w:sz w:val="20"/>
        </w:rPr>
        <w:t>million of future option maintenance payments which are not included in deferred revenue on the condensed consolidated balance sheet.</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The following table summarizes the unearned amount of the 2025 Novartis Agreement transaction price allocated to the performance obligations (in thousands):</w:t>
      </w:r>
    </w:p>
    <w:tbl>
      <w:tblPr>
        <w:tblW w:w="7967" w:type="dxa"/>
        <w:jc w:val="left"/>
        <w:tblInd w:w="0" w:type="dxa"/>
        <w:tblLayout w:type="fixed"/>
        <w:tblCellMar>
          <w:top w:w="28" w:type="dxa"/>
          <w:left w:w="28" w:type="dxa"/>
          <w:bottom w:w="28" w:type="dxa"/>
          <w:right w:w="28" w:type="dxa"/>
        </w:tblCellMar>
      </w:tblPr>
      <w:tblGrid>
        <w:gridCol w:w="5041"/>
        <w:gridCol w:w="146"/>
        <w:gridCol w:w="211"/>
        <w:gridCol w:w="781"/>
        <w:gridCol w:w="146"/>
        <w:gridCol w:w="146"/>
        <w:gridCol w:w="276"/>
        <w:gridCol w:w="1029"/>
        <w:gridCol w:w="1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0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2025 Novartis Agreement performance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License and research services for named immunology 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Research services to support immunology license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Material right - first immunology license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Material right - second immunology license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unearned amount of transaction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178,247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The Company expects that that the remaining deferred revenue for the license and research services for a named immunology target and research services for two additional immunology targets to be recognized within 52 months. The deferred revenue related to material right license options will be recognized when Novartis exercises such options rights or at the expiration of the option rights. Due to the uncertain nature of the research and development being performed by the Company, it may take longer than anticipated to recognize revenue related to the performance obligations related to research services.</w:t>
      </w:r>
    </w:p>
    <w:p>
      <w:pPr>
        <w:pStyle w:val="TextBody"/>
        <w:bidi w:val="0"/>
        <w:spacing w:before="120" w:after="283"/>
        <w:jc w:val="left"/>
        <w:rPr>
          <w:rFonts w:ascii="Arial" w:hAnsi="Arial"/>
          <w:b/>
          <w:color w:val="000000"/>
          <w:sz w:val="24"/>
        </w:rPr>
      </w:pPr>
      <w:r>
        <w:rPr>
          <w:rFonts w:ascii="Arial" w:hAnsi="Arial"/>
          <w:b/>
          <w:color w:val="000000"/>
          <w:sz w:val="24"/>
        </w:rPr>
        <w:t>10. Equity</w:t>
      </w:r>
    </w:p>
    <w:p>
      <w:pPr>
        <w:pStyle w:val="TextBody"/>
        <w:bidi w:val="0"/>
        <w:spacing w:before="120" w:after="283"/>
        <w:jc w:val="left"/>
        <w:rPr>
          <w:rFonts w:ascii="Arial" w:hAnsi="Arial"/>
          <w:b/>
          <w:i/>
          <w:color w:val="000000"/>
          <w:sz w:val="20"/>
        </w:rPr>
      </w:pPr>
      <w:r>
        <w:rPr>
          <w:rFonts w:ascii="Arial" w:hAnsi="Arial"/>
          <w:b/>
          <w:i/>
          <w:color w:val="000000"/>
          <w:sz w:val="20"/>
        </w:rPr>
        <w:t>Undesignated preferred stock</w:t>
      </w:r>
    </w:p>
    <w:p>
      <w:pPr>
        <w:pStyle w:val="TextBody"/>
        <w:bidi w:val="0"/>
        <w:spacing w:before="120" w:after="120"/>
        <w:jc w:val="left"/>
        <w:rPr>
          <w:rFonts w:ascii="Times New Roman" w:hAnsi="Times New Roman"/>
          <w:sz w:val="20"/>
        </w:rPr>
      </w:pPr>
      <w:r>
        <w:rPr>
          <w:rFonts w:ascii="Arial" w:hAnsi="Arial"/>
          <w:color w:val="000000"/>
          <w:sz w:val="20"/>
        </w:rPr>
        <w:t>The Company had 10,000,000</w:t>
      </w:r>
      <w:r>
        <w:rPr>
          <w:rFonts w:ascii="Times New Roman" w:hAnsi="Times New Roman"/>
          <w:color w:val="000000"/>
          <w:sz w:val="20"/>
        </w:rPr>
        <w:t xml:space="preserve"> </w:t>
      </w:r>
      <w:r>
        <w:rPr>
          <w:rFonts w:ascii="Arial" w:hAnsi="Arial"/>
          <w:color w:val="000000"/>
          <w:sz w:val="20"/>
        </w:rPr>
        <w:t>shares authorized of undesignated preferred stock, par value of $0.0001, of which no</w:t>
      </w:r>
      <w:r>
        <w:rPr>
          <w:rFonts w:ascii="Times New Roman" w:hAnsi="Times New Roman"/>
          <w:color w:val="000000"/>
          <w:sz w:val="20"/>
        </w:rPr>
        <w:t xml:space="preserve"> </w:t>
      </w:r>
      <w:r>
        <w:rPr>
          <w:rFonts w:ascii="Arial" w:hAnsi="Arial"/>
          <w:color w:val="000000"/>
          <w:sz w:val="20"/>
        </w:rPr>
        <w:t>shares were issued and outstanding as of June 30, 2026.</w:t>
      </w:r>
    </w:p>
    <w:p>
      <w:pPr>
        <w:pStyle w:val="TextBody"/>
        <w:bidi w:val="0"/>
        <w:jc w:val="left"/>
        <w:rPr>
          <w:rFonts w:ascii="Arial" w:hAnsi="Arial"/>
          <w:b/>
          <w:i/>
          <w:color w:val="000000"/>
          <w:sz w:val="20"/>
        </w:rPr>
      </w:pPr>
      <w:r>
        <w:rPr>
          <w:rFonts w:ascii="Arial" w:hAnsi="Arial"/>
          <w:b/>
          <w:i/>
          <w:color w:val="000000"/>
          <w:sz w:val="20"/>
        </w:rPr>
        <w:t>Common stock</w:t>
      </w:r>
    </w:p>
    <w:p>
      <w:pPr>
        <w:pStyle w:val="TextBody"/>
        <w:bidi w:val="0"/>
        <w:spacing w:before="120" w:after="120"/>
        <w:jc w:val="left"/>
        <w:rPr>
          <w:rFonts w:ascii="Times New Roman" w:hAnsi="Times New Roman"/>
          <w:sz w:val="20"/>
        </w:rPr>
      </w:pPr>
      <w:r>
        <w:rPr>
          <w:rFonts w:ascii="Arial" w:hAnsi="Arial"/>
          <w:color w:val="000000"/>
          <w:sz w:val="20"/>
        </w:rPr>
        <w:t>As of June 30, 2026, the Company had 500,000,000</w:t>
      </w:r>
      <w:r>
        <w:rPr>
          <w:rFonts w:ascii="Times New Roman" w:hAnsi="Times New Roman"/>
          <w:color w:val="000000"/>
          <w:sz w:val="20"/>
        </w:rPr>
        <w:t xml:space="preserve"> </w:t>
      </w:r>
      <w:r>
        <w:rPr>
          <w:rFonts w:ascii="Arial" w:hAnsi="Arial"/>
          <w:color w:val="000000"/>
          <w:sz w:val="20"/>
        </w:rPr>
        <w:t>shares of common stock authorized, of which 85,226,427</w:t>
      </w:r>
      <w:r>
        <w:rPr>
          <w:rFonts w:ascii="Times New Roman" w:hAnsi="Times New Roman"/>
          <w:color w:val="FF0000"/>
          <w:sz w:val="20"/>
        </w:rPr>
        <w:t xml:space="preserve"> </w:t>
      </w:r>
      <w:r>
        <w:rPr>
          <w:rFonts w:ascii="Arial" w:hAnsi="Arial"/>
          <w:color w:val="000000"/>
          <w:sz w:val="20"/>
        </w:rPr>
        <w:t>shares were issued and outstanding.</w:t>
      </w:r>
    </w:p>
    <w:p>
      <w:pPr>
        <w:pStyle w:val="TextBody"/>
        <w:bidi w:val="0"/>
        <w:spacing w:before="0" w:after="120"/>
        <w:jc w:val="left"/>
        <w:rPr>
          <w:rFonts w:ascii="Times New Roman" w:hAnsi="Times New Roman"/>
          <w:sz w:val="20"/>
        </w:rPr>
      </w:pPr>
      <w:r>
        <w:rPr>
          <w:rFonts w:ascii="Arial" w:hAnsi="Arial"/>
          <w:color w:val="000000"/>
          <w:sz w:val="20"/>
        </w:rPr>
        <w:t>Additionally, as of June 30, 2026, the Company had 16,487,961</w:t>
      </w:r>
      <w:r>
        <w:rPr>
          <w:rFonts w:ascii="Times New Roman" w:hAnsi="Times New Roman"/>
          <w:color w:val="000000"/>
          <w:sz w:val="20"/>
        </w:rPr>
        <w:t xml:space="preserve"> </w:t>
      </w:r>
      <w:r>
        <w:rPr>
          <w:rFonts w:ascii="Arial" w:hAnsi="Arial"/>
          <w:color w:val="000000"/>
          <w:sz w:val="20"/>
        </w:rPr>
        <w:t>outstanding pre-funded warrants to purchase shares of the Company's common stock to accredited investors. The pre-funded warrants are immediately exercisable at an exercise price of $0.0001</w:t>
      </w:r>
      <w:r>
        <w:rPr>
          <w:rFonts w:ascii="Times New Roman" w:hAnsi="Times New Roman"/>
          <w:color w:val="000000"/>
          <w:sz w:val="20"/>
        </w:rPr>
        <w:t xml:space="preserve"> </w:t>
      </w:r>
      <w:r>
        <w:rPr>
          <w:rFonts w:ascii="Arial" w:hAnsi="Arial"/>
          <w:color w:val="000000"/>
          <w:sz w:val="20"/>
        </w:rPr>
        <w:t xml:space="preserve">per share at any time after the date of issuance. A holder of a pre-funded warrant may not exercise such pre-funded warrant if the holder, together with its affiliates, would beneficially own more than 4.99% (or, at the election of the holder, up to 19.99%) of the number of shares of the Company’s common stock outstanding immediately after giving effect to such exercise. </w:t>
      </w:r>
    </w:p>
    <w:p>
      <w:pPr>
        <w:pStyle w:val="TextBody"/>
        <w:bidi w:val="0"/>
        <w:spacing w:before="0" w:after="120"/>
        <w:jc w:val="left"/>
        <w:rPr>
          <w:rFonts w:ascii="Times New Roman" w:hAnsi="Times New Roman"/>
          <w:sz w:val="20"/>
        </w:rPr>
      </w:pPr>
      <w:r>
        <w:rPr>
          <w:rFonts w:ascii="Arial" w:hAnsi="Arial"/>
          <w:color w:val="000000"/>
          <w:sz w:val="20"/>
        </w:rPr>
        <w:t xml:space="preserve">The Company has assessed the pre-funded warrants for appropriate equity or liability classification. During this assessment, the Company determined the pre-funded warrants are a freestanding instrument that does not meet the definition of a liability pursuant to ASC 480 and does not meet the definition of a derivative pursuant to ASC 815. The pre-funded warrants are indexed to the Company’s common stock and meet all other conditions for equity classification under ASC 480 and ASC 815. Based on the results of this assessment, the Company concluded that the pre-funded warrants are a freestanding equity-linked financial instrument that meets the criteria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 in accordance with ASC 260, </w:t>
      </w:r>
      <w:r>
        <w:rPr>
          <w:rFonts w:ascii="Arial" w:hAnsi="Arial"/>
          <w:i/>
          <w:color w:val="000000"/>
          <w:sz w:val="20"/>
        </w:rPr>
        <w:t>Earnings per Share</w:t>
      </w:r>
      <w:r>
        <w:rPr>
          <w:rFonts w:ascii="Arial" w:hAnsi="Arial"/>
          <w:color w:val="000000"/>
          <w:sz w:val="20"/>
        </w:rPr>
        <w:t>.</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The holders of common stock are entitled to dividends when and if declared by the Company's board of directors, subject to the preferences applicable to any outstanding shares of preferred stock. The Company's board of directors has not declared any dividends and the Company has not paid any dividends.</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Arial" w:hAnsi="Arial"/>
          <w:color w:val="000000"/>
          <w:sz w:val="20"/>
        </w:rPr>
        <w:t>The holders of common stock are entitled to one</w:t>
      </w:r>
      <w:r>
        <w:rPr>
          <w:rFonts w:ascii="Times New Roman" w:hAnsi="Times New Roman"/>
          <w:color w:val="000000"/>
          <w:sz w:val="20"/>
        </w:rPr>
        <w:t xml:space="preserve"> </w:t>
      </w:r>
      <w:r>
        <w:rPr>
          <w:rFonts w:ascii="Arial" w:hAnsi="Arial"/>
          <w:color w:val="000000"/>
          <w:sz w:val="20"/>
        </w:rPr>
        <w:t>vote per share on all matters to be voted upon by the stockholders.</w:t>
      </w:r>
    </w:p>
    <w:p>
      <w:pPr>
        <w:pStyle w:val="TextBody"/>
        <w:bidi w:val="0"/>
        <w:spacing w:before="0" w:after="120"/>
        <w:jc w:val="left"/>
        <w:rPr>
          <w:rFonts w:ascii="Times New Roman" w:hAnsi="Times New Roman"/>
          <w:sz w:val="20"/>
        </w:rPr>
      </w:pPr>
      <w:r>
        <w:rPr>
          <w:rFonts w:ascii="Arial" w:hAnsi="Arial"/>
          <w:color w:val="000000"/>
          <w:sz w:val="20"/>
        </w:rPr>
        <w:t>During the three and six months ended June 30, 2026, 509,300</w:t>
      </w:r>
      <w:r>
        <w:rPr>
          <w:rFonts w:ascii="Times New Roman" w:hAnsi="Times New Roman"/>
          <w:color w:val="000000"/>
          <w:sz w:val="20"/>
        </w:rPr>
        <w:t xml:space="preserve"> </w:t>
      </w:r>
      <w:r>
        <w:rPr>
          <w:rFonts w:ascii="Arial" w:hAnsi="Arial"/>
          <w:color w:val="000000"/>
          <w:sz w:val="20"/>
        </w:rPr>
        <w:t>and 5,525,963</w:t>
      </w:r>
      <w:r>
        <w:rPr>
          <w:rFonts w:ascii="Times New Roman" w:hAnsi="Times New Roman"/>
          <w:color w:val="000000"/>
          <w:sz w:val="20"/>
        </w:rPr>
        <w:t xml:space="preserve"> </w:t>
      </w:r>
      <w:r>
        <w:rPr>
          <w:rFonts w:ascii="Arial" w:hAnsi="Arial"/>
          <w:color w:val="000000"/>
          <w:sz w:val="20"/>
        </w:rPr>
        <w:t>pre-funded warrants were exercised, respectively. These exercises included net-settlements pursuant to the terms of the applicable pre-funded warrant agreements, whereby the holders elected to have pre-funded warrants withheld in a cashless exercise in lieu of paying the $0.0001</w:t>
      </w:r>
      <w:r>
        <w:rPr>
          <w:rFonts w:ascii="Times New Roman" w:hAnsi="Times New Roman"/>
          <w:color w:val="000000"/>
          <w:sz w:val="20"/>
        </w:rPr>
        <w:t xml:space="preserve"> </w:t>
      </w:r>
      <w:r>
        <w:rPr>
          <w:rFonts w:ascii="Arial" w:hAnsi="Arial"/>
          <w:color w:val="000000"/>
          <w:sz w:val="20"/>
        </w:rPr>
        <w:t>per share exercise price. As a result, during the three months ended June 30, 2026, 5</w:t>
      </w:r>
      <w:r>
        <w:rPr>
          <w:rFonts w:ascii="Times New Roman" w:hAnsi="Times New Roman"/>
          <w:color w:val="000000"/>
          <w:sz w:val="20"/>
        </w:rPr>
        <w:t xml:space="preserve"> </w:t>
      </w:r>
      <w:r>
        <w:rPr>
          <w:rFonts w:ascii="Arial" w:hAnsi="Arial"/>
          <w:color w:val="000000"/>
          <w:sz w:val="20"/>
        </w:rPr>
        <w:t>pre-funded warrants were withheld to cover the aggregate exercise price, resulting in the issuance of 509,295</w:t>
      </w:r>
      <w:r>
        <w:rPr>
          <w:rFonts w:ascii="Times New Roman" w:hAnsi="Times New Roman"/>
          <w:color w:val="000000"/>
          <w:sz w:val="20"/>
        </w:rPr>
        <w:t xml:space="preserve"> </w:t>
      </w:r>
      <w:r>
        <w:rPr>
          <w:rFonts w:ascii="Arial" w:hAnsi="Arial"/>
          <w:color w:val="000000"/>
          <w:sz w:val="20"/>
        </w:rPr>
        <w:t>shares of common stock from the exercise of pre-funded warrants. During the six months ended June 30, 2026, 35</w:t>
      </w:r>
      <w:r>
        <w:rPr>
          <w:rFonts w:ascii="Times New Roman" w:hAnsi="Times New Roman"/>
          <w:color w:val="000000"/>
          <w:sz w:val="20"/>
        </w:rPr>
        <w:t xml:space="preserve"> </w:t>
      </w:r>
      <w:r>
        <w:rPr>
          <w:rFonts w:ascii="Arial" w:hAnsi="Arial"/>
          <w:color w:val="000000"/>
          <w:sz w:val="20"/>
        </w:rPr>
        <w:t>pre-funded warrants were withheld to cover the aggregate exercise price, resulting in the issuance of 5,525,928</w:t>
      </w:r>
      <w:r>
        <w:rPr>
          <w:rFonts w:ascii="Times New Roman" w:hAnsi="Times New Roman"/>
          <w:color w:val="000000"/>
          <w:sz w:val="20"/>
        </w:rPr>
        <w:t xml:space="preserve"> </w:t>
      </w:r>
      <w:r>
        <w:rPr>
          <w:rFonts w:ascii="Arial" w:hAnsi="Arial"/>
          <w:color w:val="000000"/>
          <w:sz w:val="20"/>
        </w:rPr>
        <w:t>shares of common stock from the exercise of pre-funded warrants. During the three and six months ended June 30, 2025, no</w:t>
      </w:r>
      <w:r>
        <w:rPr>
          <w:rFonts w:ascii="Times New Roman" w:hAnsi="Times New Roman"/>
          <w:color w:val="000000"/>
          <w:sz w:val="20"/>
        </w:rPr>
        <w:t xml:space="preserve"> </w:t>
      </w:r>
      <w:r>
        <w:rPr>
          <w:rFonts w:ascii="Arial" w:hAnsi="Arial"/>
          <w:color w:val="000000"/>
          <w:sz w:val="20"/>
        </w:rPr>
        <w:t>pre-funded warrants were exercised.</w:t>
      </w:r>
    </w:p>
    <w:p>
      <w:pPr>
        <w:pStyle w:val="TextBody"/>
        <w:bidi w:val="0"/>
        <w:spacing w:before="0" w:after="120"/>
        <w:jc w:val="left"/>
        <w:rPr>
          <w:rFonts w:ascii="Times New Roman" w:hAnsi="Times New Roman"/>
          <w:sz w:val="20"/>
        </w:rPr>
      </w:pPr>
      <w:r>
        <w:rPr>
          <w:rFonts w:ascii="Arial" w:hAnsi="Arial"/>
          <w:color w:val="000000"/>
          <w:sz w:val="20"/>
        </w:rPr>
        <w:t>As of June 30, 2026 and December 31, 2025, the Company has reserved the following shares of common stock for the exercise of stock options, vesting of restricted stock and pre-funded warrants:</w:t>
      </w:r>
      <w:r>
        <w:rPr>
          <w:rFonts w:ascii="Times New Roman" w:hAnsi="Times New Roman"/>
          <w:color w:val="000000"/>
          <w:sz w:val="20"/>
        </w:rPr>
        <w:t xml:space="preserve"> </w:t>
      </w:r>
    </w:p>
    <w:tbl>
      <w:tblPr>
        <w:tblW w:w="6507" w:type="dxa"/>
        <w:jc w:val="left"/>
        <w:tblInd w:w="0" w:type="dxa"/>
        <w:tblLayout w:type="fixed"/>
        <w:tblCellMar>
          <w:top w:w="28" w:type="dxa"/>
          <w:left w:w="28" w:type="dxa"/>
          <w:bottom w:w="28" w:type="dxa"/>
          <w:right w:w="28" w:type="dxa"/>
        </w:tblCellMar>
      </w:tblPr>
      <w:tblGrid>
        <w:gridCol w:w="3346"/>
        <w:gridCol w:w="146"/>
        <w:gridCol w:w="146"/>
        <w:gridCol w:w="1036"/>
        <w:gridCol w:w="146"/>
        <w:gridCol w:w="146"/>
        <w:gridCol w:w="166"/>
        <w:gridCol w:w="1184"/>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June 30, </w:t>
              <w:br/>
              <w:t>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3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December 31, </w:t>
              <w:br/>
              <w:t>2025</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15,939,132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14,064,599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Unvested restricted common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1,170,738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775,765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16,487,961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20,638,924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33,597,831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35,479,288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Arial" w:hAnsi="Arial"/>
          <w:b/>
          <w:i/>
          <w:color w:val="000000"/>
          <w:sz w:val="20"/>
        </w:rPr>
      </w:pPr>
      <w:r>
        <w:rPr>
          <w:rFonts w:ascii="Arial" w:hAnsi="Arial"/>
          <w:b/>
          <w:i/>
          <w:color w:val="000000"/>
          <w:sz w:val="20"/>
        </w:rPr>
        <w:t>At-the-market offerings</w:t>
      </w:r>
    </w:p>
    <w:p>
      <w:pPr>
        <w:pStyle w:val="TextBody"/>
        <w:bidi w:val="0"/>
        <w:jc w:val="left"/>
        <w:rPr>
          <w:rFonts w:ascii="Times New Roman" w:hAnsi="Times New Roman"/>
          <w:sz w:val="20"/>
        </w:rPr>
      </w:pPr>
      <w:r>
        <w:rPr>
          <w:rFonts w:ascii="Arial" w:hAnsi="Arial"/>
          <w:color w:val="000000"/>
          <w:sz w:val="20"/>
        </w:rPr>
        <w:t>In July 2022, the Company entered into a sales agreement, or the 2022 Sales Agreement, with Jefferies LLC, or Jefferies, as amended on March 20, 2025, pursuant to which the Company could offer and sell shares of its common stock pursuant to the then-effective prospectus from time to time in “at-the-market” offerings, or the ATM Program, through Jefferies, as the Company’s sales agent. Effective January 7, 2026, the Company terminated the prospectus pursuant to which it had been able to sell shares from time to time in at-the-market offerings under the 2022 Sales Agreement.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On February 11, 2026, the Company filed a registration statement on Form S-3ASR (File No. 333-293389) with the SEC, or the 2026 Automatic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In connection with the ATM Program and pursuant to the 2026 Automatic Shelf Registration Statement, the Company filed a new prospectus supplement with the SEC on February 11, 2026, for the offer and sale of up to $100.0</w:t>
      </w:r>
      <w:r>
        <w:rPr>
          <w:rFonts w:ascii="Times New Roman" w:hAnsi="Times New Roman"/>
          <w:color w:val="000000"/>
          <w:sz w:val="20"/>
        </w:rPr>
        <w:t xml:space="preserve"> </w:t>
      </w:r>
      <w:r>
        <w:rPr>
          <w:rFonts w:ascii="Arial" w:hAnsi="Arial"/>
          <w:color w:val="000000"/>
          <w:sz w:val="20"/>
        </w:rPr>
        <w:t>million of shares of common stock from time to time through Jefferies.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20"/>
        </w:rPr>
        <w:t>The Company agreed to pay Jefferies a commission of up to 3.0% of the gross proceeds of any shares sold by Jefferies under the Sales Agreement. During the six months ended June 30, 2026 and 2025, the Company did not sell shares of common stock under the ATM Program.</w:t>
      </w:r>
      <w:r>
        <w:rPr>
          <w:rFonts w:ascii="Times New Roman" w:hAnsi="Times New Roman"/>
          <w:color w:val="000000"/>
          <w:sz w:val="20"/>
        </w:rPr>
        <w:t xml:space="preserve"> </w:t>
      </w:r>
    </w:p>
    <w:p>
      <w:pPr>
        <w:pStyle w:val="TextBody"/>
        <w:bidi w:val="0"/>
        <w:spacing w:before="0" w:after="120"/>
        <w:jc w:val="left"/>
        <w:rPr>
          <w:rFonts w:ascii="Arial" w:hAnsi="Arial"/>
          <w:b/>
          <w:i/>
          <w:color w:val="000000"/>
          <w:sz w:val="20"/>
        </w:rPr>
      </w:pPr>
      <w:r>
        <w:rPr>
          <w:rFonts w:ascii="Arial" w:hAnsi="Arial"/>
          <w:b/>
          <w:i/>
          <w:color w:val="000000"/>
          <w:sz w:val="20"/>
        </w:rPr>
        <w:t>Underwritten public offerings</w:t>
      </w:r>
    </w:p>
    <w:p>
      <w:pPr>
        <w:pStyle w:val="TextBody"/>
        <w:bidi w:val="0"/>
        <w:spacing w:before="0" w:after="120"/>
        <w:jc w:val="left"/>
        <w:rPr>
          <w:rFonts w:ascii="Times New Roman" w:hAnsi="Times New Roman"/>
          <w:sz w:val="20"/>
        </w:rPr>
      </w:pPr>
      <w:r>
        <w:rPr>
          <w:rFonts w:ascii="Arial" w:hAnsi="Arial"/>
          <w:color w:val="000000"/>
          <w:sz w:val="20"/>
        </w:rPr>
        <w:t>In January 2026, the Company entered into an underwriting agreement with Jefferies LLC, TD Securities (USA) LLC, and Piper Sandler &amp; Co. as representatives of the several underwriters, related to an underwritten public offering, or the 2026 Offering, of 13,000,000</w:t>
      </w:r>
      <w:r>
        <w:rPr>
          <w:rFonts w:ascii="Times New Roman" w:hAnsi="Times New Roman"/>
          <w:color w:val="000000"/>
          <w:sz w:val="20"/>
        </w:rPr>
        <w:t xml:space="preserve"> </w:t>
      </w:r>
      <w:r>
        <w:rPr>
          <w:rFonts w:ascii="Arial" w:hAnsi="Arial"/>
          <w:color w:val="000000"/>
          <w:sz w:val="20"/>
        </w:rPr>
        <w:t>shares of common stock at a price of $24.00</w:t>
      </w:r>
      <w:r>
        <w:rPr>
          <w:rFonts w:ascii="Times New Roman" w:hAnsi="Times New Roman"/>
          <w:color w:val="000000"/>
          <w:sz w:val="20"/>
        </w:rPr>
        <w:t xml:space="preserve"> </w:t>
      </w:r>
      <w:r>
        <w:rPr>
          <w:rFonts w:ascii="Arial" w:hAnsi="Arial"/>
          <w:color w:val="000000"/>
          <w:sz w:val="20"/>
        </w:rPr>
        <w:t>per share, and, in lieu of common stock to certain investors, pre-funded warrants to purchase 1,375,000</w:t>
      </w:r>
      <w:r>
        <w:rPr>
          <w:rFonts w:ascii="Times New Roman" w:hAnsi="Times New Roman"/>
          <w:color w:val="000000"/>
          <w:sz w:val="20"/>
        </w:rPr>
        <w:t xml:space="preserve"> </w:t>
      </w:r>
      <w:r>
        <w:rPr>
          <w:rFonts w:ascii="Arial" w:hAnsi="Arial"/>
          <w:color w:val="000000"/>
          <w:sz w:val="20"/>
        </w:rPr>
        <w:t>shares of common stock at a price of $23.9999</w:t>
      </w:r>
      <w:r>
        <w:rPr>
          <w:rFonts w:ascii="Times New Roman" w:hAnsi="Times New Roman"/>
          <w:color w:val="000000"/>
          <w:sz w:val="20"/>
        </w:rPr>
        <w:t xml:space="preserve"> </w:t>
      </w:r>
      <w:r>
        <w:rPr>
          <w:rFonts w:ascii="Arial" w:hAnsi="Arial"/>
          <w:color w:val="000000"/>
          <w:sz w:val="20"/>
        </w:rPr>
        <w:t>per pre-funded warrant, which represents the price per share at which shares of common stock were sold in the 2026 Offering, minus $0.0001, which is the exercise price of each pre-funded warrant. The pre-funded warrants are immediately exercisable and may be exercised at any time until the pre-funded warrants are exercised in full. Aggregate gross proceeds from the 2026 Offering were $345.0</w:t>
      </w:r>
      <w:r>
        <w:rPr>
          <w:rFonts w:ascii="Times New Roman" w:hAnsi="Times New Roman"/>
          <w:color w:val="000000"/>
          <w:sz w:val="20"/>
        </w:rPr>
        <w:t xml:space="preserve"> </w:t>
      </w:r>
      <w:r>
        <w:rPr>
          <w:rFonts w:ascii="Arial" w:hAnsi="Arial"/>
          <w:color w:val="000000"/>
          <w:sz w:val="20"/>
        </w:rPr>
        <w:t>million, or aggregate net proceeds of $323.8</w:t>
      </w:r>
      <w:r>
        <w:rPr>
          <w:rFonts w:ascii="Times New Roman" w:hAnsi="Times New Roman"/>
          <w:color w:val="000000"/>
          <w:sz w:val="20"/>
        </w:rPr>
        <w:t xml:space="preserve"> </w:t>
      </w:r>
      <w:r>
        <w:rPr>
          <w:rFonts w:ascii="Arial" w:hAnsi="Arial"/>
          <w:color w:val="000000"/>
          <w:sz w:val="20"/>
        </w:rPr>
        <w:t>million after deducting the underwriter discounts, commissions, and other offering costs.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b/>
          <w:color w:val="000000"/>
          <w:sz w:val="24"/>
        </w:rPr>
        <w:t>11. Stock-based compensation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i/>
          <w:color w:val="000000"/>
          <w:sz w:val="20"/>
        </w:rPr>
        <w:t>2020 Stock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Company’s 2020 Stock Option and Grant Plan, or the 2020 Plan, provided for the Company to grant stock options, restricted stock and other stock awards, to employees, non-employee directors, and consultants. Upon the effectiveness of the 2021 Plan (as defined below), no further issuances were made under the 2020 Plan.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Arial" w:hAnsi="Arial"/>
          <w:b/>
          <w:i/>
          <w:color w:val="000000"/>
          <w:sz w:val="20"/>
        </w:rPr>
        <w:t>2021 Stock Option and Incentive Plan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The Company’s 2021 Stock Option and Incentive Plan, or the 2021 Plan, was approved by the Company’s board of directors on May 28, 2021 and the Company’s stockholders on June 17, 2021 and became effective on the date immediately prior to the date on which the registration statement for the Company’s initial public offering, or IPO, was declared effective. The 2021 Plan provides for the grant of incentive stock options; non-qualified stock options; stock appreciation rights; restricted stock units, or RSUs; restricted stock awards; unrestricted stock awards; cash-based awards and dividend equivalent rights to the Company’s officers, employees, directors and consultants. The number of shares initially reserved for issuance under the 2021 Plan was 4,903,145. Under the evergreen provision of the 2021 Plan, the shares available for issuance under the 2021 Plan will be automatically increased each January 1st by 5% of the outstanding number of shares of the Company’s common stock on the immediately preceding December 31st or such lesser number of shares as may be determined by the Company’s compensation, nomination and corporate governance committee. Effective January 1, 2026 the number of shares available under the 2021 Plan automatically increased by 3,277,186</w:t>
      </w:r>
      <w:r>
        <w:rPr>
          <w:rFonts w:ascii="Times New Roman" w:hAnsi="Times New Roman"/>
          <w:color w:val="000000"/>
          <w:sz w:val="20"/>
        </w:rPr>
        <w:t xml:space="preserve"> </w:t>
      </w:r>
      <w:r>
        <w:rPr>
          <w:rFonts w:ascii="Arial" w:hAnsi="Arial"/>
          <w:color w:val="000000"/>
          <w:sz w:val="20"/>
        </w:rPr>
        <w:t>shares pursuant to the evergreen provision of the 2021 Plan. As of June 30, 2026, 2,241,117</w:t>
      </w:r>
      <w:r>
        <w:rPr>
          <w:rFonts w:ascii="Times New Roman" w:hAnsi="Times New Roman"/>
          <w:color w:val="000000"/>
          <w:sz w:val="20"/>
        </w:rPr>
        <w:t xml:space="preserve"> </w:t>
      </w:r>
      <w:r>
        <w:rPr>
          <w:rFonts w:ascii="Arial" w:hAnsi="Arial"/>
          <w:color w:val="000000"/>
          <w:sz w:val="20"/>
        </w:rPr>
        <w:t>shares were available for issuance under the 2021 Plan.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i/>
          <w:color w:val="000000"/>
          <w:sz w:val="20"/>
        </w:rPr>
        <w:t>2021 Employee Stock Purchase Plan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The Company’s 2021 Employee Stock Purchase Plan, or the 2021 ESPP, was approved by the Company’s board of directors on May 28, 2021 and the Company’s stockholders on June 17, 2021 and became effective on the date immediately prior to the date on which the registration statement for the Company’s IPO was declared effective. A total of 439,849</w:t>
      </w:r>
      <w:r>
        <w:rPr>
          <w:rFonts w:ascii="Times New Roman" w:hAnsi="Times New Roman"/>
          <w:color w:val="000000"/>
          <w:sz w:val="20"/>
        </w:rPr>
        <w:t xml:space="preserve"> </w:t>
      </w:r>
      <w:r>
        <w:rPr>
          <w:rFonts w:ascii="Arial" w:hAnsi="Arial"/>
          <w:color w:val="000000"/>
          <w:sz w:val="20"/>
        </w:rPr>
        <w:t>shares of the Company’s common stock were initially reserved for issuance under the 2021 ESPP. The shares available for issuance under the 2021 ESPP will be automatically increased on each January 1st, through January 1, 2031, by the least of (i) 439,849</w:t>
      </w:r>
      <w:r>
        <w:rPr>
          <w:rFonts w:ascii="Times New Roman" w:hAnsi="Times New Roman"/>
          <w:color w:val="000000"/>
          <w:sz w:val="20"/>
        </w:rPr>
        <w:t xml:space="preserve"> </w:t>
      </w:r>
      <w:r>
        <w:rPr>
          <w:rFonts w:ascii="Arial" w:hAnsi="Arial"/>
          <w:color w:val="000000"/>
          <w:sz w:val="20"/>
        </w:rPr>
        <w:t>shares of the Company’s common stock, (ii) 1% of the outstanding number of shares of the Company’s common stock on the immediately preceding December 31st or (iii) such lesser number of shares of the Company’s common stock as determined by the plan administrator of the 2021 ESPP. Effective January 1, 2026 the number of shares available under the 2021 ESPP automatically increased by 439,849</w:t>
      </w:r>
      <w:r>
        <w:rPr>
          <w:rFonts w:ascii="Times New Roman" w:hAnsi="Times New Roman"/>
          <w:color w:val="000000"/>
          <w:sz w:val="20"/>
        </w:rPr>
        <w:t xml:space="preserve"> </w:t>
      </w:r>
      <w:r>
        <w:rPr>
          <w:rFonts w:ascii="Arial" w:hAnsi="Arial"/>
          <w:color w:val="000000"/>
          <w:sz w:val="20"/>
        </w:rPr>
        <w:t>shares pursuant to the evergreen provision of the 2021 ESPP. As of June 30, 2026, 2,078,644</w:t>
      </w:r>
      <w:r>
        <w:rPr>
          <w:rFonts w:ascii="Times New Roman" w:hAnsi="Times New Roman"/>
          <w:color w:val="000000"/>
          <w:sz w:val="20"/>
        </w:rPr>
        <w:t xml:space="preserve"> </w:t>
      </w:r>
      <w:r>
        <w:rPr>
          <w:rFonts w:ascii="Arial" w:hAnsi="Arial"/>
          <w:color w:val="000000"/>
          <w:sz w:val="20"/>
        </w:rPr>
        <w:t>shares were available for issuance under the 2021 ESPP.</w:t>
      </w:r>
    </w:p>
    <w:p>
      <w:pPr>
        <w:pStyle w:val="TextBody"/>
        <w:bidi w:val="0"/>
        <w:jc w:val="left"/>
        <w:rPr>
          <w:rFonts w:ascii="Times New Roman" w:hAnsi="Times New Roman"/>
          <w:sz w:val="20"/>
        </w:rPr>
      </w:pPr>
      <w:r>
        <w:rPr>
          <w:rFonts w:ascii="Arial" w:hAnsi="Arial"/>
          <w:b/>
          <w:i/>
          <w:color w:val="000000"/>
          <w:sz w:val="20"/>
        </w:rPr>
        <w:t>2026 Inducement Plan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The Company’s 2026 Inducement Plan, or the 2026 Plan, was approved by the Company’s board of directors on March 16, 2026 and became effective on the same date. The 2026 Plan provides for the grant of non-qualified stock options, stock appreciation rights, RSUs, restricted stock awards, unrestricted stock awards, and dividend equivalent rights exclusively to individuals who were not previously employees or directors of the Company, as an inducement material to the individuals' entry into employment with the Company and in accordance with the requirements of Nasdaq Stock Market Rule 5635(c)(4). The number of shares reserved for issuance under the 2026 Plan was 1,500,000. As of June 30, 2026, 1,428,075</w:t>
      </w:r>
      <w:r>
        <w:rPr>
          <w:rFonts w:ascii="Times New Roman" w:hAnsi="Times New Roman"/>
          <w:color w:val="000000"/>
          <w:sz w:val="20"/>
        </w:rPr>
        <w:t xml:space="preserve"> </w:t>
      </w:r>
      <w:r>
        <w:rPr>
          <w:rFonts w:ascii="Arial" w:hAnsi="Arial"/>
          <w:color w:val="000000"/>
          <w:sz w:val="20"/>
        </w:rPr>
        <w:t>shares were available for issuance under the 2026 Plan.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i/>
          <w:color w:val="000000"/>
          <w:sz w:val="20"/>
        </w:rPr>
        <w:t>Stock option activity</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Company has granted stock options to employees, non-employee directors, and others under the 2021 Plan and under the 2026 Plan.</w:t>
      </w:r>
    </w:p>
    <w:p>
      <w:pPr>
        <w:pStyle w:val="TextBody"/>
        <w:bidi w:val="0"/>
        <w:spacing w:before="120" w:after="283"/>
        <w:jc w:val="left"/>
        <w:rPr>
          <w:rFonts w:ascii="Times New Roman" w:hAnsi="Times New Roman"/>
          <w:sz w:val="20"/>
        </w:rPr>
      </w:pPr>
      <w:r>
        <w:rPr>
          <w:rFonts w:ascii="Arial" w:hAnsi="Arial"/>
          <w:color w:val="000000"/>
          <w:sz w:val="20"/>
        </w:rPr>
        <w:t>The following summarizes stock option activity:</w:t>
      </w:r>
      <w:r>
        <w:rPr>
          <w:rFonts w:ascii="Times New Roman" w:hAnsi="Times New Roman"/>
          <w:color w:val="000000"/>
          <w:sz w:val="20"/>
        </w:rPr>
        <w:t xml:space="preserve"> </w:t>
      </w:r>
    </w:p>
    <w:tbl>
      <w:tblPr>
        <w:tblW w:w="9368" w:type="dxa"/>
        <w:jc w:val="left"/>
        <w:tblInd w:w="0" w:type="dxa"/>
        <w:tblLayout w:type="fixed"/>
        <w:tblCellMar>
          <w:top w:w="28" w:type="dxa"/>
          <w:left w:w="28" w:type="dxa"/>
          <w:bottom w:w="28" w:type="dxa"/>
          <w:right w:w="28" w:type="dxa"/>
        </w:tblCellMar>
      </w:tblPr>
      <w:tblGrid>
        <w:gridCol w:w="3616"/>
        <w:gridCol w:w="146"/>
        <w:gridCol w:w="146"/>
        <w:gridCol w:w="1036"/>
        <w:gridCol w:w="166"/>
        <w:gridCol w:w="146"/>
        <w:gridCol w:w="230"/>
        <w:gridCol w:w="626"/>
        <w:gridCol w:w="146"/>
        <w:gridCol w:w="146"/>
        <w:gridCol w:w="289"/>
        <w:gridCol w:w="717"/>
        <w:gridCol w:w="146"/>
        <w:gridCol w:w="146"/>
        <w:gridCol w:w="271"/>
        <w:gridCol w:w="1004"/>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options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term</w:t>
              <w:br/>
              <w:t>(years)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2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 thousands)</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Outstanding—December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14,064,599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115,245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2,883,600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(921,552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Outstanding—June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15,939,132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239,640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Vested or expected to vest—June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15,939,132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239,640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Exercisable—June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9,332,001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149,726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aggregate intrinsic value of options granted is calculated as the difference between the exercise price of the options and the estimated fair value of the Company’s common stock.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b/>
          <w:i/>
          <w:color w:val="000000"/>
          <w:sz w:val="20"/>
        </w:rPr>
      </w:pPr>
      <w:r>
        <w:rPr>
          <w:rFonts w:ascii="Arial" w:hAnsi="Arial"/>
          <w:b/>
          <w:i/>
          <w:color w:val="000000"/>
          <w:sz w:val="20"/>
        </w:rPr>
        <w:t>Restricted stock unit activity</w:t>
      </w:r>
    </w:p>
    <w:p>
      <w:pPr>
        <w:pStyle w:val="TextBody"/>
        <w:bidi w:val="0"/>
        <w:spacing w:before="120" w:after="120"/>
        <w:jc w:val="left"/>
        <w:rPr>
          <w:rFonts w:ascii="Arial" w:hAnsi="Arial"/>
          <w:color w:val="000000"/>
          <w:sz w:val="20"/>
        </w:rPr>
      </w:pPr>
      <w:r>
        <w:rPr>
          <w:rFonts w:ascii="Arial" w:hAnsi="Arial"/>
          <w:color w:val="000000"/>
          <w:sz w:val="20"/>
        </w:rPr>
        <w:t>The Company has granted RSUs to employees under the 2021 Plan and under the 2026 Plan. Each of the RSUs represents the right to receive one share of the Company’s common stock upon vesting. The RSUs will typically vest over two or four years provided the individual remains in continuous service of the Company. Accordingly, stock-based compensation expense for each RSU is recognized on a straight-line basis over the vesting term. The fair value of each RSU is based on the closing price of the Company’s common stock on the date of grant.</w:t>
      </w:r>
    </w:p>
    <w:p>
      <w:pPr>
        <w:pStyle w:val="TextBody"/>
        <w:bidi w:val="0"/>
        <w:spacing w:before="0" w:after="120"/>
        <w:jc w:val="left"/>
        <w:rPr>
          <w:rFonts w:ascii="Arial" w:hAnsi="Arial"/>
          <w:color w:val="000000"/>
          <w:sz w:val="20"/>
        </w:rPr>
      </w:pPr>
      <w:r>
        <w:rPr>
          <w:rFonts w:ascii="Arial" w:hAnsi="Arial"/>
          <w:color w:val="000000"/>
          <w:sz w:val="20"/>
        </w:rPr>
        <w:t>The following summarizes RSU activity:</w:t>
      </w:r>
    </w:p>
    <w:tbl>
      <w:tblPr>
        <w:tblW w:w="7597" w:type="dxa"/>
        <w:jc w:val="left"/>
        <w:tblInd w:w="0" w:type="dxa"/>
        <w:tblLayout w:type="fixed"/>
        <w:tblCellMar>
          <w:top w:w="28" w:type="dxa"/>
          <w:left w:w="28" w:type="dxa"/>
          <w:bottom w:w="28" w:type="dxa"/>
          <w:right w:w="28" w:type="dxa"/>
        </w:tblCellMar>
      </w:tblPr>
      <w:tblGrid>
        <w:gridCol w:w="4696"/>
        <w:gridCol w:w="146"/>
        <w:gridCol w:w="146"/>
        <w:gridCol w:w="931"/>
        <w:gridCol w:w="166"/>
        <w:gridCol w:w="146"/>
        <w:gridCol w:w="263"/>
        <w:gridCol w:w="712"/>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7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br/>
              <w:t>of</w:t>
              <w:br/>
              <w:t>shares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grant date</w:t>
              <w:br/>
              <w:t>fair value</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Unvested restricted stock units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775,765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595,150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Unvested restricted stock units 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1,170,738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Arial" w:hAnsi="Arial"/>
          <w:color w:val="000000"/>
          <w:sz w:val="20"/>
        </w:rPr>
        <w:t>The aggregate fair value of RSUs that vested during the six months ended June 30, 2026 and 2025 was $2.9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$0.5</w:t>
      </w:r>
      <w:r>
        <w:rPr>
          <w:rFonts w:ascii="Times New Roman" w:hAnsi="Times New Roman"/>
          <w:color w:val="000000"/>
          <w:sz w:val="20"/>
        </w:rPr>
        <w:t xml:space="preserve"> </w:t>
      </w:r>
      <w:r>
        <w:rPr>
          <w:rFonts w:ascii="Arial" w:hAnsi="Arial"/>
          <w:color w:val="000000"/>
          <w:sz w:val="20"/>
        </w:rPr>
        <w:t>million, respectively. The weighted average grant date fair value of RSUs that vested during the six months ended June 30, 2026 and 2025 was $7.03</w:t>
      </w:r>
      <w:r>
        <w:rPr>
          <w:rFonts w:ascii="Times New Roman" w:hAnsi="Times New Roman"/>
          <w:color w:val="000000"/>
          <w:sz w:val="20"/>
        </w:rPr>
        <w:t xml:space="preserve"> </w:t>
      </w:r>
      <w:r>
        <w:rPr>
          <w:rFonts w:ascii="Arial" w:hAnsi="Arial"/>
          <w:color w:val="000000"/>
          <w:sz w:val="20"/>
        </w:rPr>
        <w:t>and $7.55</w:t>
      </w:r>
      <w:r>
        <w:rPr>
          <w:rFonts w:ascii="Times New Roman" w:hAnsi="Times New Roman"/>
          <w:color w:val="000000"/>
          <w:sz w:val="20"/>
        </w:rPr>
        <w:t xml:space="preserve"> </w:t>
      </w:r>
      <w:r>
        <w:rPr>
          <w:rFonts w:ascii="Arial" w:hAnsi="Arial"/>
          <w:color w:val="000000"/>
          <w:sz w:val="20"/>
        </w:rPr>
        <w:t>per share, respectively.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Stock-based compensation expense is classified as follows (in thousands):</w:t>
      </w:r>
      <w:r>
        <w:rPr>
          <w:rFonts w:ascii="Times New Roman" w:hAnsi="Times New Roman"/>
          <w:color w:val="000000"/>
          <w:sz w:val="20"/>
        </w:rPr>
        <w:t xml:space="preserve"> </w:t>
      </w:r>
    </w:p>
    <w:tbl>
      <w:tblPr>
        <w:tblW w:w="9228" w:type="dxa"/>
        <w:jc w:val="left"/>
        <w:tblInd w:w="0" w:type="dxa"/>
        <w:tblLayout w:type="fixed"/>
        <w:tblCellMar>
          <w:top w:w="28" w:type="dxa"/>
          <w:left w:w="28" w:type="dxa"/>
          <w:bottom w:w="28" w:type="dxa"/>
          <w:right w:w="28" w:type="dxa"/>
        </w:tblCellMar>
      </w:tblPr>
      <w:tblGrid>
        <w:gridCol w:w="3711"/>
        <w:gridCol w:w="146"/>
        <w:gridCol w:w="298"/>
        <w:gridCol w:w="807"/>
        <w:gridCol w:w="206"/>
        <w:gridCol w:w="206"/>
        <w:gridCol w:w="298"/>
        <w:gridCol w:w="807"/>
        <w:gridCol w:w="146"/>
        <w:gridCol w:w="146"/>
        <w:gridCol w:w="211"/>
        <w:gridCol w:w="676"/>
        <w:gridCol w:w="146"/>
        <w:gridCol w:w="146"/>
        <w:gridCol w:w="211"/>
        <w:gridCol w:w="676"/>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2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6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stock-based compensation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5,970</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As of June 30, 2026 total unrecognized stock-based compensation cost related to unvested stock options and restricted stock units was $48.4</w:t>
      </w:r>
      <w:r>
        <w:rPr>
          <w:rFonts w:ascii="Times New Roman" w:hAnsi="Times New Roman"/>
          <w:color w:val="000000"/>
          <w:sz w:val="20"/>
        </w:rPr>
        <w:t xml:space="preserve"> </w:t>
      </w:r>
      <w:r>
        <w:rPr>
          <w:rFonts w:ascii="Arial" w:hAnsi="Arial"/>
          <w:color w:val="000000"/>
          <w:sz w:val="20"/>
        </w:rPr>
        <w:t>million and $11.6</w:t>
      </w:r>
      <w:r>
        <w:rPr>
          <w:rFonts w:ascii="Times New Roman" w:hAnsi="Times New Roman"/>
          <w:color w:val="000000"/>
          <w:sz w:val="20"/>
        </w:rPr>
        <w:t xml:space="preserve"> </w:t>
      </w:r>
      <w:r>
        <w:rPr>
          <w:rFonts w:ascii="Arial" w:hAnsi="Arial"/>
          <w:color w:val="000000"/>
          <w:sz w:val="20"/>
        </w:rPr>
        <w:t>million, respectively. The Company expects to recognize this remaining cost over a weighted average period of 2.6</w:t>
      </w:r>
      <w:r>
        <w:rPr>
          <w:rFonts w:ascii="Times New Roman" w:hAnsi="Times New Roman"/>
          <w:color w:val="000000"/>
          <w:sz w:val="20"/>
        </w:rPr>
        <w:t xml:space="preserve"> </w:t>
      </w:r>
      <w:r>
        <w:rPr>
          <w:rFonts w:ascii="Arial" w:hAnsi="Arial"/>
          <w:color w:val="000000"/>
          <w:sz w:val="20"/>
        </w:rPr>
        <w:t>years and 3.0</w:t>
      </w:r>
      <w:r>
        <w:rPr>
          <w:rFonts w:ascii="Times New Roman" w:hAnsi="Times New Roman"/>
          <w:color w:val="000000"/>
          <w:sz w:val="20"/>
        </w:rPr>
        <w:t xml:space="preserve"> </w:t>
      </w:r>
      <w:r>
        <w:rPr>
          <w:rFonts w:ascii="Arial" w:hAnsi="Arial"/>
          <w:color w:val="000000"/>
          <w:sz w:val="20"/>
        </w:rPr>
        <w:t>years,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4"/>
        </w:rPr>
        <w:t>12. Income taxes</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The following table summarizes the income tax provision recorded (in thousands):</w:t>
      </w:r>
    </w:p>
    <w:tbl>
      <w:tblPr>
        <w:tblW w:w="6218" w:type="dxa"/>
        <w:jc w:val="left"/>
        <w:tblInd w:w="0" w:type="dxa"/>
        <w:tblLayout w:type="fixed"/>
        <w:tblCellMar>
          <w:top w:w="28" w:type="dxa"/>
          <w:left w:w="28" w:type="dxa"/>
          <w:bottom w:w="28" w:type="dxa"/>
          <w:right w:w="28" w:type="dxa"/>
        </w:tblCellMar>
      </w:tblPr>
      <w:tblGrid>
        <w:gridCol w:w="1801"/>
        <w:gridCol w:w="146"/>
        <w:gridCol w:w="217"/>
        <w:gridCol w:w="496"/>
        <w:gridCol w:w="171"/>
        <w:gridCol w:w="150"/>
        <w:gridCol w:w="217"/>
        <w:gridCol w:w="651"/>
        <w:gridCol w:w="166"/>
        <w:gridCol w:w="146"/>
        <w:gridCol w:w="211"/>
        <w:gridCol w:w="481"/>
        <w:gridCol w:w="166"/>
        <w:gridCol w:w="146"/>
        <w:gridCol w:w="211"/>
        <w:gridCol w:w="631"/>
        <w:gridCol w:w="21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0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provision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120"/>
        <w:jc w:val="left"/>
        <w:rPr>
          <w:rFonts w:ascii="Times New Roman" w:hAnsi="Times New Roman"/>
          <w:sz w:val="20"/>
        </w:rPr>
      </w:pPr>
      <w:r>
        <w:rPr>
          <w:rFonts w:ascii="Arial" w:hAnsi="Arial"/>
          <w:color w:val="000000"/>
          <w:sz w:val="20"/>
        </w:rPr>
        <w:t>For the three and six months ended June 30, 2026, the income tax provision was primarily related to interest income on marketable securities in Massachusetts. For the three and six months ended June 30, 2025, the income tax provision was primarily driven by the current federal and state taxes related to the $150</w:t>
      </w:r>
      <w:r>
        <w:rPr>
          <w:rFonts w:ascii="Times New Roman" w:hAnsi="Times New Roman"/>
          <w:color w:val="000000"/>
          <w:sz w:val="20"/>
        </w:rPr>
        <w:t xml:space="preserve"> </w:t>
      </w:r>
      <w:r>
        <w:rPr>
          <w:rFonts w:ascii="Arial" w:hAnsi="Arial"/>
          <w:color w:val="000000"/>
          <w:sz w:val="20"/>
        </w:rPr>
        <w:t>million upfront payment for the Novartis License Agreement, which was expected to be recognized as taxable net controlled foreign corporation tested income, or NCTI.</w:t>
      </w:r>
    </w:p>
    <w:p>
      <w:pPr>
        <w:pStyle w:val="TextBody"/>
        <w:bidi w:val="0"/>
        <w:spacing w:before="0" w:after="120"/>
        <w:jc w:val="left"/>
        <w:rPr>
          <w:rFonts w:ascii="Times New Roman" w:hAnsi="Times New Roman"/>
          <w:sz w:val="20"/>
        </w:rPr>
      </w:pPr>
      <w:r>
        <w:rPr>
          <w:rFonts w:ascii="Arial" w:hAnsi="Arial"/>
          <w:color w:val="000000"/>
          <w:sz w:val="20"/>
        </w:rPr>
        <w:t>The Company continues to maintain a full valuation allowance against all of its deferred tax assets. The Company has evaluated the positive and negative evidence involving its ability to realize its deferred tax assets. The Company has considered its history of cumulative net losses incurred since inception and its lack of any commercial products. The Company has concluded that</w:t>
      </w:r>
      <w:r>
        <w:rPr>
          <w:rFonts w:ascii="Times New Roman" w:hAnsi="Times New Roman"/>
          <w:color w:val="000000"/>
          <w:sz w:val="20"/>
        </w:rPr>
        <w:t xml:space="preserve"> </w:t>
      </w:r>
      <w:r>
        <w:rPr>
          <w:rFonts w:ascii="Arial" w:hAnsi="Arial"/>
          <w:color w:val="000000"/>
          <w:sz w:val="20"/>
        </w:rPr>
        <w:t>it is more likely than not that it will not realize the benefits of its deferred tax assets. The Company reevaluates the positive and negative evidence at each reporting period.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olor w:val="000000"/>
          <w:sz w:val="24"/>
        </w:rPr>
        <w:t>13. Net (loss) earnings per common share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Basic and diluted net (loss) earnings per share is calculated based upon the weighted-average number of shares of common stock outstanding during the period. Shares of the Company's common stock underlying pre-funded warrants are included in the calculation of the basic and diluted earnings per share.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Arial" w:hAnsi="Arial"/>
          <w:color w:val="000000"/>
          <w:sz w:val="20"/>
        </w:rPr>
        <w:t>Basic and diluted net (loss) earnings per share are as follows (in thousands except share and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534"/>
        <w:gridCol w:w="146"/>
        <w:gridCol w:w="211"/>
        <w:gridCol w:w="1141"/>
        <w:gridCol w:w="166"/>
        <w:gridCol w:w="146"/>
        <w:gridCol w:w="211"/>
        <w:gridCol w:w="1036"/>
        <w:gridCol w:w="166"/>
        <w:gridCol w:w="146"/>
        <w:gridCol w:w="211"/>
        <w:gridCol w:w="1141"/>
        <w:gridCol w:w="166"/>
        <w:gridCol w:w="146"/>
        <w:gridCol w:w="211"/>
        <w:gridCol w:w="1036"/>
        <w:gridCol w:w="391"/>
      </w:tblGrid>
      <w:tr>
        <w:trPr/>
        <w:tc>
          <w:tcPr>
            <w:tcW w:w="3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3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1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91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Basic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101,478,945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82,186,768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100,685,824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82,167,849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potentially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Stock 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651,925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Diluted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101,478,945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82,186,768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100,685,824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82,890,063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Basic net (loss)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Diluted net (loss)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outstanding potentially dilutive securities have been excluded from the calculation of diluted net (loss) earnings per common share, as their effect is anti-dilutive:</w:t>
      </w:r>
      <w:r>
        <w:rPr>
          <w:rFonts w:ascii="Times New Roman" w:hAnsi="Times New Roman"/>
          <w:color w:val="000000"/>
          <w:sz w:val="20"/>
        </w:rPr>
        <w:t xml:space="preserve"> </w:t>
      </w:r>
    </w:p>
    <w:tbl>
      <w:tblPr>
        <w:tblW w:w="9377" w:type="dxa"/>
        <w:jc w:val="left"/>
        <w:tblInd w:w="0" w:type="dxa"/>
        <w:tblLayout w:type="fixed"/>
        <w:tblCellMar>
          <w:top w:w="28" w:type="dxa"/>
          <w:left w:w="28" w:type="dxa"/>
          <w:bottom w:w="28" w:type="dxa"/>
          <w:right w:w="28" w:type="dxa"/>
        </w:tblCellMar>
      </w:tblPr>
      <w:tblGrid>
        <w:gridCol w:w="3436"/>
        <w:gridCol w:w="146"/>
        <w:gridCol w:w="146"/>
        <w:gridCol w:w="1036"/>
        <w:gridCol w:w="146"/>
        <w:gridCol w:w="146"/>
        <w:gridCol w:w="146"/>
        <w:gridCol w:w="1036"/>
        <w:gridCol w:w="146"/>
        <w:gridCol w:w="146"/>
        <w:gridCol w:w="146"/>
        <w:gridCol w:w="1036"/>
        <w:gridCol w:w="146"/>
        <w:gridCol w:w="146"/>
        <w:gridCol w:w="146"/>
        <w:gridCol w:w="1036"/>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5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65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br/>
              <w:t>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15,939,132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15,190,513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15,939,132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14,538,588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1,170,738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1,170,738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707,036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4"/>
        </w:rPr>
        <w:t>14. Employee retirement plans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The Company, in compliance with Swiss Law, is contracted with the AXA Leben AG, or AXA, for the provision of pension benefits in a defined benefit plan. All benefits are organized in a semi-autonomous collective foundation within the framework of the contract with AXA. Insurance benefits due are paid directly to the entitled persons by AXA in the name of and for the account of the collective foundation. The pension plan is financed by contributions of both employees and the Company. The contract between the Company and the collective foundation can be terminated by either side. In the event of a termination, the Company would have an obligation to find alternative pension arrangements for its employees. Because there is no guarantee that the employee pension arrangements would be continued under the same conditions, there is a risk, albeit remote, that a pension obligation may fall on the Company. The pension assets are pooled for all affiliated companies; the investment of assets is done by the governing bodies of the collective foundation.</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The following table summarizes pension expense incurred (in thousands):</w:t>
      </w:r>
    </w:p>
    <w:tbl>
      <w:tblPr>
        <w:tblW w:w="5753" w:type="dxa"/>
        <w:jc w:val="left"/>
        <w:tblInd w:w="0" w:type="dxa"/>
        <w:tblLayout w:type="fixed"/>
        <w:tblCellMar>
          <w:top w:w="28" w:type="dxa"/>
          <w:left w:w="28" w:type="dxa"/>
          <w:bottom w:w="28" w:type="dxa"/>
          <w:right w:w="28" w:type="dxa"/>
        </w:tblCellMar>
      </w:tblPr>
      <w:tblGrid>
        <w:gridCol w:w="1546"/>
        <w:gridCol w:w="146"/>
        <w:gridCol w:w="258"/>
        <w:gridCol w:w="515"/>
        <w:gridCol w:w="178"/>
        <w:gridCol w:w="178"/>
        <w:gridCol w:w="258"/>
        <w:gridCol w:w="515"/>
        <w:gridCol w:w="146"/>
        <w:gridCol w:w="146"/>
        <w:gridCol w:w="227"/>
        <w:gridCol w:w="454"/>
        <w:gridCol w:w="157"/>
        <w:gridCol w:w="157"/>
        <w:gridCol w:w="227"/>
        <w:gridCol w:w="454"/>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0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7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Pension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711</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Arial" w:hAnsi="Arial"/>
          <w:color w:val="000000"/>
          <w:sz w:val="20"/>
        </w:rPr>
        <w:t>In February 2021, the Company adopted a defined contribution plan intended to qualify under Section 401(k) of the Internal Revenue Code covering all eligible U.S. based employees of the Company. All employees are eligible to become participants of the plan immediately upon hire. Each active employee may elect, voluntarily, to contribute a percentage of their compensation to the plan each year, subject to certain limitations. The Company reserves the right, but is not obligated, to make additional contributions to this plan. The Company makes safe-harbor match contributions of 100% of the first 4% of each participant’s eligible compensation. In January 2024, the Company adopted a defined contribution supplemental pension plan for eligible Swiss based employees defined by Swiss Law Art.1e BVV 2, or the 1e Plan. Employees earning above a defined threshold are eligible and automatically enrolled in the 1e Plan and required contributions are determined by age and salary under Swiss Law. The Company and the employee share the costs of the 1e Plan.</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The following table summarizes defined contribution expenses incurred (in thousands):</w:t>
      </w:r>
    </w:p>
    <w:tbl>
      <w:tblPr>
        <w:tblW w:w="6728" w:type="dxa"/>
        <w:jc w:val="left"/>
        <w:tblInd w:w="0" w:type="dxa"/>
        <w:tblLayout w:type="fixed"/>
        <w:tblCellMar>
          <w:top w:w="28" w:type="dxa"/>
          <w:left w:w="28" w:type="dxa"/>
          <w:bottom w:w="28" w:type="dxa"/>
          <w:right w:w="28" w:type="dxa"/>
        </w:tblCellMar>
      </w:tblPr>
      <w:tblGrid>
        <w:gridCol w:w="2521"/>
        <w:gridCol w:w="146"/>
        <w:gridCol w:w="258"/>
        <w:gridCol w:w="515"/>
        <w:gridCol w:w="178"/>
        <w:gridCol w:w="178"/>
        <w:gridCol w:w="258"/>
        <w:gridCol w:w="515"/>
        <w:gridCol w:w="146"/>
        <w:gridCol w:w="146"/>
        <w:gridCol w:w="227"/>
        <w:gridCol w:w="454"/>
        <w:gridCol w:w="157"/>
        <w:gridCol w:w="157"/>
        <w:gridCol w:w="227"/>
        <w:gridCol w:w="454"/>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0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7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Defined contribution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733</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spacing w:before="180" w:after="120"/>
        <w:jc w:val="left"/>
        <w:rPr>
          <w:rFonts w:ascii="Arial" w:hAnsi="Arial"/>
          <w:b/>
          <w:color w:val="000000"/>
          <w:sz w:val="24"/>
        </w:rPr>
      </w:pPr>
      <w:r>
        <w:rPr>
          <w:rFonts w:ascii="Arial" w:hAnsi="Arial"/>
          <w:b/>
          <w:color w:val="000000"/>
          <w:sz w:val="24"/>
        </w:rPr>
        <w:t>15. Segment data</w:t>
      </w:r>
    </w:p>
    <w:p>
      <w:pPr>
        <w:pStyle w:val="TextBody"/>
        <w:bidi w:val="0"/>
        <w:spacing w:before="0" w:after="120"/>
        <w:jc w:val="left"/>
        <w:rPr>
          <w:rFonts w:ascii="Times New Roman" w:hAnsi="Times New Roman"/>
          <w:sz w:val="20"/>
        </w:rPr>
      </w:pPr>
      <w:r>
        <w:rPr>
          <w:rFonts w:ascii="Arial" w:hAnsi="Arial"/>
          <w:color w:val="000000"/>
          <w:sz w:val="20"/>
        </w:rPr>
        <w:t>The Company defines its segments based on the way in which internally reported financial information is regularly reviewed by the chief operating decision maker, or CODM, to analyze financial performance, make decisions, and allocate resources. The Company manages its operations as a single operating and reportable segment committed to developing a portfolio of novel and proprietary MGDs. MGDs are small molecule drugs that employ the body’s natural protein destruction mechanisms to selectively degrade therapeutically-relevant proteins. As the internal reporting is based on the consolidated results, the Company has identified one</w:t>
      </w:r>
      <w:r>
        <w:rPr>
          <w:rFonts w:ascii="Times New Roman" w:hAnsi="Times New Roman"/>
          <w:color w:val="000000"/>
          <w:sz w:val="20"/>
        </w:rPr>
        <w:t xml:space="preserve"> </w:t>
      </w:r>
      <w:r>
        <w:rPr>
          <w:rFonts w:ascii="Arial" w:hAnsi="Arial"/>
          <w:color w:val="000000"/>
          <w:sz w:val="20"/>
        </w:rPr>
        <w:t>operating and reportable segment. The CODM uses net (loss) income in the budget and forecasting process and considers budget-to-actual variances on a quarterly basis when making decisions about the allocation of operating and capital resources. The measure of the operating segment assets is reported on the condensed consolidated balance sheet as total assets.</w:t>
      </w:r>
    </w:p>
    <w:p>
      <w:pPr>
        <w:pStyle w:val="TextBody"/>
        <w:bidi w:val="0"/>
        <w:spacing w:before="0" w:after="120"/>
        <w:jc w:val="left"/>
        <w:rPr>
          <w:rFonts w:ascii="Times New Roman" w:hAnsi="Times New Roman"/>
          <w:sz w:val="20"/>
        </w:rPr>
      </w:pPr>
      <w:r>
        <w:rPr>
          <w:rFonts w:ascii="Arial" w:hAnsi="Arial"/>
          <w:color w:val="000000"/>
          <w:sz w:val="20"/>
        </w:rPr>
        <w:t>The accounting policies used in the segment reporting are the same as those described in the summary of significant accounting policies. (See Note 2 in our annual report on Form 10-K for the year ended December 31, 2025.) The Company’s CODM is the Chief Executive Officer.</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The Company's reportable segment net revenues and (loss) income for the three and six months ended June 30, 2026 and 2025 consisted of the following (in thousands):</w:t>
      </w:r>
    </w:p>
    <w:tbl>
      <w:tblPr>
        <w:tblW w:w="9940" w:type="dxa"/>
        <w:jc w:val="left"/>
        <w:tblInd w:w="0" w:type="dxa"/>
        <w:tblLayout w:type="fixed"/>
        <w:tblCellMar>
          <w:top w:w="28" w:type="dxa"/>
          <w:left w:w="28" w:type="dxa"/>
          <w:bottom w:w="28" w:type="dxa"/>
          <w:right w:w="28" w:type="dxa"/>
        </w:tblCellMar>
      </w:tblPr>
      <w:tblGrid>
        <w:gridCol w:w="4116"/>
        <w:gridCol w:w="146"/>
        <w:gridCol w:w="251"/>
        <w:gridCol w:w="876"/>
        <w:gridCol w:w="197"/>
        <w:gridCol w:w="173"/>
        <w:gridCol w:w="251"/>
        <w:gridCol w:w="876"/>
        <w:gridCol w:w="166"/>
        <w:gridCol w:w="146"/>
        <w:gridCol w:w="211"/>
        <w:gridCol w:w="736"/>
        <w:gridCol w:w="166"/>
        <w:gridCol w:w="146"/>
        <w:gridCol w:w="211"/>
        <w:gridCol w:w="781"/>
        <w:gridCol w:w="4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2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5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8,968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108,123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MRT-2359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3,520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MRT-6160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MRT-8102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8,660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CCNE1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development and discovery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9,796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9,450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Personnel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23,110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Overhead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16,079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Personnel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6,649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11,158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Facility costs and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8,129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(43,397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34,590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Other development and discovery expenses are related to the development of our QuEEN</w:t>
      </w:r>
      <w:r>
        <w:rPr>
          <w:rFonts w:ascii="Arial" w:hAnsi="Arial"/>
          <w:color w:val="000000"/>
          <w:sz w:val="13"/>
        </w:rPr>
        <w:t>TM</w:t>
      </w:r>
      <w:r>
        <w:rPr>
          <w:rFonts w:ascii="Times New Roman" w:hAnsi="Times New Roman"/>
          <w:color w:val="000000"/>
          <w:sz w:val="20"/>
        </w:rPr>
        <w:t xml:space="preserve"> </w:t>
      </w:r>
      <w:r>
        <w:rPr>
          <w:rFonts w:ascii="Arial" w:hAnsi="Arial"/>
          <w:color w:val="000000"/>
          <w:sz w:val="20"/>
        </w:rPr>
        <w:t>discovery engine and our disclosed and undisclosed programs, including CDK2. The Company's tangible assets are held in the U.S. and Switzerland with 37%</w:t>
      </w:r>
      <w:r>
        <w:rPr>
          <w:rFonts w:ascii="Times New Roman" w:hAnsi="Times New Roman"/>
          <w:color w:val="000000"/>
          <w:sz w:val="20"/>
        </w:rPr>
        <w:t xml:space="preserve"> </w:t>
      </w:r>
      <w:r>
        <w:rPr>
          <w:rFonts w:ascii="Arial" w:hAnsi="Arial"/>
          <w:color w:val="000000"/>
          <w:sz w:val="20"/>
        </w:rPr>
        <w:t>and 29%</w:t>
      </w:r>
      <w:r>
        <w:rPr>
          <w:rFonts w:ascii="Times New Roman" w:hAnsi="Times New Roman"/>
          <w:color w:val="000000"/>
          <w:sz w:val="20"/>
        </w:rPr>
        <w:t xml:space="preserve"> </w:t>
      </w:r>
      <w:r>
        <w:rPr>
          <w:rFonts w:ascii="Arial" w:hAnsi="Arial"/>
          <w:color w:val="000000"/>
          <w:sz w:val="20"/>
        </w:rPr>
        <w:t>of the assets held in Switzerland as of June 30, 2026 and December 31, 2025, respectively. All of the Company's collaboration revenue was generated in Switzerland during each of the three and six months ended June 30, 2026 and 2025.</w:t>
      </w:r>
    </w:p>
    <w:p>
      <w:pPr>
        <w:pStyle w:val="TextBody"/>
        <w:bidi w:val="0"/>
        <w:spacing w:before="360" w:after="120"/>
        <w:jc w:val="left"/>
        <w:rPr>
          <w:rFonts w:ascii="Times New Roman" w:hAnsi="Times New Roman"/>
          <w:sz w:val="20"/>
        </w:rPr>
      </w:pPr>
      <w:bookmarkStart w:id="9" w:name="item_2_mda"/>
      <w:bookmarkEnd w:id="9"/>
      <w:r>
        <w:rPr>
          <w:rFonts w:ascii="Arial" w:hAnsi="Arial"/>
          <w:b/>
          <w:color w:val="000000"/>
          <w:sz w:val="36"/>
        </w:rPr>
        <w:t>Item 2. Management’s discussion and analysis of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i/>
          <w:color w:val="000000"/>
          <w:sz w:val="20"/>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in “Part I, Item 1A, Risk Factors” in our 2025 Annual Report and under Part II, Item 1A, “Risk Factors” and elsewhere in this Quarterly Report. You should carefully read the “Risk Factors” section of this Quarterly Report to gain an understanding of the important factors that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rFonts w:ascii="Arial" w:hAnsi="Arial"/>
          <w:i/>
          <w:color w:val="000000"/>
          <w:sz w:val="20"/>
        </w:rPr>
      </w:pPr>
      <w:r>
        <w:rPr>
          <w:rFonts w:ascii="Arial" w:hAnsi="Arial"/>
          <w:i/>
          <w:color w:val="000000"/>
          <w:sz w:val="20"/>
        </w:rPr>
        <w:t>could cause actual results to differ materially from our forward-looking statements. Please also see the section entitled “Special note regarding forward-looking statements.”</w:t>
      </w:r>
    </w:p>
    <w:p>
      <w:pPr>
        <w:pStyle w:val="TextBody"/>
        <w:bidi w:val="0"/>
        <w:spacing w:before="240" w:after="283"/>
        <w:jc w:val="left"/>
        <w:rPr>
          <w:rFonts w:ascii="Times New Roman" w:hAnsi="Times New Roman"/>
          <w:sz w:val="20"/>
        </w:rPr>
      </w:pPr>
      <w:r>
        <w:rPr>
          <w:rFonts w:ascii="Arial" w:hAnsi="Arial"/>
          <w:b/>
          <w:color w:val="000000"/>
          <w:sz w:val="24"/>
        </w:rPr>
        <w:t>Overview</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We are a biotechnology company developing a portfolio of novel and proprietary MGDs. MGDs are small molecule drugs that employ the body’s natural protein destruction mechanisms to selectively degrade therapeutically-relevant proteins. MGDs work by inducing the engagement of defined surfaces identified on target proteins by an E3 ligase, such as cereblon. We have developed a proprietary and industry-leading protein degradation discovery engine, called QuEEN</w:t>
      </w:r>
      <w:r>
        <w:rPr>
          <w:rFonts w:ascii="Arial" w:hAnsi="Arial"/>
          <w:color w:val="000000"/>
          <w:sz w:val="13"/>
        </w:rPr>
        <w:t>TM</w:t>
      </w:r>
      <w:r>
        <w:rPr>
          <w:rFonts w:ascii="Times New Roman" w:hAnsi="Times New Roman"/>
          <w:color w:val="000000"/>
          <w:sz w:val="20"/>
        </w:rPr>
        <w:t xml:space="preserve"> </w:t>
      </w:r>
      <w:r>
        <w:rPr>
          <w:rFonts w:ascii="Arial" w:hAnsi="Arial"/>
          <w:color w:val="000000"/>
          <w:sz w:val="20"/>
        </w:rPr>
        <w:t>to enable our unique, and target-centric, MGD discovery and development and our rational design of MGD products. We believe our small molecule MGDs may give us significant advantages over existing therapeutic modalities, including other protein degradation approaches. We prioritize our product development on therapeutic targets backed by strong biological and genetic rationale with the goal of discovering and developing novel medicines.</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Monte Rosa Therapeutics AG, a Swiss operating company, was incorporated under the laws of Switzerland in April 2018. Monte Rosa Therapeutics, Inc. was incorporated in Delaware in November 2019. In 2020, through a common control reorganization, Monte Rosa Therapeutics, Inc. acquired the net assets and shareholding of Monte Rosa Therapeutics AG. Monte Rosa Therapeutics, Inc. includes wholly owned subsidiaries Monte Rosa Therapeutics AG and Monte Rosa Securities Corporation. We are headquartered in Boston, Massachusetts with research operations in both Boston and Basel, Switzerland.</w:t>
      </w:r>
    </w:p>
    <w:p>
      <w:pPr>
        <w:pStyle w:val="TextBody"/>
        <w:bidi w:val="0"/>
        <w:spacing w:before="120" w:after="120"/>
        <w:jc w:val="left"/>
        <w:rPr>
          <w:rFonts w:ascii="Times New Roman" w:hAnsi="Times New Roman"/>
          <w:sz w:val="20"/>
        </w:rPr>
      </w:pPr>
      <w:r>
        <w:rPr>
          <w:rFonts w:ascii="Arial" w:hAnsi="Arial"/>
          <w:b/>
          <w:color w:val="000000"/>
          <w:sz w:val="24"/>
        </w:rPr>
        <w:t>Liquidity</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To date, we have financed our operations primarily through the issuance and sale of convertible promissory notes, convertible preferred stock, public offerings of our common stock or warrants to purchase common stock, registered direct offerings, and through our collaboration agreements. Our primary use of cash is to fund operating expenses, which consist primarily of research and development expenditures and, to a lesser extent, general and administrative expenditures. From our inception through the date hereof, we raised an aggregate of $1.3 billion of gross proceeds from such transactions. Since inception, we have had significant operating losses. For the six months ended June 30, 2026, we reported a net loss of $87.9 million and for the year ended December 31, 2025, we reported a net loss of $38.6 million. As of June 30, 2026, we had an accumulated deficit of $565.1 million and had $626.0 million in cash, cash equivalents, restricted cash and marketable securities. We anticipate that our existing cash and cash equivalents and marketable securities support our cash runway into 2029.</w:t>
      </w:r>
    </w:p>
    <w:p>
      <w:pPr>
        <w:pStyle w:val="TextBody"/>
        <w:bidi w:val="0"/>
        <w:spacing w:before="120" w:after="120"/>
        <w:jc w:val="left"/>
        <w:rPr>
          <w:rFonts w:ascii="Arial" w:hAnsi="Arial"/>
          <w:b/>
          <w:color w:val="000000"/>
          <w:sz w:val="24"/>
        </w:rPr>
      </w:pPr>
      <w:r>
        <w:rPr>
          <w:rFonts w:ascii="Arial" w:hAnsi="Arial"/>
          <w:b/>
          <w:color w:val="000000"/>
          <w:sz w:val="24"/>
        </w:rPr>
        <w:t>Impact of global economic and political developments</w:t>
      </w:r>
    </w:p>
    <w:p>
      <w:pPr>
        <w:pStyle w:val="TextBody"/>
        <w:bidi w:val="0"/>
        <w:jc w:val="left"/>
        <w:rPr>
          <w:rFonts w:ascii="Arial" w:hAnsi="Arial"/>
          <w:color w:val="000000"/>
          <w:sz w:val="20"/>
        </w:rPr>
      </w:pPr>
      <w:r>
        <w:rPr>
          <w:rFonts w:ascii="Arial" w:hAnsi="Arial"/>
          <w:color w:val="000000"/>
          <w:sz w:val="20"/>
        </w:rPr>
        <w:t>The development of our product candidates could be disrupted and materially adversely affected in the future by global economic or political developments. In addition, economic uncertainty in global markets caused by political instability and conflict, and economic challenges caused by global pandemics or other public health events, may lead to market disruptions, including significant volatility in commodity prices, credit and capital market instability and supply chain interruptions. Our business, financial condition and results of operations could be materially and adversely affected by negative impacts on the global economy and capital markets resulting from these global economic conditions, particularly if such conditions are prolonged or worsen.</w:t>
      </w:r>
    </w:p>
    <w:p>
      <w:pPr>
        <w:pStyle w:val="TextBody"/>
        <w:bidi w:val="0"/>
        <w:spacing w:before="240" w:after="283"/>
        <w:jc w:val="left"/>
        <w:rPr>
          <w:rFonts w:ascii="Times New Roman" w:hAnsi="Times New Roman"/>
          <w:sz w:val="20"/>
        </w:rPr>
      </w:pPr>
      <w:r>
        <w:rPr>
          <w:rFonts w:ascii="Arial" w:hAnsi="Arial"/>
          <w:b/>
          <w:color w:val="000000"/>
          <w:sz w:val="24"/>
        </w:rPr>
        <w:t>Components of operating results</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Collaboration revenue</w:t>
      </w:r>
    </w:p>
    <w:p>
      <w:pPr>
        <w:pStyle w:val="TextBody"/>
        <w:bidi w:val="0"/>
        <w:spacing w:before="120" w:after="283"/>
        <w:jc w:val="left"/>
        <w:rPr>
          <w:rFonts w:ascii="Arial" w:hAnsi="Arial"/>
          <w:color w:val="000000"/>
          <w:sz w:val="20"/>
        </w:rPr>
      </w:pPr>
      <w:r>
        <w:rPr>
          <w:rFonts w:ascii="Arial" w:hAnsi="Arial"/>
          <w:color w:val="000000"/>
          <w:sz w:val="20"/>
        </w:rPr>
        <w:t>Collaboration revenue represents amounts earned from our collaboration and license agreements with Roche and Novartis. We expect that our revenue for the next several years will be derived primarily through our current collaboration and license agreements and any additional collaborations that we may enter into in the future.</w:t>
      </w:r>
    </w:p>
    <w:p>
      <w:pPr>
        <w:pStyle w:val="TextBody"/>
        <w:bidi w:val="0"/>
        <w:spacing w:before="120" w:after="120"/>
        <w:jc w:val="left"/>
        <w:rPr>
          <w:rFonts w:ascii="Times New Roman" w:hAnsi="Times New Roman"/>
          <w:sz w:val="20"/>
        </w:rPr>
      </w:pPr>
      <w:r>
        <w:rPr>
          <w:rFonts w:ascii="Arial" w:hAnsi="Arial"/>
          <w:b/>
          <w:i/>
          <w:color w:val="000000"/>
          <w:sz w:val="20"/>
        </w:rPr>
        <w:t>Roche collaboration and license agreement</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In October 2023, Monte Rosa AG entered into a collaboration and license agreement, or the Roche Agreement, with Roche Basel and Roche US, and together with Roche Basel, Roche. Pursuant to the Roche Agreement, the parties will seek to identify MGDs against targets in cancer and neurological diseases selected by Roche using our proprietary drug discovery engine, where a certain number of targets selected by Roche are for a limited time subject to replacement rights owned by Roche. We will lead preclinical discovery and research activities with Roche leading late preclinical and clinical development activities.</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Arial" w:hAnsi="Arial"/>
          <w:color w:val="000000"/>
          <w:sz w:val="20"/>
        </w:rPr>
      </w:pPr>
      <w:r>
        <w:rPr>
          <w:rFonts w:ascii="Arial" w:hAnsi="Arial"/>
          <w:color w:val="000000"/>
          <w:sz w:val="20"/>
        </w:rPr>
        <w:t>Under the Roche Agreement, Roche will have a worldwide, exclusive license under patents and know-how controlled by us to develop and commercialize products directed to applicable targets. The license exclusivity is subject to our retained rights solely to fulfill our obligations under the arrangement.</w:t>
      </w:r>
    </w:p>
    <w:p>
      <w:pPr>
        <w:pStyle w:val="TextBody"/>
        <w:bidi w:val="0"/>
        <w:spacing w:before="0" w:after="120"/>
        <w:jc w:val="left"/>
        <w:rPr>
          <w:rFonts w:ascii="Arial" w:hAnsi="Arial"/>
          <w:color w:val="000000"/>
          <w:sz w:val="20"/>
        </w:rPr>
      </w:pPr>
      <w:r>
        <w:rPr>
          <w:rFonts w:ascii="Arial" w:hAnsi="Arial"/>
          <w:color w:val="000000"/>
          <w:sz w:val="20"/>
        </w:rPr>
        <w:t>The research collaboration activities governed by the Roche Agreement are overseen by a joint research committee.</w:t>
      </w:r>
    </w:p>
    <w:p>
      <w:pPr>
        <w:pStyle w:val="TextBody"/>
        <w:bidi w:val="0"/>
        <w:spacing w:before="0" w:after="120"/>
        <w:jc w:val="left"/>
        <w:rPr>
          <w:rFonts w:ascii="Arial" w:hAnsi="Arial"/>
          <w:color w:val="000000"/>
          <w:sz w:val="20"/>
        </w:rPr>
      </w:pPr>
      <w:r>
        <w:rPr>
          <w:rFonts w:ascii="Arial" w:hAnsi="Arial"/>
          <w:color w:val="000000"/>
          <w:sz w:val="20"/>
        </w:rPr>
        <w:t>In November 2023, we received a $50.0 million non-refundable upfront payment for the initial set of targets. Pursuant to the terms of the Roche Agreement, we expect to be entitled to receive from Roche certain variable consideration including potential preclinical milestones up to $172 million, and potential clinical, commercial and sales milestones exceeding $2 billion. We are also eligible to receive tiered royalties ranging from high-single-digit percent to low-teens percent on any products that are commercialized by Roche as a result of the collaboration.</w:t>
      </w:r>
    </w:p>
    <w:p>
      <w:pPr>
        <w:pStyle w:val="TextBody"/>
        <w:bidi w:val="0"/>
        <w:spacing w:before="0" w:after="120"/>
        <w:jc w:val="left"/>
        <w:rPr>
          <w:rFonts w:ascii="Arial" w:hAnsi="Arial"/>
          <w:color w:val="000000"/>
          <w:sz w:val="20"/>
        </w:rPr>
      </w:pPr>
      <w:r>
        <w:rPr>
          <w:rFonts w:ascii="Arial" w:hAnsi="Arial"/>
          <w:color w:val="000000"/>
          <w:sz w:val="20"/>
        </w:rPr>
        <w:t>Unless earlier terminated, the Roche Agreement will remain in effect for each product licensed under the Roche Agreement until expiration of the royalty term for the applicable product. The parties have included termination provisions in the Roche Agreement, allowing termination of the Roche Agreement in its entirety, on a country-by-country or a target-by-target basis.</w:t>
      </w:r>
    </w:p>
    <w:p>
      <w:pPr>
        <w:pStyle w:val="TextBody"/>
        <w:bidi w:val="0"/>
        <w:spacing w:before="0" w:after="120"/>
        <w:jc w:val="left"/>
        <w:rPr>
          <w:rFonts w:ascii="Arial" w:hAnsi="Arial"/>
          <w:b/>
          <w:i/>
          <w:color w:val="000000"/>
          <w:sz w:val="20"/>
        </w:rPr>
      </w:pPr>
      <w:r>
        <w:rPr>
          <w:rFonts w:ascii="Arial" w:hAnsi="Arial"/>
          <w:b/>
          <w:i/>
          <w:color w:val="000000"/>
          <w:sz w:val="20"/>
        </w:rPr>
        <w:t>2024 Novartis license agreement</w:t>
      </w:r>
    </w:p>
    <w:p>
      <w:pPr>
        <w:pStyle w:val="TextBody"/>
        <w:bidi w:val="0"/>
        <w:spacing w:before="0" w:after="120"/>
        <w:jc w:val="left"/>
        <w:rPr>
          <w:rFonts w:ascii="Times New Roman" w:hAnsi="Times New Roman"/>
          <w:sz w:val="20"/>
        </w:rPr>
      </w:pPr>
      <w:r>
        <w:rPr>
          <w:rFonts w:ascii="Arial" w:hAnsi="Arial"/>
          <w:color w:val="000000"/>
          <w:sz w:val="20"/>
        </w:rPr>
        <w:t>In October 2024, Monte Rosa AG and Novartis entered into a license agreement, the 2024 Novartis Agreement, with Novartis. Pursuant to the 2024 Novartis Agreement, we granted to Novartis an exclusive, royalty-bearing, sublicensable and transferable license to develop, manufacture, and commercialize VAV1 MGDs, including MRT-6160. We were responsible for completing the Phase 1 clinical study and Novartis is responsible for all subsequent development and commercial activities starting at Phase 2. Development and commercial activities governed by the Novartis Agreement will be overseen by a Development Committee and a Commercialization Committee.</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In December 2024, we received a $150 million non-refundable upfront payment. Pursuant to the 2024 Novartis Agreement, we are eligible to receive from Novartis up to $2.1 billion in development, regulatory, and sales milestones, beginning upon initiation of Phase 2 studies including (a) potential development and regulatory milestone payments, exceeding $1.5 billion if multiple indications achieve regulatory approval in multiple territories, and (b) potential sales milestone payments in connection with sales outside of the U.S., and tiered royalties on sales outside of the U.S. Novartis will be responsible for costs associated with Phase 2 clinical studies. We and Novartis also agreed to a net profit and loss sharing arrangement prior to the initiation of Phase 3 clinical trials, pursuant to which we could co-fund any global clinical development from Phase 3 onwards and will share 30% of any profits and losses associated with the manufacturing and commercialization of the licensed products in the U.S. We have defined opportunities to opt out of the net profit and loss sharing arrangement. In such case, sales in the U.S. would be entitled to the potential sales milestone payments and tiered royalties as sales outside of the U.S. Any costs for any co-funded development and commercialization activities are subject to budgets reviewed by us and Novartis.</w:t>
      </w:r>
    </w:p>
    <w:p>
      <w:pPr>
        <w:pStyle w:val="TextBody"/>
        <w:bidi w:val="0"/>
        <w:spacing w:before="0" w:after="120"/>
        <w:jc w:val="left"/>
        <w:rPr>
          <w:rFonts w:ascii="Arial" w:hAnsi="Arial"/>
          <w:b/>
          <w:i/>
          <w:color w:val="000000"/>
          <w:sz w:val="20"/>
        </w:rPr>
      </w:pPr>
      <w:r>
        <w:rPr>
          <w:rFonts w:ascii="Arial" w:hAnsi="Arial"/>
          <w:b/>
          <w:i/>
          <w:color w:val="000000"/>
          <w:sz w:val="20"/>
        </w:rPr>
        <w:t>2025 Novartis license agreement</w:t>
      </w:r>
    </w:p>
    <w:p>
      <w:pPr>
        <w:pStyle w:val="TextBody"/>
        <w:bidi w:val="0"/>
        <w:spacing w:before="0" w:after="120"/>
        <w:jc w:val="left"/>
        <w:rPr>
          <w:rFonts w:ascii="Times New Roman" w:hAnsi="Times New Roman"/>
          <w:sz w:val="20"/>
        </w:rPr>
      </w:pPr>
      <w:r>
        <w:rPr>
          <w:rFonts w:ascii="Arial" w:hAnsi="Arial"/>
          <w:color w:val="000000"/>
          <w:sz w:val="20"/>
        </w:rPr>
        <w:t>In September 2025, Monte Rosa AG entered into a collaboration, option, and license agreement, the 2025 Novartis Agreement, with Novartis. Pursuant to the 2025 Novartis Agreement, we granted to Novartis an exclusive, royalty-bearing, sublicensable and transferable license to degraders for one I&amp;I program, or the First Licensed Program, and the exclusive option to obtain exclusive, royalty-bearing, sublicensable and transferable licenses with respect to two programs from our growing preclinical immunology portfolio, or the Options, and the programs, or the Optioned I&amp;I Programs. Such Options are individually exercisable at Novartis’ discretion until a program meets criteria for investigational new drug application-filing-readiness. On a program-by-program basis, if Novartis does not exercise an Option, all rights with respect to such program are retained by us; if Novartis does exercise its Option, such program becomes a Licensed Program, or together with the First Licensed Program, the Licensed Programs. Under the 2025 Novartis Agreement, we will apply our proprietary AI/ML-enabled QuEEN engine for the discovery and development of degraders for the First Licensed Program and the Optioned I&amp;I Programs. The Licensed Programs will be further developed and commercialized by Novartis, unless otherwise agreed to by the parties in accordance with the 2025 Novartis Agreement. Research activities for the Licensed Programs governed by the Agreement will be overseen by a Joint Research Committee.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20"/>
        </w:rPr>
        <w:t>In September 2025, we received a $120.0 million non-refundable upfront payment from Novartis. Pursuant to the 2025 Novartis Agreement, we are entitled to receive from Novartis payments to maintain the Options totaling up to $60.0 million, and are eligible to receive from Novartis (1) preclinical milestone payments relating to the First Licensed Program and option exercise payments related to the Options of up to $180.0 million, (2) up to $5.4 billion in clinical development, regulatory, and sales milestones relating to the First Licensed Program and the two Optioned I&amp;I Programs, beginning upon initiation of Phase 1 studies, including (a) potential development and regulatory milestone payments up to $2.2 billion if regulatory approval is achieved for multiple indications in multiple territories and (b) potential sales milestone payments up to $3.2 billion, allocated across licensed products, and (3) tiered royalties on global net sales in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Arial" w:hAnsi="Arial"/>
          <w:color w:val="000000"/>
          <w:sz w:val="20"/>
        </w:rPr>
      </w:pPr>
      <w:r>
        <w:rPr>
          <w:rFonts w:ascii="Arial" w:hAnsi="Arial"/>
          <w:color w:val="000000"/>
          <w:sz w:val="20"/>
        </w:rPr>
        <w:t>high-single to low double-digit range for the First Licensed Program and in the low double-digit range for the two Optioned I&amp;I Programs. We will be responsible for costs related to research activities, while Novartis will be responsible for costs related to development and commercialization activities.</w:t>
      </w:r>
    </w:p>
    <w:p>
      <w:pPr>
        <w:pStyle w:val="TextBody"/>
        <w:bidi w:val="0"/>
        <w:spacing w:before="0" w:after="120"/>
        <w:jc w:val="left"/>
        <w:rPr>
          <w:rFonts w:ascii="Times New Roman" w:hAnsi="Times New Roman"/>
          <w:sz w:val="20"/>
        </w:rPr>
      </w:pPr>
      <w:r>
        <w:rPr>
          <w:rFonts w:ascii="Arial" w:hAnsi="Arial"/>
          <w:b/>
          <w:i/>
          <w:color w:val="000000"/>
          <w:sz w:val="20"/>
        </w:rPr>
        <w:t>Research and development expenses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Our research and development expenses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expenses incurred under agreements with consultants, third-party service providers that conduct research and development activities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personnel costs, which include salaries, benefits, pension and stock-based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laboratory and vendor expenses related to the execution of preclinical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laboratory supplies and materials used for internal research and development activities;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facilities and equipment costs. </w:t>
      </w:r>
    </w:p>
    <w:p>
      <w:pPr>
        <w:pStyle w:val="TextBody"/>
        <w:bidi w:val="0"/>
        <w:spacing w:before="120" w:after="120"/>
        <w:jc w:val="left"/>
        <w:rPr>
          <w:rFonts w:ascii="Times New Roman" w:hAnsi="Times New Roman"/>
          <w:sz w:val="20"/>
        </w:rPr>
      </w:pPr>
      <w:r>
        <w:rPr>
          <w:rFonts w:ascii="Arial" w:hAnsi="Arial"/>
          <w:color w:val="000000"/>
          <w:sz w:val="20"/>
        </w:rPr>
        <w:t>Most of our research and development expenses have been related to the development of our QuEEN</w:t>
      </w:r>
      <w:r>
        <w:rPr>
          <w:rFonts w:ascii="Arial" w:hAnsi="Arial"/>
          <w:color w:val="000000"/>
          <w:sz w:val="13"/>
        </w:rPr>
        <w:t>TM</w:t>
      </w:r>
      <w:r>
        <w:rPr>
          <w:rFonts w:ascii="Times New Roman" w:hAnsi="Times New Roman"/>
          <w:color w:val="000000"/>
          <w:sz w:val="20"/>
        </w:rPr>
        <w:t xml:space="preserve"> </w:t>
      </w:r>
      <w:r>
        <w:rPr>
          <w:rFonts w:ascii="Arial" w:hAnsi="Arial"/>
          <w:color w:val="000000"/>
          <w:sz w:val="20"/>
        </w:rPr>
        <w:t>discovery engine and advancement of our GSPT1, NEK7, and VAV1 programs, and advancement of our disclosed and undisclosed programs including for CDK2 and CCNE1.</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expect our research and development expenses to increase substantially for the foreseeable future as we continue to invest in research and development activities related to developing our product candidates, including investments in manufacturing, as we advance our programs and conduct clinical trials.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the costs of related clinical development costs or when and to what extent we will generate revenue from the commercialization and sale of any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Our general and administrative expenses consist primarily of personnel costs and other expenses for outside professional services, including legal fees relating to patent and corporate matters, professional fees for accounting, auditing, tax and administrative consulting services, insurance costs and other operating costs. We expect our general and administrative expenses to increase over the next several years to support our continued research and development activities, manufacturing activities, and the potential commercialization of our product candidates and development of commercial infrastructure.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Non-operating income and (expense)</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Our non-operating income and (expense) includes (i) interest earned on our investments, including principally U.S. government-backed money-market funds and marketable securities; (ii) gains and losses on transactions of our Swiss subsidiary denominated in currencies other than the U.S. Dollar; and (iii) proceeds from the sale of fixed assets.</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b/>
          <w:color w:val="000000"/>
          <w:sz w:val="24"/>
        </w:rPr>
      </w:pPr>
      <w:r>
        <w:rPr>
          <w:rFonts w:ascii="Arial" w:hAnsi="Arial"/>
          <w:b/>
          <w:color w:val="000000"/>
          <w:sz w:val="24"/>
        </w:rPr>
        <w:t>Results of operations for the three months ended June 30, 2026 and 2025</w:t>
      </w:r>
    </w:p>
    <w:p>
      <w:pPr>
        <w:pStyle w:val="TextBody"/>
        <w:bidi w:val="0"/>
        <w:spacing w:before="120" w:after="120"/>
        <w:jc w:val="left"/>
        <w:rPr>
          <w:rFonts w:ascii="Times New Roman" w:hAnsi="Times New Roman"/>
          <w:sz w:val="20"/>
        </w:rPr>
      </w:pPr>
      <w:r>
        <w:rPr>
          <w:rFonts w:ascii="Arial" w:hAnsi="Arial"/>
          <w:color w:val="000000"/>
          <w:sz w:val="20"/>
        </w:rPr>
        <w:t>The following sets forth our results of operations (in thousands):</w:t>
      </w:r>
      <w:r>
        <w:rPr>
          <w:rFonts w:ascii="Times New Roman" w:hAnsi="Times New Roman"/>
          <w:color w:val="000000"/>
          <w:sz w:val="20"/>
        </w:rPr>
        <w:t xml:space="preserve"> </w:t>
      </w:r>
    </w:p>
    <w:tbl>
      <w:tblPr>
        <w:tblW w:w="6951" w:type="dxa"/>
        <w:jc w:val="left"/>
        <w:tblInd w:w="0" w:type="dxa"/>
        <w:tblLayout w:type="fixed"/>
        <w:tblCellMar>
          <w:top w:w="28" w:type="dxa"/>
          <w:left w:w="28" w:type="dxa"/>
          <w:bottom w:w="28" w:type="dxa"/>
          <w:right w:w="28" w:type="dxa"/>
        </w:tblCellMar>
      </w:tblPr>
      <w:tblGrid>
        <w:gridCol w:w="2586"/>
        <w:gridCol w:w="146"/>
        <w:gridCol w:w="211"/>
        <w:gridCol w:w="736"/>
        <w:gridCol w:w="166"/>
        <w:gridCol w:w="146"/>
        <w:gridCol w:w="211"/>
        <w:gridCol w:w="736"/>
        <w:gridCol w:w="166"/>
        <w:gridCol w:w="146"/>
        <w:gridCol w:w="287"/>
        <w:gridCol w:w="1003"/>
        <w:gridCol w:w="4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0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(32,093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120"/>
        <w:jc w:val="left"/>
        <w:rPr>
          <w:rFonts w:ascii="Arial" w:hAnsi="Arial"/>
          <w:b/>
          <w:i/>
          <w:color w:val="000000"/>
          <w:sz w:val="20"/>
        </w:rPr>
      </w:pPr>
      <w:r>
        <w:rPr>
          <w:rFonts w:ascii="Arial" w:hAnsi="Arial"/>
          <w:b/>
          <w:i/>
          <w:color w:val="000000"/>
          <w:sz w:val="20"/>
        </w:rPr>
        <w:t>Collaboration revenue</w:t>
      </w:r>
    </w:p>
    <w:p>
      <w:pPr>
        <w:pStyle w:val="TextBody"/>
        <w:bidi w:val="0"/>
        <w:spacing w:before="0" w:after="120"/>
        <w:jc w:val="left"/>
        <w:rPr>
          <w:rFonts w:ascii="Times New Roman" w:hAnsi="Times New Roman"/>
          <w:sz w:val="20"/>
        </w:rPr>
      </w:pPr>
      <w:r>
        <w:rPr>
          <w:rFonts w:ascii="Arial" w:hAnsi="Arial"/>
          <w:color w:val="000000"/>
          <w:sz w:val="20"/>
        </w:rPr>
        <w:t>Collaboration revenue of $9.0 million and $23.2 million for the three months ended June 30, 2026 and 2025, respectively, represents revenue recorded under our collaboration and license agreements with Roche and Novartis, with higher revenues in the three months ended June 30, 2025 primarily related the non-refundable upfront payment from Novartis under the 2025 Novartis Agreement.</w:t>
      </w:r>
      <w:r>
        <w:rPr>
          <w:rFonts w:ascii="Times New Roman" w:hAnsi="Times New Roman"/>
          <w:color w:val="000000"/>
          <w:sz w:val="20"/>
        </w:rPr>
        <w:t xml:space="preserve"> </w:t>
      </w:r>
    </w:p>
    <w:p>
      <w:pPr>
        <w:pStyle w:val="TextBody"/>
        <w:bidi w:val="0"/>
        <w:spacing w:before="0" w:after="120"/>
        <w:jc w:val="left"/>
        <w:rPr>
          <w:rFonts w:ascii="Arial" w:hAnsi="Arial"/>
          <w:b/>
          <w:i/>
          <w:color w:val="000000"/>
          <w:sz w:val="20"/>
        </w:rPr>
      </w:pPr>
      <w:r>
        <w:rPr>
          <w:rFonts w:ascii="Arial" w:hAnsi="Arial"/>
          <w:b/>
          <w:i/>
          <w:color w:val="000000"/>
          <w:sz w:val="20"/>
        </w:rPr>
        <w:t>Research and development expenses</w:t>
      </w:r>
    </w:p>
    <w:p>
      <w:pPr>
        <w:pStyle w:val="TextBody"/>
        <w:bidi w:val="0"/>
        <w:spacing w:before="0" w:after="120"/>
        <w:jc w:val="left"/>
        <w:rPr>
          <w:rFonts w:ascii="Times New Roman" w:hAnsi="Times New Roman"/>
          <w:sz w:val="20"/>
        </w:rPr>
      </w:pPr>
      <w:r>
        <w:rPr>
          <w:rFonts w:ascii="Arial" w:hAnsi="Arial"/>
          <w:color w:val="000000"/>
          <w:sz w:val="20"/>
        </w:rPr>
        <w:t>We use our personnel and infrastructure resources across the breadth of our research and development activities, which are directed toward identifying and developing product candidates. As such, we do not track all of our internal research and development expenses on a program-by-program basis.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20"/>
        </w:rPr>
        <w:t>The following table summarizes our research and development expense (in thousands):</w:t>
      </w:r>
      <w:r>
        <w:rPr>
          <w:rFonts w:ascii="Times New Roman" w:hAnsi="Times New Roman"/>
          <w:color w:val="000000"/>
          <w:sz w:val="20"/>
        </w:rPr>
        <w:t xml:space="preserve"> </w:t>
      </w:r>
    </w:p>
    <w:tbl>
      <w:tblPr>
        <w:tblW w:w="8096" w:type="dxa"/>
        <w:jc w:val="left"/>
        <w:tblInd w:w="0" w:type="dxa"/>
        <w:tblLayout w:type="fixed"/>
        <w:tblCellMar>
          <w:top w:w="28" w:type="dxa"/>
          <w:left w:w="28" w:type="dxa"/>
          <w:bottom w:w="28" w:type="dxa"/>
          <w:right w:w="28" w:type="dxa"/>
        </w:tblCellMar>
      </w:tblPr>
      <w:tblGrid>
        <w:gridCol w:w="3891"/>
        <w:gridCol w:w="146"/>
        <w:gridCol w:w="211"/>
        <w:gridCol w:w="676"/>
        <w:gridCol w:w="146"/>
        <w:gridCol w:w="146"/>
        <w:gridCol w:w="211"/>
        <w:gridCol w:w="676"/>
        <w:gridCol w:w="146"/>
        <w:gridCol w:w="146"/>
        <w:gridCol w:w="307"/>
        <w:gridCol w:w="983"/>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6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2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External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MRT-2359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MRT-6160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MRT-8102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CCNE1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development and discovery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Personnel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Overhead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research and development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As of June 30, 2026 and 2025, respectively, we had 136 and 112 employees engaged in research and development activities in our facilities in the U.S. and Switzerland.</w:t>
      </w:r>
    </w:p>
    <w:p>
      <w:pPr>
        <w:pStyle w:val="TextBody"/>
        <w:bidi w:val="0"/>
        <w:spacing w:before="0" w:after="120"/>
        <w:jc w:val="left"/>
        <w:rPr>
          <w:rFonts w:ascii="Arial" w:hAnsi="Arial"/>
          <w:color w:val="000000"/>
          <w:sz w:val="20"/>
        </w:rPr>
      </w:pPr>
      <w:r>
        <w:rPr>
          <w:rFonts w:ascii="Arial" w:hAnsi="Arial"/>
          <w:color w:val="000000"/>
          <w:sz w:val="20"/>
        </w:rPr>
        <w:t>Most of our research and development expenses were driven by the successful achievement of key research milestones in our research and development organization, including the continuation of the MRT-2359 and MRT-8102 clinical studies, the progression of our preclinical pipeline including research performed for our collaborations with Roche and Novartis, and the continued development of our QuEEN discovery engine, and reflect increased personnel expense and external R&amp;D costs to for the continued advancement of our pipeline. Research and development expenses for the three months ended June 30, 2026 and 2025 included non-cash stock-based compensation expense of $3.3 million and $2.9 million, respectively.</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Arial" w:hAnsi="Arial"/>
          <w:b/>
          <w:i/>
          <w:color w:val="000000"/>
          <w:sz w:val="20"/>
        </w:rPr>
        <w:t>General and administrative expenses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20"/>
        </w:rPr>
        <w:t>General and administrative expenses to support our business activities were comprised of (in thousands):</w:t>
      </w:r>
      <w:r>
        <w:rPr>
          <w:rFonts w:ascii="Times New Roman" w:hAnsi="Times New Roman"/>
          <w:color w:val="000000"/>
          <w:sz w:val="20"/>
        </w:rPr>
        <w:t xml:space="preserve"> </w:t>
      </w:r>
    </w:p>
    <w:tbl>
      <w:tblPr>
        <w:tblW w:w="7466" w:type="dxa"/>
        <w:jc w:val="left"/>
        <w:tblInd w:w="0" w:type="dxa"/>
        <w:tblLayout w:type="fixed"/>
        <w:tblCellMar>
          <w:top w:w="28" w:type="dxa"/>
          <w:left w:w="28" w:type="dxa"/>
          <w:bottom w:w="28" w:type="dxa"/>
          <w:right w:w="28" w:type="dxa"/>
        </w:tblCellMar>
      </w:tblPr>
      <w:tblGrid>
        <w:gridCol w:w="3586"/>
        <w:gridCol w:w="146"/>
        <w:gridCol w:w="211"/>
        <w:gridCol w:w="676"/>
        <w:gridCol w:w="146"/>
        <w:gridCol w:w="146"/>
        <w:gridCol w:w="211"/>
        <w:gridCol w:w="571"/>
        <w:gridCol w:w="146"/>
        <w:gridCol w:w="146"/>
        <w:gridCol w:w="348"/>
        <w:gridCol w:w="942"/>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 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Facility costs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general and administrative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As of June 30, 2026 and 2025, respectively, we had 37 and 30 employees engaged in general and administrative activities. General and administrative expenses included non-cash stock-based compensation of $2.7 million and $2.0 million for the three months ended June 30, 2026 and 2025, respectively.</w:t>
      </w:r>
    </w:p>
    <w:p>
      <w:pPr>
        <w:pStyle w:val="TextBody"/>
        <w:bidi w:val="0"/>
        <w:spacing w:before="0" w:after="120"/>
        <w:jc w:val="left"/>
        <w:rPr>
          <w:rFonts w:ascii="Arial" w:hAnsi="Arial"/>
          <w:b/>
          <w:i/>
          <w:color w:val="000000"/>
          <w:sz w:val="20"/>
        </w:rPr>
      </w:pPr>
      <w:r>
        <w:rPr>
          <w:rFonts w:ascii="Arial" w:hAnsi="Arial"/>
          <w:b/>
          <w:i/>
          <w:color w:val="000000"/>
          <w:sz w:val="20"/>
        </w:rPr>
        <w:t>Other income</w:t>
      </w:r>
    </w:p>
    <w:p>
      <w:pPr>
        <w:pStyle w:val="TextBody"/>
        <w:bidi w:val="0"/>
        <w:spacing w:before="0" w:after="120"/>
        <w:jc w:val="left"/>
        <w:rPr>
          <w:rFonts w:ascii="Times New Roman" w:hAnsi="Times New Roman"/>
          <w:sz w:val="20"/>
        </w:rPr>
      </w:pPr>
      <w:r>
        <w:rPr>
          <w:rFonts w:ascii="Arial" w:hAnsi="Arial"/>
          <w:color w:val="000000"/>
          <w:sz w:val="20"/>
        </w:rPr>
        <w:t>Other income was comprised of (in thousands):</w:t>
      </w:r>
      <w:r>
        <w:rPr>
          <w:rFonts w:ascii="Times New Roman" w:hAnsi="Times New Roman"/>
          <w:color w:val="000000"/>
          <w:sz w:val="20"/>
        </w:rPr>
        <w:t xml:space="preserve"> </w:t>
      </w:r>
    </w:p>
    <w:tbl>
      <w:tblPr>
        <w:tblW w:w="6602" w:type="dxa"/>
        <w:jc w:val="left"/>
        <w:tblInd w:w="0" w:type="dxa"/>
        <w:tblLayout w:type="fixed"/>
        <w:tblCellMar>
          <w:top w:w="28" w:type="dxa"/>
          <w:left w:w="28" w:type="dxa"/>
          <w:bottom w:w="28" w:type="dxa"/>
          <w:right w:w="28" w:type="dxa"/>
        </w:tblCellMar>
      </w:tblPr>
      <w:tblGrid>
        <w:gridCol w:w="2761"/>
        <w:gridCol w:w="146"/>
        <w:gridCol w:w="216"/>
        <w:gridCol w:w="586"/>
        <w:gridCol w:w="149"/>
        <w:gridCol w:w="149"/>
        <w:gridCol w:w="216"/>
        <w:gridCol w:w="586"/>
        <w:gridCol w:w="146"/>
        <w:gridCol w:w="146"/>
        <w:gridCol w:w="323"/>
        <w:gridCol w:w="967"/>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0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ended </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 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5,916</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Foreign currency exchange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w:t>
            </w:r>
          </w:p>
        </w:tc>
        <w:tc>
          <w:tcPr>
            <w:tcW w:w="1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4,458</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1,483</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Other income for the three months ended June 30, 2026 and 2025 was primarily attributable to interest earned on marketable securities. The increase in interest income for the three months ended June 30, 2026 as compared to the three months ended June 30, 2025 was principally attributable to higher average balances in marketable securities. Foreign exchange gain on transactions denominated in currency other than the U.S. dollar decreased in the three months ended June 30, 2026, as to compared to the three months ended June 30, 2025, primarily due to changes in the exchange rates between the U.S. Dollar and, principally, the Swiss Franc.</w:t>
      </w:r>
    </w:p>
    <w:p>
      <w:pPr>
        <w:pStyle w:val="TextBody"/>
        <w:bidi w:val="0"/>
        <w:spacing w:before="0" w:after="120"/>
        <w:jc w:val="left"/>
        <w:rPr>
          <w:rFonts w:ascii="Arial" w:hAnsi="Arial"/>
          <w:b/>
          <w:i/>
          <w:color w:val="000000"/>
          <w:sz w:val="20"/>
        </w:rPr>
      </w:pPr>
      <w:r>
        <w:rPr>
          <w:rFonts w:ascii="Arial" w:hAnsi="Arial"/>
          <w:b/>
          <w:i/>
          <w:color w:val="000000"/>
          <w:sz w:val="20"/>
        </w:rPr>
        <w:t>Income tax provision</w:t>
      </w:r>
    </w:p>
    <w:p>
      <w:pPr>
        <w:pStyle w:val="TextBody"/>
        <w:bidi w:val="0"/>
        <w:spacing w:before="0" w:after="120"/>
        <w:jc w:val="left"/>
        <w:rPr>
          <w:rFonts w:ascii="Arial" w:hAnsi="Arial"/>
          <w:color w:val="000000"/>
          <w:sz w:val="20"/>
        </w:rPr>
      </w:pPr>
      <w:r>
        <w:rPr>
          <w:rFonts w:ascii="Arial" w:hAnsi="Arial"/>
          <w:color w:val="000000"/>
          <w:sz w:val="20"/>
        </w:rPr>
        <w:t>For the three months ended June 30, 2026, the income tax provision was primarily related to interest income on marketable securities in Massachusetts.</w:t>
      </w:r>
    </w:p>
    <w:p>
      <w:pPr>
        <w:pStyle w:val="TextBody"/>
        <w:bidi w:val="0"/>
        <w:jc w:val="left"/>
        <w:rPr>
          <w:rFonts w:ascii="Times New Roman" w:hAnsi="Times New Roman"/>
          <w:sz w:val="20"/>
        </w:rPr>
      </w:pPr>
      <w:r>
        <w:rPr>
          <w:rFonts w:ascii="Arial" w:hAnsi="Arial"/>
          <w:color w:val="000000"/>
          <w:sz w:val="20"/>
        </w:rPr>
        <w:t>For the three months ended June 30, 2025, we recorded a provision for income taxes of $1.2 million, primarily driven by the current federal and state taxes related to the $150 million upfront payment for the Novartis License Agreement, which was expected to be recognized as taxable net controlled foreign corporation tested income, or NCTI.</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4"/>
        </w:rPr>
      </w:pPr>
      <w:r>
        <w:rPr>
          <w:rFonts w:ascii="Arial" w:hAnsi="Arial"/>
          <w:b/>
          <w:color w:val="000000"/>
          <w:sz w:val="24"/>
        </w:rPr>
        <w:t>Results of operations for the six months ended June 30, 2026 and 2025</w:t>
      </w:r>
    </w:p>
    <w:p>
      <w:pPr>
        <w:pStyle w:val="TextBody"/>
        <w:bidi w:val="0"/>
        <w:spacing w:before="120" w:after="120"/>
        <w:jc w:val="left"/>
        <w:rPr>
          <w:rFonts w:ascii="Times New Roman" w:hAnsi="Times New Roman"/>
          <w:sz w:val="20"/>
        </w:rPr>
      </w:pPr>
      <w:r>
        <w:rPr>
          <w:rFonts w:ascii="Arial" w:hAnsi="Arial"/>
          <w:color w:val="000000"/>
          <w:sz w:val="20"/>
        </w:rPr>
        <w:t>The following sets forth our results of operations (in thousands):</w:t>
      </w:r>
      <w:r>
        <w:rPr>
          <w:rFonts w:ascii="Times New Roman" w:hAnsi="Times New Roman"/>
          <w:color w:val="000000"/>
          <w:sz w:val="20"/>
        </w:rPr>
        <w:t xml:space="preserve"> </w:t>
      </w:r>
    </w:p>
    <w:tbl>
      <w:tblPr>
        <w:tblW w:w="7696" w:type="dxa"/>
        <w:jc w:val="left"/>
        <w:tblInd w:w="0" w:type="dxa"/>
        <w:tblLayout w:type="fixed"/>
        <w:tblCellMar>
          <w:top w:w="28" w:type="dxa"/>
          <w:left w:w="28" w:type="dxa"/>
          <w:bottom w:w="28" w:type="dxa"/>
          <w:right w:w="28" w:type="dxa"/>
        </w:tblCellMar>
      </w:tblPr>
      <w:tblGrid>
        <w:gridCol w:w="3241"/>
        <w:gridCol w:w="146"/>
        <w:gridCol w:w="211"/>
        <w:gridCol w:w="781"/>
        <w:gridCol w:w="166"/>
        <w:gridCol w:w="146"/>
        <w:gridCol w:w="211"/>
        <w:gridCol w:w="781"/>
        <w:gridCol w:w="166"/>
        <w:gridCol w:w="146"/>
        <w:gridCol w:w="258"/>
        <w:gridCol w:w="1032"/>
        <w:gridCol w:w="4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9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(94,945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(127,646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tax provision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(122,490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120"/>
        <w:jc w:val="left"/>
        <w:rPr>
          <w:rFonts w:ascii="Arial" w:hAnsi="Arial"/>
          <w:b/>
          <w:i/>
          <w:color w:val="000000"/>
          <w:sz w:val="20"/>
        </w:rPr>
      </w:pPr>
      <w:r>
        <w:rPr>
          <w:rFonts w:ascii="Arial" w:hAnsi="Arial"/>
          <w:b/>
          <w:i/>
          <w:color w:val="000000"/>
          <w:sz w:val="20"/>
        </w:rPr>
        <w:t>Collaboration revenue</w:t>
      </w:r>
    </w:p>
    <w:p>
      <w:pPr>
        <w:pStyle w:val="TextBody"/>
        <w:bidi w:val="0"/>
        <w:spacing w:before="0" w:after="120"/>
        <w:jc w:val="left"/>
        <w:rPr>
          <w:rFonts w:ascii="Times New Roman" w:hAnsi="Times New Roman"/>
          <w:sz w:val="20"/>
        </w:rPr>
      </w:pPr>
      <w:r>
        <w:rPr>
          <w:rFonts w:ascii="Arial" w:hAnsi="Arial"/>
          <w:color w:val="000000"/>
          <w:sz w:val="20"/>
        </w:rPr>
        <w:t>Collaboration revenue of $13.2 million and $108.1 million for the six months ended June 30, 2026 and 2025, respectively, represents revenue recorded under our collaboration and license agreements with Roche and Novartis, with higher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Arial" w:hAnsi="Arial"/>
          <w:color w:val="000000"/>
          <w:sz w:val="20"/>
        </w:rPr>
        <w:t>revenues in the six months ended June 30, 2025 primarily related the non-refundable upfront payment from Novartis under the 2025 Novartis Agreement.</w:t>
      </w:r>
      <w:r>
        <w:rPr>
          <w:rFonts w:ascii="Times New Roman" w:hAnsi="Times New Roman"/>
          <w:color w:val="000000"/>
          <w:sz w:val="20"/>
        </w:rPr>
        <w:t xml:space="preserve"> </w:t>
      </w:r>
    </w:p>
    <w:p>
      <w:pPr>
        <w:pStyle w:val="TextBody"/>
        <w:bidi w:val="0"/>
        <w:spacing w:before="0" w:after="120"/>
        <w:jc w:val="left"/>
        <w:rPr>
          <w:rFonts w:ascii="Arial" w:hAnsi="Arial"/>
          <w:b/>
          <w:i/>
          <w:color w:val="000000"/>
          <w:sz w:val="20"/>
        </w:rPr>
      </w:pPr>
      <w:r>
        <w:rPr>
          <w:rFonts w:ascii="Arial" w:hAnsi="Arial"/>
          <w:b/>
          <w:i/>
          <w:color w:val="000000"/>
          <w:sz w:val="20"/>
        </w:rPr>
        <w:t>Research and development expenses</w:t>
      </w:r>
    </w:p>
    <w:p>
      <w:pPr>
        <w:pStyle w:val="TextBody"/>
        <w:bidi w:val="0"/>
        <w:spacing w:before="0" w:after="120"/>
        <w:jc w:val="left"/>
        <w:rPr>
          <w:rFonts w:ascii="Times New Roman" w:hAnsi="Times New Roman"/>
          <w:sz w:val="20"/>
        </w:rPr>
      </w:pPr>
      <w:r>
        <w:rPr>
          <w:rFonts w:ascii="Arial" w:hAnsi="Arial"/>
          <w:color w:val="000000"/>
          <w:sz w:val="20"/>
        </w:rPr>
        <w:t>We use our personnel and infrastructure resources across the breadth of our research and development activities, which are directed toward identifying and developing product candidates. As such, we do not track all of our internal research and development expenses on a program-by-program basis.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20"/>
        </w:rPr>
        <w:t>The following table summarizes our research and development expense (in thousands):</w:t>
      </w:r>
      <w:r>
        <w:rPr>
          <w:rFonts w:ascii="Times New Roman" w:hAnsi="Times New Roman"/>
          <w:color w:val="000000"/>
          <w:sz w:val="20"/>
        </w:rPr>
        <w:t xml:space="preserve"> </w:t>
      </w:r>
    </w:p>
    <w:tbl>
      <w:tblPr>
        <w:tblW w:w="8096" w:type="dxa"/>
        <w:jc w:val="left"/>
        <w:tblInd w:w="0" w:type="dxa"/>
        <w:tblLayout w:type="fixed"/>
        <w:tblCellMar>
          <w:top w:w="28" w:type="dxa"/>
          <w:left w:w="28" w:type="dxa"/>
          <w:bottom w:w="28" w:type="dxa"/>
          <w:right w:w="28" w:type="dxa"/>
        </w:tblCellMar>
      </w:tblPr>
      <w:tblGrid>
        <w:gridCol w:w="3891"/>
        <w:gridCol w:w="146"/>
        <w:gridCol w:w="211"/>
        <w:gridCol w:w="676"/>
        <w:gridCol w:w="146"/>
        <w:gridCol w:w="146"/>
        <w:gridCol w:w="211"/>
        <w:gridCol w:w="676"/>
        <w:gridCol w:w="146"/>
        <w:gridCol w:w="146"/>
        <w:gridCol w:w="307"/>
        <w:gridCol w:w="983"/>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6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External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MRT-2359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MRT-6160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MRT-8102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CCNE1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development and discovery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Personnel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Overhead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research and development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As of June 30, 2026 and 2025, respectively, we had 136 and 112 employees engaged in research and development activities in our facilities in the U.S. and Switzerland.</w:t>
      </w:r>
    </w:p>
    <w:p>
      <w:pPr>
        <w:pStyle w:val="TextBody"/>
        <w:bidi w:val="0"/>
        <w:spacing w:before="0" w:after="120"/>
        <w:jc w:val="left"/>
        <w:rPr>
          <w:rFonts w:ascii="Arial" w:hAnsi="Arial"/>
          <w:color w:val="000000"/>
          <w:sz w:val="20"/>
        </w:rPr>
      </w:pPr>
      <w:r>
        <w:rPr>
          <w:rFonts w:ascii="Arial" w:hAnsi="Arial"/>
          <w:color w:val="000000"/>
          <w:sz w:val="20"/>
        </w:rPr>
        <w:t>Most of our research and development expenses were driven by the successful continued advancement in our research and development organization, including the continuation of the MRT-2359 and MRT-8102 clinical studies, the progression of our preclinical pipeline including research performed for our collaborations with Roche and Novartis, and the continued development of our QuEEN discovery engine, and reflect increased personnel expense and external R&amp;D costs for the continued advancement of our pipeline. Research and development expenses for the six months ended June 30, 2026 and 2025 included non-cash stock-based compensation expense of $6.6 million and $6.0 million, respectively.</w:t>
      </w:r>
    </w:p>
    <w:p>
      <w:pPr>
        <w:pStyle w:val="TextBody"/>
        <w:bidi w:val="0"/>
        <w:spacing w:before="0" w:after="120"/>
        <w:jc w:val="left"/>
        <w:rPr>
          <w:rFonts w:ascii="Times New Roman" w:hAnsi="Times New Roman"/>
          <w:sz w:val="20"/>
        </w:rPr>
      </w:pPr>
      <w:r>
        <w:rPr>
          <w:rFonts w:ascii="Arial" w:hAnsi="Arial"/>
          <w:b/>
          <w:i/>
          <w:color w:val="000000"/>
          <w:sz w:val="20"/>
        </w:rPr>
        <w:t>General and administrative expenses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20"/>
        </w:rPr>
        <w:t>General and administrative expenses to support our business activities were comprised of (in thousands):</w:t>
      </w:r>
      <w:r>
        <w:rPr>
          <w:rFonts w:ascii="Times New Roman" w:hAnsi="Times New Roman"/>
          <w:color w:val="000000"/>
          <w:sz w:val="20"/>
        </w:rPr>
        <w:t xml:space="preserve"> </w:t>
      </w:r>
    </w:p>
    <w:tbl>
      <w:tblPr>
        <w:tblW w:w="7571" w:type="dxa"/>
        <w:jc w:val="left"/>
        <w:tblInd w:w="0" w:type="dxa"/>
        <w:tblLayout w:type="fixed"/>
        <w:tblCellMar>
          <w:top w:w="28" w:type="dxa"/>
          <w:left w:w="28" w:type="dxa"/>
          <w:bottom w:w="28" w:type="dxa"/>
          <w:right w:w="28" w:type="dxa"/>
        </w:tblCellMar>
      </w:tblPr>
      <w:tblGrid>
        <w:gridCol w:w="3586"/>
        <w:gridCol w:w="146"/>
        <w:gridCol w:w="211"/>
        <w:gridCol w:w="676"/>
        <w:gridCol w:w="146"/>
        <w:gridCol w:w="146"/>
        <w:gridCol w:w="211"/>
        <w:gridCol w:w="676"/>
        <w:gridCol w:w="146"/>
        <w:gridCol w:w="146"/>
        <w:gridCol w:w="348"/>
        <w:gridCol w:w="942"/>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6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 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Facility costs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general and administrative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As of June 30, 2026 and 2025, respectively, we had 37 and 30 employees engaged in general and administrative activities. General and administrative expenses included non-cash stock-based compensation of $5.3 million and $4.2 million for the six months ended June 30, 2026 and 2025, respectively.</w:t>
      </w:r>
    </w:p>
    <w:p>
      <w:pPr>
        <w:pStyle w:val="TextBody"/>
        <w:bidi w:val="0"/>
        <w:spacing w:before="0" w:after="120"/>
        <w:jc w:val="left"/>
        <w:rPr>
          <w:rFonts w:ascii="Arial" w:hAnsi="Arial"/>
          <w:b/>
          <w:i/>
          <w:color w:val="000000"/>
          <w:sz w:val="20"/>
        </w:rPr>
      </w:pPr>
      <w:r>
        <w:rPr>
          <w:rFonts w:ascii="Arial" w:hAnsi="Arial"/>
          <w:b/>
          <w:i/>
          <w:color w:val="000000"/>
          <w:sz w:val="20"/>
        </w:rPr>
        <w:t>Other income</w:t>
      </w:r>
    </w:p>
    <w:p>
      <w:pPr>
        <w:pStyle w:val="TextBody"/>
        <w:bidi w:val="0"/>
        <w:spacing w:before="0" w:after="120"/>
        <w:jc w:val="left"/>
        <w:rPr>
          <w:rFonts w:ascii="Times New Roman" w:hAnsi="Times New Roman"/>
          <w:sz w:val="20"/>
        </w:rPr>
      </w:pPr>
      <w:r>
        <w:rPr>
          <w:rFonts w:ascii="Arial" w:hAnsi="Arial"/>
          <w:color w:val="000000"/>
          <w:sz w:val="20"/>
        </w:rPr>
        <w:t>Other income was comprised of (in thousands):</w:t>
      </w:r>
      <w:r>
        <w:rPr>
          <w:rFonts w:ascii="Times New Roman" w:hAnsi="Times New Roman"/>
          <w:color w:val="000000"/>
          <w:sz w:val="20"/>
        </w:rPr>
        <w:t xml:space="preserve"> </w:t>
      </w:r>
    </w:p>
    <w:tbl>
      <w:tblPr>
        <w:tblW w:w="7591" w:type="dxa"/>
        <w:jc w:val="left"/>
        <w:tblInd w:w="0" w:type="dxa"/>
        <w:tblLayout w:type="fixed"/>
        <w:tblCellMar>
          <w:top w:w="28" w:type="dxa"/>
          <w:left w:w="28" w:type="dxa"/>
          <w:bottom w:w="28" w:type="dxa"/>
          <w:right w:w="28" w:type="dxa"/>
        </w:tblCellMar>
      </w:tblPr>
      <w:tblGrid>
        <w:gridCol w:w="3691"/>
        <w:gridCol w:w="146"/>
        <w:gridCol w:w="211"/>
        <w:gridCol w:w="676"/>
        <w:gridCol w:w="146"/>
        <w:gridCol w:w="146"/>
        <w:gridCol w:w="211"/>
        <w:gridCol w:w="571"/>
        <w:gridCol w:w="146"/>
        <w:gridCol w:w="146"/>
        <w:gridCol w:w="323"/>
        <w:gridCol w:w="967"/>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2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 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Foreign currency exchange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Arial" w:hAnsi="Arial"/>
          <w:color w:val="000000"/>
          <w:sz w:val="20"/>
        </w:rPr>
        <w:t>Other income for the six months ended June 30, 2026 and 2025 was primarily attributable to interest earned on marketable securities. The increase in interest income for the six months ended June 30, 2026 as compared to the six months ended June 30, 2025 was principally attributable to higher average balances in marketable securities. Foreign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Arial" w:hAnsi="Arial"/>
          <w:color w:val="000000"/>
          <w:sz w:val="20"/>
        </w:rPr>
      </w:pPr>
      <w:r>
        <w:rPr>
          <w:rFonts w:ascii="Arial" w:hAnsi="Arial"/>
          <w:color w:val="000000"/>
          <w:sz w:val="20"/>
        </w:rPr>
        <w:t>exchange gain on transactions denominated in currency other than the U.S. dollar decreased in the six months ended June 30, 2026, as compared to the six months ended June 30, 2025, primarily due to changes in the exchange rates between the U.S. Dollar and, principally, the Swiss Franc.</w:t>
      </w:r>
    </w:p>
    <w:p>
      <w:pPr>
        <w:pStyle w:val="TextBody"/>
        <w:bidi w:val="0"/>
        <w:spacing w:before="0" w:after="120"/>
        <w:jc w:val="left"/>
        <w:rPr>
          <w:rFonts w:ascii="Arial" w:hAnsi="Arial"/>
          <w:b/>
          <w:i/>
          <w:color w:val="000000"/>
          <w:sz w:val="20"/>
        </w:rPr>
      </w:pPr>
      <w:r>
        <w:rPr>
          <w:rFonts w:ascii="Arial" w:hAnsi="Arial"/>
          <w:b/>
          <w:i/>
          <w:color w:val="000000"/>
          <w:sz w:val="20"/>
        </w:rPr>
        <w:t>Income tax provision</w:t>
      </w:r>
    </w:p>
    <w:p>
      <w:pPr>
        <w:pStyle w:val="TextBody"/>
        <w:bidi w:val="0"/>
        <w:spacing w:before="0" w:after="120"/>
        <w:jc w:val="left"/>
        <w:rPr>
          <w:rFonts w:ascii="Arial" w:hAnsi="Arial"/>
          <w:color w:val="000000"/>
          <w:sz w:val="20"/>
        </w:rPr>
      </w:pPr>
      <w:r>
        <w:rPr>
          <w:rFonts w:ascii="Arial" w:hAnsi="Arial"/>
          <w:color w:val="000000"/>
          <w:sz w:val="20"/>
        </w:rPr>
        <w:t>For the six months ended June 30, 2026, the income tax provision was primarily related to interest income on marketable securities in Massachusetts.</w:t>
      </w:r>
    </w:p>
    <w:p>
      <w:pPr>
        <w:pStyle w:val="TextBody"/>
        <w:bidi w:val="0"/>
        <w:jc w:val="left"/>
        <w:rPr>
          <w:rFonts w:ascii="Times New Roman" w:hAnsi="Times New Roman"/>
          <w:sz w:val="20"/>
        </w:rPr>
      </w:pPr>
      <w:r>
        <w:rPr>
          <w:rFonts w:ascii="Arial" w:hAnsi="Arial"/>
          <w:color w:val="000000"/>
          <w:sz w:val="20"/>
        </w:rPr>
        <w:t>For the six months ended June 30, 2025, we recorded a provision for income taxes of $2.0 million, primarily driven by the current federal and state taxes related to the $150 million upfront payment for the Novartis License Agreement, which was expected to be recognized as taxable NCTI.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4"/>
        </w:rPr>
        <w:t>Liquidity and capital resources</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Overview</w:t>
      </w:r>
    </w:p>
    <w:p>
      <w:pPr>
        <w:pStyle w:val="TextBody"/>
        <w:bidi w:val="0"/>
        <w:spacing w:before="120" w:after="283"/>
        <w:jc w:val="left"/>
        <w:rPr>
          <w:rFonts w:ascii="Times New Roman" w:hAnsi="Times New Roman"/>
          <w:sz w:val="20"/>
        </w:rPr>
      </w:pPr>
      <w:r>
        <w:rPr>
          <w:rFonts w:ascii="Arial" w:hAnsi="Arial"/>
          <w:color w:val="000000"/>
          <w:sz w:val="20"/>
        </w:rPr>
        <w:t>Due to our significant research and development expenditures, we have generated operating losses since our inception. We have funded our operations primarily through the issuance and sale of convertible promissory notes, convertible preferred stock, public offerings of our common stock or warrants to purchase common stock, registered direct offerings, and through our collaboration agreements. As of June 30, 2026, we had $626.0 million in cash, cash equivalents, restricted cash and marketable securities. We have incurred losses since our inception and, as of June 30, 2026, we had an accumulated deficit of $565.1 million.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r>
        <w:rPr>
          <w:rFonts w:ascii="Times New Roman" w:hAnsi="Times New Roman"/>
          <w:color w:val="000000"/>
          <w:sz w:val="20"/>
        </w:rPr>
        <w:t xml:space="preserve"> </w:t>
      </w:r>
    </w:p>
    <w:p>
      <w:pPr>
        <w:pStyle w:val="TextBody"/>
        <w:bidi w:val="0"/>
        <w:spacing w:before="120" w:after="120"/>
        <w:jc w:val="left"/>
        <w:rPr>
          <w:rFonts w:ascii="Arial" w:hAnsi="Arial"/>
          <w:b/>
          <w:i/>
          <w:color w:val="000000"/>
          <w:sz w:val="20"/>
        </w:rPr>
      </w:pPr>
      <w:r>
        <w:rPr>
          <w:rFonts w:ascii="Arial" w:hAnsi="Arial"/>
          <w:b/>
          <w:i/>
          <w:color w:val="000000"/>
          <w:sz w:val="20"/>
        </w:rPr>
        <w:t>At-the-market offerings</w:t>
      </w:r>
    </w:p>
    <w:p>
      <w:pPr>
        <w:pStyle w:val="TextBody"/>
        <w:bidi w:val="0"/>
        <w:spacing w:before="0" w:after="120"/>
        <w:jc w:val="left"/>
        <w:rPr>
          <w:rFonts w:ascii="Times New Roman" w:hAnsi="Times New Roman"/>
          <w:sz w:val="20"/>
        </w:rPr>
      </w:pPr>
      <w:r>
        <w:rPr>
          <w:rFonts w:ascii="Arial" w:hAnsi="Arial"/>
          <w:color w:val="000000"/>
          <w:sz w:val="20"/>
        </w:rPr>
        <w:t>On July 1, 2022, we entered into the Open Market Sale Agreement, or the Sales Agreement, with Jefferies LLC, or Jefferies, to provide for the offering, issuance and sale of up to an aggregate amount of $100.0 million of our common stock from time to time in “at-the-market” offerings, or the ATM Program, through July 2025 under the 2022 Shelf Registration Statement and subject to the limitations thereof.</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On March 20, 2025, we filed a registration statement on Form S-3 (File No. 333-285942) with the SEC, which was declared effective on March 31, 2025, or the 2025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We also simultaneously entered into the Amendment No. 1 to the Sales Agreement, or the Amendment, with Jefferies, to provide for the offering, issuance and sale of up to an aggregate amount of $150.0 million of our common stock from time to time under the ATM Program, pursuant to a prospectus supplement, dated March 20, 2025, under 2025 Shelf Registration Statement, or the Original Prospectus Supplement, and subject to the limitations thereof. Under the Original Prospectus Supplement, we sold 2,955,082 shares of our common stock for aggregate gross proceeds of $25.0 million, or aggregate net proceeds of $23.9 million, pursuant to the Sales Agreement. As disclosed in a Current Report on Form 8-K filed on January 7, 2026, the Original Prospectus Supplement was terminated, effective as of January 7, 2026, and we did not issue any additional shares under the ATM Program following such termination.</w:t>
      </w:r>
    </w:p>
    <w:p>
      <w:pPr>
        <w:pStyle w:val="TextBody"/>
        <w:bidi w:val="0"/>
        <w:spacing w:before="0" w:after="120"/>
        <w:jc w:val="left"/>
        <w:rPr>
          <w:rFonts w:ascii="Times New Roman" w:hAnsi="Times New Roman"/>
          <w:sz w:val="20"/>
        </w:rPr>
      </w:pPr>
      <w:r>
        <w:rPr>
          <w:rFonts w:ascii="Arial" w:hAnsi="Arial"/>
          <w:color w:val="000000"/>
          <w:sz w:val="20"/>
        </w:rPr>
        <w:t>On February 11, 2026, we filed a registration statement on Form S-3ASR (File No. 333-293389) with the SEC, or the 2026 Automatic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In connection with the ATM Program and pursuant to the 2026 Automatic Shelf Registration Statement, we filed a new prospectus supplement with the SEC on February 11, 2026, for the offer and sale of up to $100.0 million of shares of common stock from time to time through Jefferies. As of June 30, 2026, we have sold no shares pursuant to our ATM program under the new prospectus supplement.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20"/>
        </w:rPr>
        <w:t>We will pay to Jefferies cash commissions of up to 3.0% of the aggregate gross proceeds of sales of common stock under the Sales Agreement, as amended.</w:t>
      </w:r>
      <w:r>
        <w:rPr>
          <w:rFonts w:ascii="Times New Roman" w:hAnsi="Times New Roman"/>
          <w:color w:val="000000"/>
          <w:sz w:val="20"/>
        </w:rPr>
        <w:t xml:space="preserve"> </w:t>
      </w:r>
    </w:p>
    <w:p>
      <w:pPr>
        <w:pStyle w:val="TextBody"/>
        <w:bidi w:val="0"/>
        <w:spacing w:before="0" w:after="160"/>
        <w:jc w:val="left"/>
        <w:rPr>
          <w:rFonts w:ascii="Arial" w:hAnsi="Arial"/>
          <w:b/>
          <w:i/>
          <w:color w:val="000000"/>
          <w:sz w:val="20"/>
        </w:rPr>
      </w:pPr>
      <w:r>
        <w:rPr>
          <w:rFonts w:ascii="Arial" w:hAnsi="Arial"/>
          <w:b/>
          <w:i/>
          <w:color w:val="000000"/>
          <w:sz w:val="20"/>
        </w:rPr>
        <w:t>Underwritten public offerings</w:t>
      </w:r>
    </w:p>
    <w:p>
      <w:pPr>
        <w:pStyle w:val="TextBody"/>
        <w:bidi w:val="0"/>
        <w:jc w:val="left"/>
        <w:rPr>
          <w:rFonts w:ascii="Times New Roman" w:hAnsi="Times New Roman"/>
          <w:sz w:val="20"/>
        </w:rPr>
      </w:pPr>
      <w:r>
        <w:rPr>
          <w:rFonts w:ascii="Arial" w:hAnsi="Arial"/>
          <w:color w:val="000000"/>
          <w:sz w:val="20"/>
        </w:rPr>
        <w:t>In January 2026, we entered into an underwriting agreement with Jefferies LLC, or Jefferies, TD Securities (USA) LLC, and Piper Sandler &amp; Co. as representative of the several underwriters, related to the underwritten public offering, or the 2026 Offering, of 13,000,000 shares of common stock at a price of $24.00 per share, and, in lieu of common stock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certain investors, pre-funded warrants to purchase 1,375,000 shares of common stock at a price of $23.9999 per pre-funded warrant, which represents the price per share at which shares of common stock were sold in the 2026 Offering, minus $0.0001, which is the exercise price of each pre-funded warrant. The 13,000,000 shares of common stock includes the full exercise by the underwriters of their option to purchase an additional 1,875,000 shares of common stock at the public offering price. The pre-funded warrants are immediately exercisable and may be exercised at any time until the pre-funded warrants are exercised in full. Aggregate gross proceeds from the 2026 Offering were $345.0 million. Aggregate net proceeds from the 2026 Offering were $323.8 million after deducting the underwriter discounts, commissions, and other offering costs.</w:t>
      </w:r>
    </w:p>
    <w:p>
      <w:pPr>
        <w:pStyle w:val="TextBody"/>
        <w:bidi w:val="0"/>
        <w:spacing w:before="120" w:after="120"/>
        <w:jc w:val="left"/>
        <w:rPr>
          <w:rFonts w:ascii="Arial" w:hAnsi="Arial"/>
          <w:color w:val="000000"/>
          <w:sz w:val="20"/>
        </w:rPr>
      </w:pPr>
      <w:r>
        <w:rPr>
          <w:rFonts w:ascii="Arial" w:hAnsi="Arial"/>
          <w:color w:val="000000"/>
          <w:sz w:val="20"/>
        </w:rPr>
        <w:t>During the six months ended June 30, 2026, 5,525,963 pre-funded warrants were exercised and, net of cashless exercises, 5,525,928 shares of common stock were issued as a result. During the six months ended June 30, 2025, no pre-funded warrants were exercised.</w:t>
      </w:r>
    </w:p>
    <w:p>
      <w:pPr>
        <w:pStyle w:val="TextBody"/>
        <w:bidi w:val="0"/>
        <w:jc w:val="left"/>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The following table summarizes our cash flows for the periods indicated (in thousands):</w:t>
      </w:r>
    </w:p>
    <w:tbl>
      <w:tblPr>
        <w:tblW w:w="7879" w:type="dxa"/>
        <w:jc w:val="left"/>
        <w:tblInd w:w="0" w:type="dxa"/>
        <w:tblLayout w:type="fixed"/>
        <w:tblCellMar>
          <w:top w:w="28" w:type="dxa"/>
          <w:left w:w="28" w:type="dxa"/>
          <w:bottom w:w="28" w:type="dxa"/>
          <w:right w:w="28" w:type="dxa"/>
        </w:tblCellMar>
      </w:tblPr>
      <w:tblGrid>
        <w:gridCol w:w="4906"/>
        <w:gridCol w:w="146"/>
        <w:gridCol w:w="211"/>
        <w:gridCol w:w="841"/>
        <w:gridCol w:w="166"/>
        <w:gridCol w:w="146"/>
        <w:gridCol w:w="211"/>
        <w:gridCol w:w="841"/>
        <w:gridCol w:w="41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(80,212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(74,905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decrease in cash, cash equivalents and restricted cash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(154,738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Net cash used in operating activities of $81.5 million during the six months ended June 30, 2026 was attributable to our net loss of $87.9 million and a decrease in deferred revenue of $13.2 million, partially offset by increases in our working capital of $5.7 million and by non-cash charges of $13.9 million, principally with respect to depreciation expense and stock-based compensation.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Net cash used in operating activities of $80.2 million during the six months ended June 30, 2025 was attributable to decreases in our working capital of $20.4 million and a decrease in deferred revenue of $106.9 million, partially offset by our net income of $34.6 million. The decreases in working capital accounts and deferred revenue were partially off-set by non-cash charges of $12.5 million, principally with respect to depreciation expense and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Cash used in investing activities of $289.9 million during the six months ended June 30, 2026 was primarily attributable to purchases of marketable securities of $408.1 million and purchases of property and equipment of $6.6 million, partially offset by proceeds from the maturity of marketable securities of $124.8 million.</w:t>
      </w:r>
    </w:p>
    <w:p>
      <w:pPr>
        <w:pStyle w:val="TextBody"/>
        <w:bidi w:val="0"/>
        <w:jc w:val="left"/>
        <w:rPr>
          <w:rFonts w:ascii="Arial" w:hAnsi="Arial"/>
          <w:color w:val="000000"/>
          <w:sz w:val="20"/>
        </w:rPr>
      </w:pPr>
      <w:r>
        <w:rPr>
          <w:rFonts w:ascii="Arial" w:hAnsi="Arial"/>
          <w:color w:val="000000"/>
          <w:sz w:val="20"/>
        </w:rPr>
        <w:t>Cash used in investing activities of $74.9 million during the six months ended June 30, 2025 was primarily attributable to purchases of marketable securities of $157.0 million and purchases of property and equipment of $3.3 million, partially offset by proceeds from the maturity of marketable securities of $85.4 million.</w:t>
      </w:r>
    </w:p>
    <w:p>
      <w:pPr>
        <w:pStyle w:val="TextBody"/>
        <w:bidi w:val="0"/>
        <w:spacing w:before="120" w:after="283"/>
        <w:jc w:val="left"/>
        <w:rPr>
          <w:rFonts w:ascii="Times New Roman" w:hAnsi="Times New Roman"/>
          <w:sz w:val="20"/>
        </w:rPr>
      </w:pPr>
      <w:r>
        <w:rPr>
          <w:rFonts w:ascii="Arial" w:hAnsi="Arial"/>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Cash provided by financing activities of $331.5 million for the six months ended June 30, 2026 was primarily due to the proceeds from the 2026 Offering and to the exercise of employee stock options.</w:t>
      </w:r>
    </w:p>
    <w:p>
      <w:pPr>
        <w:pStyle w:val="TextBody"/>
        <w:bidi w:val="0"/>
        <w:spacing w:before="120" w:after="283"/>
        <w:jc w:val="left"/>
        <w:rPr>
          <w:rFonts w:ascii="Times New Roman" w:hAnsi="Times New Roman"/>
          <w:sz w:val="20"/>
        </w:rPr>
      </w:pPr>
      <w:r>
        <w:rPr>
          <w:rFonts w:ascii="Arial" w:hAnsi="Arial"/>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Any product candidates we may develop may never achieve commercialization and we anticipate that we will continue to incur losses for the foreseeable future. We expect that our research and development expenses, general and administrative expenses and capital expenditures will continue to increase. As a result, until such time, if ever, as we can generate substantial product revenue, we expect to finance our cash needs through a combination of equity offerings, debt financings or other capital sources, including potential collaborations, licenses and other similar arrangements. Our primary uses of capital are, and we expect will continue to be, compensation and related expenses, third-party clinical research, manufacturing and development services, license payments or milestone obligations that may arise, laboratory and related supplies, clinical costs, manufacturing costs, legal and other regulatory expenses and general overhead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Based upon our current operating plan, we believe that our existing cash, cash equivalents and marketable securities will enable us to fund our operating expenses and capital expenditure requirements for at least the next twelve months. We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Arial" w:hAnsi="Arial"/>
          <w:color w:val="000000"/>
          <w:sz w:val="20"/>
        </w:rPr>
        <w:t>base this estimate on assumptions that may prove to be wrong, and we could utilize our available capital resources sooner than we currently expect.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 collaborations, licenses and other similar arrangements. However, we may be unable to raise additional funds or enter into such other arrangements when needed on favorable terms or at all.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progress, results and costs of researching, developing and manufacturing our current product candidates or any future product candidates, and conducting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and the costs involved in, obtaining regulatory approvals or clearances for our lead product candidates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and characteristics of any additional product candidates we develop or acquire;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manufacturing our lead product candidate or any future product candidates and any products we successfully commercialize, including costs associated with building-out our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establish and maintain strategic collaborations, licensing or other arrangements and the financial terms of any such agreements that we may enter into;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expenses needed to attract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associated with being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receipt and amount of sales of any future approved or cleared products,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of global economic and political developments, future public health events and the corresponding responses of businesses and governments. </w:t>
      </w:r>
    </w:p>
    <w:p>
      <w:pPr>
        <w:pStyle w:val="TextBody"/>
        <w:bidi w:val="0"/>
        <w:spacing w:before="120" w:after="283"/>
        <w:jc w:val="left"/>
        <w:rPr>
          <w:rFonts w:ascii="Times New Roman" w:hAnsi="Times New Roman"/>
          <w:sz w:val="20"/>
        </w:rPr>
      </w:pPr>
      <w:r>
        <w:rPr>
          <w:rFonts w:ascii="Arial" w:hAnsi="Arial"/>
          <w:color w:val="000000"/>
          <w:sz w:val="20"/>
        </w:rPr>
        <w:t>Further, our operating plans may change, and we may need additional funds to meet operational needs and capital requirements for clinical trials and other research and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4"/>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Our management's discussion and analysis of our financial condition and results of operations is based on our unaudited interim condensed consolidated financial statements, which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Arial" w:hAnsi="Arial"/>
          <w:color w:val="000000"/>
          <w:sz w:val="20"/>
        </w:rPr>
      </w:pPr>
      <w:r>
        <w:rPr>
          <w:rFonts w:ascii="Arial" w:hAnsi="Arial"/>
          <w:color w:val="000000"/>
          <w:sz w:val="20"/>
        </w:rPr>
        <w:t>There have been no significant changes to our critical accounting policies from those described in “Part II, Item 7, Management’s Discussion and Analysis of Financial Condition and Results of Operations” included in our 2025 Annual Report.</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20"/>
        </w:rPr>
      </w:pPr>
      <w:r>
        <w:rPr>
          <w:rFonts w:ascii="Arial" w:hAnsi="Arial"/>
          <w:color w:val="000000"/>
          <w:sz w:val="20"/>
        </w:rPr>
        <w:t>For a complete discussion of our significant accounting policies and recent accounting pronouncements, see Note 2 to our condensed consolidated financial statements appearing elsewhere in this Quarterly Report and Note 2 to our 2025 Annual Report.</w:t>
      </w:r>
    </w:p>
    <w:p>
      <w:pPr>
        <w:pStyle w:val="TextBody"/>
        <w:bidi w:val="0"/>
        <w:jc w:val="left"/>
        <w:rPr>
          <w:rFonts w:ascii="Times New Roman" w:hAnsi="Times New Roman"/>
          <w:sz w:val="20"/>
        </w:rPr>
      </w:pPr>
      <w:r>
        <w:rPr>
          <w:rFonts w:ascii="Arial" w:hAnsi="Arial"/>
          <w:b/>
          <w:color w:val="000000"/>
          <w:sz w:val="24"/>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Refer to Note 2, “Summary of significant accounting policies,” in the accompanying notes to our condensed consolidated financial statements appearing elsewhere in this Quarterly Report on Form 10-Q for a discussion of recent accounting pronouncements.</w:t>
      </w:r>
    </w:p>
    <w:p>
      <w:pPr>
        <w:pStyle w:val="TextBody"/>
        <w:bidi w:val="0"/>
        <w:spacing w:before="240" w:after="120"/>
        <w:jc w:val="left"/>
        <w:rPr>
          <w:rFonts w:ascii="Arial" w:hAnsi="Arial"/>
          <w:b/>
          <w:color w:val="000000"/>
          <w:sz w:val="24"/>
        </w:rPr>
      </w:pPr>
      <w:r>
        <w:rPr>
          <w:rFonts w:ascii="Arial" w:hAnsi="Arial"/>
          <w:b/>
          <w:color w:val="000000"/>
          <w:sz w:val="24"/>
        </w:rPr>
        <w:t>Contractual obligations and commitments</w:t>
      </w:r>
    </w:p>
    <w:p>
      <w:pPr>
        <w:pStyle w:val="TextBody"/>
        <w:bidi w:val="0"/>
        <w:jc w:val="left"/>
        <w:rPr>
          <w:rFonts w:ascii="Arial" w:hAnsi="Arial"/>
          <w:color w:val="000000"/>
          <w:sz w:val="20"/>
        </w:rPr>
      </w:pPr>
      <w:r>
        <w:rPr>
          <w:rFonts w:ascii="Arial" w:hAnsi="Arial"/>
          <w:color w:val="000000"/>
          <w:sz w:val="20"/>
        </w:rPr>
        <w:t>During the three months ended June 30, 2026, there have been no material changes to our contractual obligations and commitments from those described under “Part II, Item 7, Management’s Discussion and Analysis of Financial Condition and Results of Operations” included in our Annual Report on Form 10-K for the year ended December 31, 2025, filed with the Securities and Exchange Commission on March 17, 2026.</w:t>
      </w:r>
    </w:p>
    <w:p>
      <w:pPr>
        <w:pStyle w:val="TextBody"/>
        <w:bidi w:val="0"/>
        <w:spacing w:before="240" w:after="120"/>
        <w:jc w:val="left"/>
        <w:rPr>
          <w:rFonts w:ascii="Arial" w:hAnsi="Arial"/>
          <w:b/>
          <w:color w:val="000000"/>
          <w:sz w:val="24"/>
        </w:rPr>
      </w:pPr>
      <w:r>
        <w:rPr>
          <w:rFonts w:ascii="Arial" w:hAnsi="Arial"/>
          <w:b/>
          <w:color w:val="000000"/>
          <w:sz w:val="24"/>
        </w:rPr>
        <w:t>Emerging growth and smaller reporting company status</w:t>
      </w:r>
    </w:p>
    <w:p>
      <w:pPr>
        <w:pStyle w:val="TextBody"/>
        <w:bidi w:val="0"/>
        <w:spacing w:before="0" w:after="120"/>
        <w:jc w:val="left"/>
        <w:rPr>
          <w:rFonts w:ascii="Arial" w:hAnsi="Arial"/>
          <w:color w:val="000000"/>
          <w:sz w:val="20"/>
        </w:rPr>
      </w:pPr>
      <w:r>
        <w:rPr>
          <w:rFonts w:ascii="Arial" w:hAnsi="Arial"/>
          <w:color w:val="000000"/>
          <w:sz w:val="20"/>
        </w:rPr>
        <w:t>In April 2012, the Jumpstart Our Business Startups Act of 2012, or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w:t>
      </w:r>
    </w:p>
    <w:p>
      <w:pPr>
        <w:pStyle w:val="TextBody"/>
        <w:bidi w:val="0"/>
        <w:spacing w:before="0" w:after="120"/>
        <w:jc w:val="left"/>
        <w:rPr>
          <w:rFonts w:ascii="Arial" w:hAnsi="Arial"/>
          <w:color w:val="000000"/>
          <w:sz w:val="20"/>
        </w:rPr>
      </w:pPr>
      <w:r>
        <w:rPr>
          <w:rFonts w:ascii="Arial" w:hAnsi="Arial"/>
          <w:color w:val="000000"/>
          <w:sz w:val="20"/>
        </w:rPr>
        <w:t>We will cease to be an emerging growth company on December 31, 2026, which is the last day of our fiscal year following the fifth anniversary of the date of the closing of our initial public offering, or our IPO. The loss of emerging growth company status will not impact our “non-accelerated filer” status, which also provides an exemption from the auditor attestation requirement with respect to internal control over financial reporting under Section 404(b) of the Sarbanes-Oxley Act of 2002.</w:t>
      </w:r>
    </w:p>
    <w:p>
      <w:pPr>
        <w:pStyle w:val="TextBody"/>
        <w:bidi w:val="0"/>
        <w:jc w:val="left"/>
        <w:rPr>
          <w:rFonts w:ascii="Times New Roman" w:hAnsi="Times New Roman"/>
          <w:sz w:val="20"/>
        </w:rPr>
      </w:pPr>
      <w:r>
        <w:rPr>
          <w:rFonts w:ascii="Arial" w:hAnsi="Arial"/>
          <w:color w:val="000000"/>
          <w:sz w:val="20"/>
        </w:rPr>
        <w:t>In addition, we are also a “smaller reporting company" as defined in Rule 12b-2 of the Exchange Act and have elected to take advantage of certain of the scaled back disclosure requirements available to smaller reporting companies, such as reduced disclosure obligations regarding executive compensation in our periodic reports and proxy statements and the ability to present only the two most recent fiscal years of audited financial statements in our annual reports on Form 10-K. We will continue to qualify as a smaller reporting company</w:t>
      </w:r>
      <w:r>
        <w:rPr>
          <w:rFonts w:ascii="Times New Roman" w:hAnsi="Times New Roman"/>
          <w:color w:val="000000"/>
          <w:sz w:val="20"/>
        </w:rPr>
        <w:t xml:space="preserve"> </w:t>
      </w:r>
      <w:r>
        <w:rPr>
          <w:rFonts w:ascii="Arial" w:hAnsi="Arial"/>
          <w:color w:val="000000"/>
          <w:sz w:val="20"/>
        </w:rPr>
        <w:t>if we have (i) a public float of less than $250 million or (ii) annual revenues of less than $100 million and either no public float or a public float of less than $700 million, in each case as determined as of the last business day of our most recently completed second fiscal quarter (with annual revenues measured as of our most recently completed fiscal year for which audited financial statements are available). In August 2025, the SEC staff issued Exchange Act Rules C&amp;DI 130.05 clarifying the filer status transition for registrants that lose their smaller reporting company status based on the revenue tests. If we lose smaller reporting company status under the revenue test, under this interpretation, we will remain a non-accelerated filer for filings due in the fiscal year immediately following the loss of smaller reporting company status, allowing us to retain the exception from the auditor attestation requirement on internal control over financial reporting under Section 404(b) of the Sarbanes-Oxley Act of 2002. However, the interpretation specifies that we will lose eligibility for all other smaller reporting company accommodations beginning with the Form 10-Q for the first fiscal quarter of the year after losing smaller reporting company status.</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bookmarkStart w:id="10" w:name="item_3_quantitative_and_qualitative"/>
      <w:bookmarkEnd w:id="10"/>
      <w:r>
        <w:rPr>
          <w:rFonts w:ascii="Arial" w:hAnsi="Arial"/>
          <w:b/>
          <w:color w:val="000000"/>
          <w:sz w:val="36"/>
        </w:rPr>
        <w:t>Item 3. Quantitative and qualitative disclosures about market risk</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We are a smaller reporting company as defined by Rule 12b-2 of the Exchange Act and are not required to provide the information required under this Item 3.</w:t>
      </w:r>
    </w:p>
    <w:p>
      <w:pPr>
        <w:pStyle w:val="TextBody"/>
        <w:bidi w:val="0"/>
        <w:spacing w:before="240" w:after="283"/>
        <w:jc w:val="left"/>
        <w:rPr>
          <w:rFonts w:ascii="Times New Roman" w:hAnsi="Times New Roman"/>
          <w:sz w:val="20"/>
        </w:rPr>
      </w:pPr>
      <w:bookmarkStart w:id="11" w:name="item_4_controls_and_procedures"/>
      <w:bookmarkEnd w:id="11"/>
      <w:r>
        <w:rPr>
          <w:rFonts w:ascii="Arial" w:hAnsi="Arial"/>
          <w:b/>
          <w:color w:val="000000"/>
          <w:sz w:val="36"/>
        </w:rPr>
        <w:t>Item 4. Controls and procedures</w:t>
      </w:r>
      <w:r>
        <w:rPr>
          <w:rFonts w:ascii="Times New Roman" w:hAnsi="Times New Roman"/>
          <w:color w:val="000000"/>
          <w:sz w:val="20"/>
        </w:rPr>
        <w:t xml:space="preserve"> </w:t>
      </w:r>
    </w:p>
    <w:p>
      <w:pPr>
        <w:pStyle w:val="TextBody"/>
        <w:bidi w:val="0"/>
        <w:spacing w:before="120" w:after="120"/>
        <w:jc w:val="left"/>
        <w:rPr>
          <w:rFonts w:ascii="Arial" w:hAnsi="Arial"/>
          <w:b/>
          <w:color w:val="000000"/>
          <w:sz w:val="24"/>
        </w:rPr>
      </w:pPr>
      <w:r>
        <w:rPr>
          <w:rFonts w:ascii="Arial" w:hAnsi="Arial"/>
          <w:b/>
          <w:color w:val="000000"/>
          <w:sz w:val="24"/>
        </w:rPr>
        <w:t>Evaluation of Disclosure Controls and Procedures</w:t>
      </w:r>
    </w:p>
    <w:p>
      <w:pPr>
        <w:pStyle w:val="TextBody"/>
        <w:bidi w:val="0"/>
        <w:spacing w:before="0" w:after="120"/>
        <w:jc w:val="left"/>
        <w:rPr>
          <w:rFonts w:ascii="Arial" w:hAnsi="Arial"/>
          <w:color w:val="000000"/>
          <w:sz w:val="20"/>
        </w:rPr>
      </w:pPr>
      <w:r>
        <w:rPr>
          <w:rFonts w:ascii="Arial" w:hAnsi="Arial"/>
          <w:color w:val="000000"/>
          <w:sz w:val="20"/>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or the Exchange Act, as of June 30, 2026.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0" w:after="120"/>
        <w:jc w:val="left"/>
        <w:rPr>
          <w:rFonts w:ascii="Arial" w:hAnsi="Arial"/>
          <w:color w:val="000000"/>
          <w:sz w:val="20"/>
        </w:rPr>
      </w:pPr>
      <w:r>
        <w:rPr>
          <w:rFonts w:ascii="Arial" w:hAnsi="Arial"/>
          <w:color w:val="000000"/>
          <w:sz w:val="20"/>
        </w:rPr>
        <w:t>Based on the evaluation of our disclosure controls and procedures as of June 30, 2026, our principal executive officer and principal financial officer concluded that our disclosure controls and procedures as of such date are effective at the reasonable assurance level.</w:t>
      </w:r>
    </w:p>
    <w:p>
      <w:pPr>
        <w:pStyle w:val="TextBody"/>
        <w:bidi w:val="0"/>
        <w:spacing w:before="120" w:after="120"/>
        <w:jc w:val="left"/>
        <w:rPr>
          <w:rFonts w:ascii="Arial" w:hAnsi="Arial"/>
          <w:b/>
          <w:color w:val="000000"/>
          <w:sz w:val="24"/>
        </w:rPr>
      </w:pPr>
      <w:r>
        <w:rPr>
          <w:rFonts w:ascii="Arial" w:hAnsi="Arial"/>
          <w:b/>
          <w:color w:val="000000"/>
          <w:sz w:val="24"/>
        </w:rPr>
        <w:t>Changes in Internal Control over Financial Reporting</w:t>
      </w:r>
    </w:p>
    <w:p>
      <w:pPr>
        <w:pStyle w:val="TextBody"/>
        <w:bidi w:val="0"/>
        <w:jc w:val="left"/>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during three months ended June 30, 2026 that materially affected, or were reasonably likely to materially affect, our internal control over financial reporting.</w:t>
      </w:r>
    </w:p>
    <w:p>
      <w:pPr>
        <w:pStyle w:val="TextBody"/>
        <w:bidi w:val="0"/>
        <w:spacing w:before="240" w:after="120"/>
        <w:jc w:val="left"/>
        <w:rPr>
          <w:rFonts w:ascii="Arial" w:hAnsi="Arial"/>
          <w:b/>
          <w:color w:val="000000"/>
          <w:sz w:val="24"/>
        </w:rPr>
      </w:pPr>
      <w:r>
        <w:rPr>
          <w:rFonts w:ascii="Arial" w:hAnsi="Arial"/>
          <w:b/>
          <w:color w:val="000000"/>
          <w:sz w:val="24"/>
        </w:rPr>
        <w:t>Inherent Limitations on Effectiveness of Controls</w:t>
      </w:r>
    </w:p>
    <w:p>
      <w:pPr>
        <w:pStyle w:val="TextBody"/>
        <w:bidi w:val="0"/>
        <w:jc w:val="left"/>
        <w:rPr>
          <w:rFonts w:ascii="Arial" w:hAnsi="Arial"/>
          <w:color w:val="000000"/>
          <w:sz w:val="20"/>
        </w:rPr>
      </w:pPr>
      <w:r>
        <w:rPr>
          <w:rFonts w:ascii="Arial" w:hAnsi="Arial"/>
          <w:color w:val="000000"/>
          <w:sz w:val="20"/>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pStyle w:val="TextBody"/>
        <w:bidi w:val="0"/>
        <w:spacing w:before="12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36"/>
        </w:rPr>
      </w:pPr>
      <w:bookmarkStart w:id="12" w:name="part_ii_other_information"/>
      <w:bookmarkEnd w:id="12"/>
      <w:r>
        <w:rPr>
          <w:rFonts w:ascii="Arial" w:hAnsi="Arial"/>
          <w:b/>
          <w:color w:val="000000"/>
          <w:sz w:val="36"/>
        </w:rPr>
        <w:t>Part II ─ Other Information</w:t>
      </w:r>
    </w:p>
    <w:p>
      <w:pPr>
        <w:pStyle w:val="TextBody"/>
        <w:bidi w:val="0"/>
        <w:spacing w:before="240" w:after="283"/>
        <w:jc w:val="left"/>
        <w:rPr>
          <w:rFonts w:ascii="Arial" w:hAnsi="Arial"/>
          <w:b/>
          <w:color w:val="000000"/>
          <w:sz w:val="36"/>
        </w:rPr>
      </w:pPr>
      <w:bookmarkStart w:id="13" w:name="item_1_legal_proceedings"/>
      <w:bookmarkEnd w:id="13"/>
      <w:r>
        <w:rPr>
          <w:rFonts w:ascii="Arial" w:hAnsi="Arial"/>
          <w:b/>
          <w:color w:val="000000"/>
          <w:sz w:val="36"/>
        </w:rPr>
        <w:t>Item 1. Legal proceedings</w:t>
      </w:r>
    </w:p>
    <w:p>
      <w:pPr>
        <w:pStyle w:val="TextBody"/>
        <w:bidi w:val="0"/>
        <w:spacing w:before="120" w:after="283"/>
        <w:jc w:val="left"/>
        <w:rPr>
          <w:rFonts w:ascii="Arial" w:hAnsi="Arial"/>
          <w:color w:val="000000"/>
          <w:sz w:val="20"/>
        </w:rPr>
      </w:pPr>
      <w:r>
        <w:rPr>
          <w:rFonts w:ascii="Arial" w:hAnsi="Arial"/>
          <w:color w:val="000000"/>
          <w:sz w:val="20"/>
        </w:rPr>
        <w:t>From time to time, we may become subject to various legal proceedings and claims that arise in the ordinary course of our business activities. Although the results of litigation and claims cannot be predicted with certainty, as of June 30, 2026,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left"/>
        <w:rPr>
          <w:rFonts w:ascii="Arial" w:hAnsi="Arial"/>
          <w:b/>
          <w:color w:val="000000"/>
          <w:sz w:val="36"/>
        </w:rPr>
      </w:pPr>
      <w:bookmarkStart w:id="14" w:name="item_1a_risk_factors"/>
      <w:bookmarkEnd w:id="14"/>
      <w:r>
        <w:rPr>
          <w:rFonts w:ascii="Arial" w:hAnsi="Arial"/>
          <w:b/>
          <w:color w:val="000000"/>
          <w:sz w:val="36"/>
        </w:rPr>
        <w:t>Item 1A. Risk factors</w:t>
      </w:r>
    </w:p>
    <w:p>
      <w:pPr>
        <w:pStyle w:val="TextBody"/>
        <w:bidi w:val="0"/>
        <w:spacing w:before="120" w:after="120"/>
        <w:jc w:val="left"/>
        <w:rPr>
          <w:rFonts w:ascii="Arial" w:hAnsi="Arial"/>
          <w:i/>
          <w:color w:val="000000"/>
          <w:sz w:val="20"/>
        </w:rPr>
      </w:pPr>
      <w:r>
        <w:rPr>
          <w:rFonts w:ascii="Arial" w:hAnsi="Arial"/>
          <w:i/>
          <w:color w:val="000000"/>
          <w:sz w:val="20"/>
        </w:rPr>
        <w:t>Investing in our common stock involves a high degree of risk. You should carefully consider the following risks and uncertainties, those risks and uncertainties discussed in “Part I, Item 1A, Risk Factors” in our 2025 Annual Report, as amended and supplemented by the information in our subsequent Quarterly Reports on Form 10-Q, together with all of the other information contained in this Quarterly Report, including our unaudited condensed consolidated financial statements and the related notes appearing elsewhere in this Quarterly Report. The risk factor disclosure in our 2025 Annual Report and subsequent Quarterly Reports on Form 10-Q is qualified by the information that is described in this Quarterly Report. If any of the risks described below or in our 2025 Annual Report actually occur, our business, prospects, operating results and financial condition could suffer materially. In such event, the trading price of our common stock could decline and you might lose all or part of your investment.</w:t>
      </w:r>
    </w:p>
    <w:p>
      <w:pPr>
        <w:pStyle w:val="TextBody"/>
        <w:bidi w:val="0"/>
        <w:spacing w:before="0" w:after="120"/>
        <w:jc w:val="left"/>
        <w:rPr>
          <w:rFonts w:ascii="Arial" w:hAnsi="Arial"/>
          <w:i/>
          <w:color w:val="000000"/>
          <w:sz w:val="20"/>
        </w:rPr>
      </w:pPr>
      <w:r>
        <w:rPr>
          <w:rFonts w:ascii="Arial" w:hAnsi="Arial"/>
          <w:i/>
          <w:color w:val="000000"/>
          <w:sz w:val="20"/>
        </w:rPr>
        <w:t>Other than as set forth below, there have been no material changes to the risk factors set forth in our 2025 Annual Report.</w:t>
      </w:r>
    </w:p>
    <w:p>
      <w:pPr>
        <w:pStyle w:val="TextBody"/>
        <w:bidi w:val="0"/>
        <w:jc w:val="left"/>
        <w:rPr>
          <w:rFonts w:ascii="Times New Roman" w:hAnsi="Times New Roman"/>
          <w:sz w:val="20"/>
        </w:rPr>
      </w:pPr>
      <w:r>
        <w:rPr>
          <w:rFonts w:ascii="Arial" w:hAnsi="Arial"/>
          <w:b/>
          <w:i/>
          <w:color w:val="000000"/>
          <w:sz w:val="20"/>
        </w:rPr>
        <w:t>We have incurred significant operating losses since our inception and anticipate that we will incur continued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Since our inception, we have focused substantially all of our efforts and financial resources on developing our proprietary QuEEN</w:t>
      </w:r>
      <w:r>
        <w:rPr>
          <w:rFonts w:ascii="Arial" w:hAnsi="Arial"/>
          <w:color w:val="000000"/>
          <w:sz w:val="13"/>
        </w:rPr>
        <w:t>TM</w:t>
      </w:r>
      <w:r>
        <w:rPr>
          <w:rFonts w:ascii="Times New Roman" w:hAnsi="Times New Roman"/>
          <w:color w:val="000000"/>
          <w:sz w:val="20"/>
        </w:rPr>
        <w:t xml:space="preserve"> </w:t>
      </w:r>
      <w:r>
        <w:rPr>
          <w:rFonts w:ascii="Arial" w:hAnsi="Arial"/>
          <w:color w:val="000000"/>
          <w:sz w:val="20"/>
        </w:rPr>
        <w:t>discovery engine, our proprietary MGD library and our initial pipeline of product candidates. To date, we have financed our operations primarily through the issuance and sale of convertible promissory notes, and our convertible preferred stock to outside investors in private equity financings, public offerings of our common stock or warrants to purchase common stock, registered direct offerings, and our collaboration agreements with Roche and Novartis. From our inception through the date hereof, we raised an aggregate of $1.3 billion of gross proceeds from such transactions. As of June 30, 2026, our cash, cash equivalents, restricted cash and marketable securities were $626.0 million. We have incurred net losses in each year since our inception, and we had an accumulated deficit of $565.1 million as of June 30, 2026. For the six months ended June 30, 2026, we reported a net loss of $87.9 million. For the year ended December 31, 2025, we reported a net losses of $38.6 million. Substantially all of our operating losses have resulted from costs incurred in connection with our research and initial pipeline programs and from general and administrative costs associated with our operations. We expect to continue to incur significant expenses and increasing operating losses over the next several years and for the foreseeable future. Our prior losses, combined with expected future losses, have had and will continue to have an adverse effect on our stockholders’ deficit and working capital. We expect our expenses to significantly increase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conduct our clinical trial for MRT-2359, our MGD product candidate targeting GSPT1;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finalize our Phase 1 clinical trial and advance our Phase 2 clinical trial for MRT-8102, our NEK7-directed MGD being developed for the treatment of inflammatory conditions driven by the NLRP3 inflammasome, IL-1β, and IL-6;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preclinical activities for CCNE1 and for CDK2 and other currently undisclosed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prepare and submit IND applications with the FDA for other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complete preclinical studies for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progress MGD molecules from our initial programs through lead optimization to development candidates and multiple areas of interest and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initiate and complete clinical trials for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expand and improve the capabilities of our QuEEN</w:t>
      </w:r>
      <w:r>
        <w:rPr>
          <w:rFonts w:ascii="Arial" w:hAnsi="Arial"/>
          <w:color w:val="000000"/>
          <w:sz w:val="13"/>
        </w:rPr>
        <w:t>TM</w:t>
      </w:r>
      <w:r>
        <w:rPr>
          <w:color w:val="000000"/>
        </w:rPr>
        <w:t xml:space="preserve"> </w:t>
      </w:r>
      <w:r>
        <w:rPr>
          <w:rFonts w:ascii="Arial" w:hAnsi="Arial"/>
          <w:color w:val="000000"/>
          <w:sz w:val="20"/>
        </w:rPr>
        <w:t xml:space="preserve">discovery engine;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to build our proprietary library of MGDs;</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contract to manufacture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advance research and development related activities to expand our product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seek regulatory approval for our product candidates that successfully complete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 and scale up our capabilities to support our ongoing preclinical activities and future clinical trials for our product candidates and commercialization of any of our product candidates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hire additional staff, including clinical, scientific and management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secure facilities to support continued growth in our research, development and commercialization efforts.</w:t>
      </w:r>
    </w:p>
    <w:p>
      <w:pPr>
        <w:pStyle w:val="TextBody"/>
        <w:bidi w:val="0"/>
        <w:spacing w:before="120" w:after="283"/>
        <w:jc w:val="left"/>
        <w:rPr>
          <w:rFonts w:ascii="Times New Roman" w:hAnsi="Times New Roman"/>
          <w:sz w:val="20"/>
        </w:rPr>
      </w:pPr>
      <w:r>
        <w:rPr>
          <w:rFonts w:ascii="Arial" w:hAnsi="Arial"/>
          <w:color w:val="000000"/>
          <w:sz w:val="20"/>
        </w:rPr>
        <w:t>In addition, if we obtain marketing approval for our current or future product candidates, we will incur significant expenses relating to our commercialization of such product candidates via our sales, marketing, product manufacturing and distribution efforts. Because of the numerous risks and uncertainties associated with developing pharmaceutical drugs, including in light of any economic fluctuations, we are unable to predict the extent of any future losses or when we will become profitable, if at all.</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Even if we achieve profitability, we may not be able to sustain or increase our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Arial" w:hAnsi="Arial"/>
          <w:b/>
          <w:color w:val="000000"/>
          <w:sz w:val="36"/>
        </w:rPr>
      </w:pPr>
      <w:bookmarkStart w:id="15" w:name="item_2_unregistered_sales_equity_securit"/>
      <w:bookmarkEnd w:id="15"/>
      <w:r>
        <w:rPr>
          <w:rFonts w:ascii="Arial" w:hAnsi="Arial"/>
          <w:b/>
          <w:color w:val="000000"/>
          <w:sz w:val="36"/>
        </w:rPr>
        <w:t>Item 2. Unregistered sales of equity securities, use of proceeds and issuer purchases of equity securities</w:t>
      </w:r>
    </w:p>
    <w:p>
      <w:pPr>
        <w:pStyle w:val="TextBody"/>
        <w:bidi w:val="0"/>
        <w:spacing w:before="240" w:after="120"/>
        <w:jc w:val="left"/>
        <w:rPr>
          <w:rFonts w:ascii="Arial" w:hAnsi="Arial"/>
          <w:b/>
          <w:color w:val="000000"/>
          <w:sz w:val="24"/>
        </w:rPr>
      </w:pPr>
      <w:r>
        <w:rPr>
          <w:rFonts w:ascii="Arial" w:hAnsi="Arial"/>
          <w:b/>
          <w:color w:val="000000"/>
          <w:sz w:val="24"/>
        </w:rPr>
        <w:t>Recent sales of unregistered equity securities</w:t>
      </w:r>
    </w:p>
    <w:p>
      <w:pPr>
        <w:pStyle w:val="TextBody"/>
        <w:bidi w:val="0"/>
        <w:spacing w:before="0" w:after="120"/>
        <w:jc w:val="left"/>
        <w:rPr>
          <w:rFonts w:ascii="Arial" w:hAnsi="Arial"/>
          <w:color w:val="000000"/>
          <w:sz w:val="20"/>
        </w:rPr>
      </w:pPr>
      <w:r>
        <w:rPr>
          <w:rFonts w:ascii="Arial" w:hAnsi="Arial"/>
          <w:color w:val="000000"/>
          <w:sz w:val="20"/>
        </w:rPr>
        <w:t>None.</w:t>
      </w:r>
    </w:p>
    <w:p>
      <w:pPr>
        <w:pStyle w:val="TextBody"/>
        <w:bidi w:val="0"/>
        <w:spacing w:before="120" w:after="120"/>
        <w:jc w:val="left"/>
        <w:rPr>
          <w:rFonts w:ascii="Arial" w:hAnsi="Arial"/>
          <w:b/>
          <w:color w:val="000000"/>
          <w:sz w:val="24"/>
        </w:rPr>
      </w:pPr>
      <w:r>
        <w:rPr>
          <w:rFonts w:ascii="Arial" w:hAnsi="Arial"/>
          <w:b/>
          <w:color w:val="000000"/>
          <w:sz w:val="24"/>
        </w:rPr>
        <w:t>Issuer purchases of equity securities</w:t>
      </w:r>
    </w:p>
    <w:p>
      <w:pPr>
        <w:pStyle w:val="TextBody"/>
        <w:bidi w:val="0"/>
        <w:spacing w:before="0" w:after="120"/>
        <w:jc w:val="left"/>
        <w:rPr>
          <w:rFonts w:ascii="Arial" w:hAnsi="Arial"/>
          <w:color w:val="000000"/>
          <w:sz w:val="20"/>
        </w:rPr>
      </w:pPr>
      <w:r>
        <w:rPr>
          <w:rFonts w:ascii="Arial" w:hAnsi="Arial"/>
          <w:color w:val="000000"/>
          <w:sz w:val="20"/>
        </w:rPr>
        <w:t>None.</w:t>
      </w:r>
    </w:p>
    <w:p>
      <w:pPr>
        <w:pStyle w:val="TextBody"/>
        <w:bidi w:val="0"/>
        <w:spacing w:before="240" w:after="283"/>
        <w:jc w:val="left"/>
        <w:rPr>
          <w:rFonts w:ascii="Arial" w:hAnsi="Arial"/>
          <w:b/>
          <w:color w:val="000000"/>
          <w:sz w:val="36"/>
        </w:rPr>
      </w:pPr>
      <w:bookmarkStart w:id="16" w:name="item_3_defaults_upon_senior_securities"/>
      <w:bookmarkEnd w:id="16"/>
      <w:r>
        <w:rPr>
          <w:rFonts w:ascii="Arial" w:hAnsi="Arial"/>
          <w:b/>
          <w:color w:val="000000"/>
          <w:sz w:val="36"/>
        </w:rPr>
        <w:t>Item 3. Defaults upon senior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360" w:after="283"/>
        <w:jc w:val="left"/>
        <w:rPr>
          <w:rFonts w:ascii="Arial" w:hAnsi="Arial"/>
          <w:b/>
          <w:color w:val="000000"/>
          <w:sz w:val="36"/>
        </w:rPr>
      </w:pPr>
      <w:bookmarkStart w:id="17" w:name="item_4_mine_safety_disclosures"/>
      <w:bookmarkEnd w:id="17"/>
      <w:r>
        <w:rPr>
          <w:rFonts w:ascii="Arial" w:hAnsi="Arial"/>
          <w:b/>
          <w:color w:val="000000"/>
          <w:sz w:val="36"/>
        </w:rPr>
        <w:t>Item 4. Mine safety disclosures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360" w:after="120"/>
        <w:jc w:val="left"/>
        <w:rPr>
          <w:rFonts w:ascii="Arial" w:hAnsi="Arial"/>
          <w:b/>
          <w:color w:val="000000"/>
          <w:sz w:val="36"/>
        </w:rPr>
      </w:pPr>
      <w:bookmarkStart w:id="18" w:name="item_5_other_information"/>
      <w:bookmarkEnd w:id="18"/>
      <w:r>
        <w:rPr>
          <w:rFonts w:ascii="Arial" w:hAnsi="Arial"/>
          <w:b/>
          <w:color w:val="000000"/>
          <w:sz w:val="36"/>
        </w:rPr>
        <w:t>Item 5. Other information</w:t>
      </w:r>
    </w:p>
    <w:p>
      <w:pPr>
        <w:pStyle w:val="TextBody"/>
        <w:bidi w:val="0"/>
        <w:spacing w:before="0" w:after="120"/>
        <w:jc w:val="left"/>
        <w:rPr>
          <w:rFonts w:ascii="Arial" w:hAnsi="Arial"/>
          <w:b/>
          <w:i/>
          <w:color w:val="000000"/>
          <w:sz w:val="20"/>
        </w:rPr>
      </w:pPr>
      <w:r>
        <w:rPr>
          <w:rFonts w:ascii="Arial" w:hAnsi="Arial"/>
          <w:b/>
          <w:i/>
          <w:color w:val="000000"/>
          <w:sz w:val="20"/>
        </w:rPr>
        <w:t>Rule 10b5-1 Trading Plans</w:t>
      </w:r>
    </w:p>
    <w:p>
      <w:pPr>
        <w:pStyle w:val="TextBody"/>
        <w:bidi w:val="0"/>
        <w:spacing w:before="0" w:after="120"/>
        <w:jc w:val="left"/>
        <w:rPr>
          <w:rFonts w:ascii="Times New Roman" w:hAnsi="Times New Roman"/>
          <w:sz w:val="20"/>
        </w:rPr>
      </w:pPr>
      <w:r>
        <w:rPr>
          <w:rFonts w:ascii="Arial" w:hAnsi="Arial"/>
          <w:color w:val="000000"/>
          <w:sz w:val="20"/>
        </w:rPr>
        <w:t>During the fiscal quarter ended on June 30, 2026, none of our directors and officers (as defined in Rule 16a-1(f) under the Exchange Act) adopted, modified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those terms are defined in Item 408(a) of Regulation S-K, except as described in the table below.</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1314"/>
        <w:gridCol w:w="661"/>
        <w:gridCol w:w="894"/>
        <w:gridCol w:w="1988"/>
        <w:gridCol w:w="2221"/>
        <w:gridCol w:w="3127"/>
      </w:tblGrid>
      <w:tr>
        <w:trPr/>
        <w:tc>
          <w:tcPr>
            <w:tcW w:w="131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r>
      <w:tr>
        <w:trPr/>
        <w:tc>
          <w:tcPr>
            <w:tcW w:w="1314"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and Title</w:t>
            </w:r>
          </w:p>
        </w:tc>
        <w:tc>
          <w:tcPr>
            <w:tcW w:w="66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Action</w:t>
            </w:r>
          </w:p>
        </w:tc>
        <w:tc>
          <w:tcPr>
            <w:tcW w:w="89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Action Date</w:t>
            </w:r>
          </w:p>
        </w:tc>
        <w:tc>
          <w:tcPr>
            <w:tcW w:w="198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Duration of Trading Arrangements</w:t>
            </w:r>
          </w:p>
        </w:tc>
        <w:tc>
          <w:tcPr>
            <w:tcW w:w="222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Rule 10b5-1 Trading Arrangement? (Y/N)*</w:t>
            </w:r>
          </w:p>
        </w:tc>
        <w:tc>
          <w:tcPr>
            <w:tcW w:w="312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Aggregate Number of Securities Subject to Trading Arrangement</w:t>
            </w:r>
          </w:p>
        </w:tc>
      </w:tr>
      <w:tr>
        <w:trPr/>
        <w:tc>
          <w:tcPr>
            <w:tcW w:w="1314"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Kimberly Blackwell</w:t>
              <w:br/>
              <w:t>Director</w:t>
            </w:r>
          </w:p>
        </w:tc>
        <w:tc>
          <w:tcPr>
            <w:tcW w:w="6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Adopt</w:t>
            </w:r>
          </w:p>
        </w:tc>
        <w:tc>
          <w:tcPr>
            <w:tcW w:w="89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April 15, 2026</w:t>
            </w:r>
          </w:p>
        </w:tc>
        <w:tc>
          <w:tcPr>
            <w:tcW w:w="1988"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August 11, 2026- April 23, 2027</w:t>
            </w:r>
          </w:p>
        </w:tc>
        <w:tc>
          <w:tcPr>
            <w:tcW w:w="222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Y</w:t>
            </w:r>
          </w:p>
        </w:tc>
        <w:tc>
          <w:tcPr>
            <w:tcW w:w="312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Up to 35,500</w:t>
            </w:r>
            <w:r>
              <w:rPr>
                <w:rFonts w:ascii="Times New Roman" w:hAnsi="Times New Roman"/>
                <w:color w:val="000000"/>
                <w:sz w:val="20"/>
              </w:rPr>
              <w:t> </w:t>
            </w:r>
            <w:r>
              <w:rPr>
                <w:rFonts w:ascii="Arial" w:hAnsi="Arial"/>
                <w:color w:val="000000"/>
                <w:sz w:val="18"/>
              </w:rPr>
              <w:t>shares of common stock underlying stock options to be sold</w:t>
            </w:r>
          </w:p>
        </w:tc>
      </w:tr>
      <w:tr>
        <w:trPr/>
        <w:tc>
          <w:tcPr>
            <w:tcW w:w="131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Markus Warmuth</w:t>
              <w:br/>
              <w:t>Chief Executive Officer</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Adopt</w:t>
            </w:r>
          </w:p>
        </w:tc>
        <w:tc>
          <w:tcPr>
            <w:tcW w:w="8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June 18, 2026</w:t>
            </w:r>
          </w:p>
        </w:tc>
        <w:tc>
          <w:tcPr>
            <w:tcW w:w="198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January 7, 2027 - August 13, 2027</w:t>
            </w:r>
          </w:p>
        </w:tc>
        <w:tc>
          <w:tcPr>
            <w:tcW w:w="22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Y</w:t>
            </w:r>
          </w:p>
        </w:tc>
        <w:tc>
          <w:tcPr>
            <w:tcW w:w="312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Up to 54,500</w:t>
            </w:r>
            <w:r>
              <w:rPr>
                <w:rFonts w:ascii="Times New Roman" w:hAnsi="Times New Roman"/>
                <w:color w:val="000000"/>
                <w:sz w:val="20"/>
              </w:rPr>
              <w:t> </w:t>
            </w:r>
            <w:r>
              <w:rPr>
                <w:rFonts w:ascii="Arial" w:hAnsi="Arial"/>
                <w:color w:val="000000"/>
                <w:sz w:val="18"/>
              </w:rPr>
              <w:t>shares of common stock underlying restricted stock units</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Arial" w:hAnsi="Arial"/>
          <w:b/>
          <w:color w:val="000000"/>
          <w:sz w:val="36"/>
        </w:rPr>
      </w:pPr>
      <w:bookmarkStart w:id="19" w:name="item_6_exhibits"/>
      <w:bookmarkEnd w:id="19"/>
      <w:r>
        <w:rPr>
          <w:rFonts w:ascii="Arial" w:hAnsi="Arial"/>
          <w:b/>
          <w:color w:val="000000"/>
          <w:sz w:val="36"/>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0"/>
        <w:gridCol w:w="146"/>
        <w:gridCol w:w="9219"/>
      </w:tblGrid>
      <w:tr>
        <w:trPr/>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9" w:type="dxa"/>
            <w:tcBorders/>
            <w:vAlign w:val="center"/>
          </w:tcPr>
          <w:p>
            <w:pPr>
              <w:pStyle w:val="TableContents"/>
              <w:bidi w:val="0"/>
              <w:spacing w:before="0" w:after="283"/>
              <w:jc w:val="left"/>
              <w:rPr>
                <w:sz w:val="4"/>
                <w:szCs w:val="4"/>
              </w:rPr>
            </w:pPr>
            <w:r>
              <w:rPr>
                <w:sz w:val="4"/>
                <w:szCs w:val="4"/>
              </w:rPr>
            </w:r>
          </w:p>
        </w:tc>
      </w:tr>
      <w:tr>
        <w:trPr/>
        <w:tc>
          <w:tcPr>
            <w:tcW w:w="840"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Fourth Amended and Restated Certificate of Incorporation of Registrant, as currently in effect (incorporated by reference to Exhibit 3.1 of the Registrant's Current Report on Form 8-K (File No. 001-40522) filed on June 28, 2021).</w:t>
              </w:r>
            </w:hyperlink>
          </w:p>
        </w:tc>
      </w:tr>
      <w:tr>
        <w:trPr/>
        <w:tc>
          <w:tcPr>
            <w:tcW w:w="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Certificate of Amendment to the Fourth Amended and Restated Certificate of Incorporation of Registrant (incorporated by reference to Exhibit 3.1 of the Registrant’s Current Report on Form 8-K (File No. 001-40522) filed on June 14, 2023)</w:t>
              </w:r>
            </w:hyperlink>
            <w:r>
              <w:rPr>
                <w:rFonts w:ascii="Arial" w:hAnsi="Arial"/>
                <w:color w:val="000000"/>
                <w:sz w:val="20"/>
              </w:rPr>
              <w:t>.</w:t>
            </w:r>
          </w:p>
        </w:tc>
      </w:tr>
      <w:tr>
        <w:trPr/>
        <w:tc>
          <w:tcPr>
            <w:tcW w:w="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Second Amended and Restated By-laws of the Registrant, as currently in effect (incorporated by reference to Exhibit 3.3 of the Registrant's Quarterly Report on Form 10-Q (File No. 001-40522) filed on May 9, 2024)</w:t>
              </w:r>
            </w:hyperlink>
            <w:r>
              <w:rPr>
                <w:rFonts w:ascii="Times New Roman" w:hAnsi="Times New Roman"/>
                <w:color w:val="000000"/>
                <w:sz w:val="20"/>
              </w:rPr>
              <w:t xml:space="preserve"> </w:t>
            </w:r>
          </w:p>
        </w:tc>
      </w:tr>
      <w:tr>
        <w:trPr/>
        <w:tc>
          <w:tcPr>
            <w:tcW w:w="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ue-ex31_1.htm">
              <w:r>
                <w:rPr>
                  <w:rStyle w:val="InternetLink"/>
                  <w:rFonts w:ascii="Arial" w:hAnsi="Arial"/>
                  <w:color w:val="0000FF"/>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r>
      <w:tr>
        <w:trPr/>
        <w:tc>
          <w:tcPr>
            <w:tcW w:w="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ue-ex32_1.htm">
              <w:r>
                <w:rPr>
                  <w:rStyle w:val="InternetLink"/>
                  <w:rFonts w:ascii="Arial" w:hAnsi="Arial"/>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r>
      <w:tr>
        <w:trPr/>
        <w:tc>
          <w:tcPr>
            <w:tcW w:w="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Filed herewith.</w:t>
      </w:r>
    </w:p>
    <w:p>
      <w:pPr>
        <w:pStyle w:val="TextBody"/>
        <w:bidi w:val="0"/>
        <w:jc w:val="left"/>
        <w:rPr>
          <w:rFonts w:ascii="Arial" w:hAnsi="Arial"/>
          <w:color w:val="000000"/>
          <w:sz w:val="20"/>
        </w:rPr>
      </w:pPr>
      <w:r>
        <w:rPr>
          <w:rFonts w:ascii="Arial" w:hAnsi="Arial"/>
          <w:color w:val="000000"/>
          <w:sz w:val="20"/>
        </w:rPr>
        <w:t>** Deemed to be furnished with this Quarterly Report on Form 10-Q and will not be deemed to be “filed” for purposes of Section 18 of the Securities Exchange Act of 1934, as amended, except to the extent that the registrant specifically incorporates it by reference.</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36"/>
        </w:rPr>
      </w:pPr>
      <w:bookmarkStart w:id="20" w:name="signatures"/>
      <w:bookmarkEnd w:id="20"/>
      <w:r>
        <w:rPr>
          <w:rFonts w:ascii="Arial" w:hAnsi="Arial"/>
          <w:b/>
          <w:color w:val="000000"/>
          <w:sz w:val="36"/>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807" w:type="dxa"/>
        <w:jc w:val="left"/>
        <w:tblInd w:w="0" w:type="dxa"/>
        <w:tblLayout w:type="fixed"/>
        <w:tblCellMar>
          <w:top w:w="28" w:type="dxa"/>
          <w:left w:w="28" w:type="dxa"/>
          <w:bottom w:w="28" w:type="dxa"/>
          <w:right w:w="28" w:type="dxa"/>
        </w:tblCellMar>
      </w:tblPr>
      <w:tblGrid>
        <w:gridCol w:w="1966"/>
        <w:gridCol w:w="109"/>
        <w:gridCol w:w="406"/>
        <w:gridCol w:w="5326"/>
      </w:tblGrid>
      <w:tr>
        <w:trPr/>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2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Monte Rosa Therapeutics, Inc.</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Markus Warmuth</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Markus Warmuth</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(Principal Executive Officer and Principal Financial Officer)</w:t>
            </w:r>
          </w:p>
        </w:tc>
      </w:tr>
    </w:tbl>
    <w:p>
      <w:pPr>
        <w:pStyle w:val="TextBody"/>
        <w:bidi w:val="0"/>
        <w:spacing w:before="120" w:after="283"/>
        <w:jc w:val="left"/>
        <w:rPr/>
      </w:pPr>
      <w:r>
        <w:rPr/>
        <w:t> </w:t>
      </w:r>
    </w:p>
    <w:p>
      <w:pPr>
        <w:pStyle w:val="TextBody"/>
        <w:bidi w:val="0"/>
        <w:jc w:val="right"/>
        <w:rPr/>
      </w:pPr>
      <w:r>
        <w:rPr/>
        <w:t>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bookmarkStart w:id="21" w:name="glue-ex31_1.htm"/>
      <w:bookmarkStart w:id="22" w:name="ksglueex31_1"/>
      <w:bookmarkEnd w:id="21"/>
      <w:bookmarkEnd w:id="22"/>
      <w:r>
        <w:rPr/>
        <w:t> </w:t>
      </w:r>
      <w:r>
        <w:br w:type="page"/>
      </w:r>
    </w:p>
    <w:p>
      <w:pPr>
        <w:pStyle w:val="TextBody"/>
        <w:bidi w:val="0"/>
        <w:jc w:val="right"/>
        <w:rPr>
          <w:rFonts w:ascii="Arial" w:hAnsi="Arial"/>
          <w:b/>
          <w:color w:val="000000"/>
          <w:sz w:val="20"/>
        </w:rPr>
      </w:pPr>
      <w:r>
        <w:rPr>
          <w:rFonts w:ascii="Arial" w:hAnsi="Arial"/>
          <w:b/>
          <w:color w:val="000000"/>
          <w:sz w:val="20"/>
        </w:rPr>
        <w:t>Exhibit 31.1</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left"/>
        <w:rPr>
          <w:rFonts w:ascii="Arial" w:hAnsi="Arial"/>
          <w:color w:val="000000"/>
          <w:sz w:val="20"/>
        </w:rPr>
      </w:pPr>
      <w:r>
        <w:rPr>
          <w:rFonts w:ascii="Arial" w:hAnsi="Arial"/>
          <w:color w:val="000000"/>
          <w:sz w:val="20"/>
        </w:rPr>
        <w:t>I, Markus Warmuth, certify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for the period ending June 30, 2026 of Monte Rosa Therapeutics, Inc.;</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w:t>
      </w:r>
    </w:p>
    <w:p>
      <w:pPr>
        <w:pStyle w:val="TextBody"/>
        <w:bidi w:val="0"/>
        <w:spacing w:before="24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784" w:type="dxa"/>
        <w:jc w:val="left"/>
        <w:tblInd w:w="0" w:type="dxa"/>
        <w:tblLayout w:type="fixed"/>
        <w:tblCellMar>
          <w:top w:w="28" w:type="dxa"/>
          <w:left w:w="28" w:type="dxa"/>
          <w:bottom w:w="28" w:type="dxa"/>
          <w:right w:w="28" w:type="dxa"/>
        </w:tblCellMar>
      </w:tblPr>
      <w:tblGrid>
        <w:gridCol w:w="1966"/>
        <w:gridCol w:w="146"/>
        <w:gridCol w:w="406"/>
        <w:gridCol w:w="526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2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Markus Warmuth</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Markus Warmuth</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glue-ex32_1.htm"/>
      <w:bookmarkStart w:id="24" w:name="ksglueex32_1"/>
      <w:bookmarkEnd w:id="23"/>
      <w:bookmarkEnd w:id="24"/>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of Monte Rosa Therapeutics,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7784" w:type="dxa"/>
        <w:jc w:val="left"/>
        <w:tblInd w:w="0" w:type="dxa"/>
        <w:tblLayout w:type="fixed"/>
        <w:tblCellMar>
          <w:top w:w="28" w:type="dxa"/>
          <w:left w:w="28" w:type="dxa"/>
          <w:bottom w:w="28" w:type="dxa"/>
          <w:right w:w="28" w:type="dxa"/>
        </w:tblCellMar>
      </w:tblPr>
      <w:tblGrid>
        <w:gridCol w:w="1966"/>
        <w:gridCol w:w="146"/>
        <w:gridCol w:w="406"/>
        <w:gridCol w:w="526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2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Markus Warmuth</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Markus Warmuth</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457/000119312521202038/d179298dex31.htm" TargetMode="External"/><Relationship Id="rId3" Type="http://schemas.openxmlformats.org/officeDocument/2006/relationships/hyperlink" Target="https://www.sec.gov/Archives/edgar/data/1826457/000095017023027939/glue-ex3_1.htm" TargetMode="External"/><Relationship Id="rId4" Type="http://schemas.openxmlformats.org/officeDocument/2006/relationships/hyperlink" Target="https://www.sec.gov/Archives/edgar/data/1826457/000095017024056288/glue-ex3_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20820</Words>
  <Characters>116403</Characters>
  <CharactersWithSpaces>138170</CharactersWithSpaces>
  <Paragraphs>5485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