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SCHIFF ANDREW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MONTE ROSA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HARRISON AVENUE,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Monte Rosa Therapeutics, Inc.</w:t>
              </w:r>
            </w:hyperlink>
            <w:r>
              <w:rPr/>
              <w:t xml:space="preserve"> [ </w:t>
            </w:r>
            <w:r>
              <w:rPr>
                <w:rFonts w:ascii="Times;serif" w:hAnsi="Times;serif"/>
                <w:color w:val="0000FF"/>
                <w:sz w:val="24"/>
                <w:shd w:fill="FFFFFF" w:val="clear"/>
              </w:rPr>
              <w:t>GLUE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25,800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and become exercisable in full upon the earlier to occur of (i) June 11, 2027 or (ii) the Issuer's next annual meeting of stockholders, subject to the Reporting Person's continued service at such time.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Markus Warmuth,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2252" TargetMode="External"/><Relationship Id="rId5" Type="http://schemas.openxmlformats.org/officeDocument/2006/relationships/hyperlink" Target="http://www.sec.gov/cgi-bin/browse-edgar?action=getcompany&amp;CIK=0001826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614</Words>
  <Characters>3319</Characters>
  <CharactersWithSpaces>3871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